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4E16F" w14:textId="51388A4E" w:rsidR="00B43511" w:rsidRPr="00B43511" w:rsidRDefault="001C160F" w:rsidP="007638F2">
      <w:pPr>
        <w:pStyle w:val="PSC-Titleofdocument"/>
        <w:keepNext/>
        <w:keepLines/>
        <w:rPr>
          <w:rStyle w:val="DocTitle"/>
        </w:rPr>
      </w:pPr>
      <w:r>
        <w:rPr>
          <w:rStyle w:val="DocTitle"/>
        </w:rPr>
        <w:t>Recruitment and selection</w:t>
      </w:r>
    </w:p>
    <w:p w14:paraId="64084169" w14:textId="21E0DB8A" w:rsidR="00C96C63" w:rsidRPr="007462F3" w:rsidRDefault="00B43511" w:rsidP="007638F2">
      <w:pPr>
        <w:pStyle w:val="PSCSubtitle"/>
        <w:keepNext/>
        <w:keepLines/>
        <w:rPr>
          <w:sz w:val="28"/>
          <w:szCs w:val="28"/>
        </w:rPr>
      </w:pPr>
      <w:r w:rsidRPr="0026773B">
        <w:rPr>
          <w:bCs/>
        </w:rPr>
        <w:t>Directi</w:t>
      </w:r>
      <w:r w:rsidR="000D7865" w:rsidRPr="0026773B">
        <w:rPr>
          <w:bCs/>
        </w:rPr>
        <w:t>ve</w:t>
      </w:r>
      <w:r w:rsidR="6F34375D" w:rsidRPr="0026773B">
        <w:rPr>
          <w:bCs/>
        </w:rPr>
        <w:t>:</w:t>
      </w:r>
      <w:r>
        <w:t xml:space="preserve"> </w:t>
      </w:r>
      <w:r w:rsidR="00204406">
        <w:t>12</w:t>
      </w:r>
      <w:r>
        <w:t>/</w:t>
      </w:r>
      <w:r w:rsidR="001C160F">
        <w:t>20</w:t>
      </w:r>
      <w:r w:rsidR="00C96C63">
        <w:t xml:space="preserve">   </w:t>
      </w:r>
      <w:r w:rsidR="0099791F">
        <w:tab/>
      </w:r>
      <w:r w:rsidR="0099791F">
        <w:tab/>
      </w:r>
      <w:r w:rsidR="00204406">
        <w:tab/>
      </w:r>
      <w:r w:rsidR="0099791F" w:rsidRPr="00F0686C">
        <w:rPr>
          <w:b/>
        </w:rPr>
        <w:t>Effective date</w:t>
      </w:r>
      <w:r w:rsidR="00C96C63" w:rsidRPr="00F0686C">
        <w:rPr>
          <w:b/>
        </w:rPr>
        <w:t>:</w:t>
      </w:r>
      <w:r w:rsidR="00C96C63" w:rsidRPr="00204406">
        <w:rPr>
          <w:bCs/>
        </w:rPr>
        <w:t xml:space="preserve"> </w:t>
      </w:r>
      <w:r w:rsidR="00204406" w:rsidRPr="00204406">
        <w:rPr>
          <w:bCs/>
        </w:rPr>
        <w:t>25/09/20</w:t>
      </w:r>
    </w:p>
    <w:p w14:paraId="715930FE" w14:textId="14B3DED0" w:rsidR="00B43511" w:rsidRPr="00204406" w:rsidRDefault="0099791F" w:rsidP="007638F2">
      <w:pPr>
        <w:pStyle w:val="PSCSubtitle"/>
        <w:keepNext/>
        <w:keepLines/>
        <w:rPr>
          <w:sz w:val="28"/>
          <w:szCs w:val="28"/>
        </w:rPr>
      </w:pPr>
      <w:r w:rsidRPr="00F0686C">
        <w:rPr>
          <w:sz w:val="28"/>
          <w:szCs w:val="28"/>
        </w:rPr>
        <w:t>Supersedes</w:t>
      </w:r>
      <w:r w:rsidR="002C059D" w:rsidRPr="00F0686C">
        <w:rPr>
          <w:sz w:val="28"/>
          <w:szCs w:val="28"/>
        </w:rPr>
        <w:t>:</w:t>
      </w:r>
      <w:r w:rsidR="002C059D">
        <w:t xml:space="preserve"> </w:t>
      </w:r>
      <w:r w:rsidR="00204406">
        <w:rPr>
          <w:sz w:val="28"/>
          <w:szCs w:val="28"/>
        </w:rPr>
        <w:t>15</w:t>
      </w:r>
      <w:r w:rsidR="00204406" w:rsidRPr="06E836BF">
        <w:rPr>
          <w:sz w:val="28"/>
          <w:szCs w:val="28"/>
        </w:rPr>
        <w:t>/</w:t>
      </w:r>
      <w:r w:rsidR="00204406">
        <w:rPr>
          <w:sz w:val="28"/>
          <w:szCs w:val="28"/>
        </w:rPr>
        <w:t>13</w:t>
      </w:r>
      <w:r w:rsidR="00204406" w:rsidRPr="00204406">
        <w:rPr>
          <w:sz w:val="28"/>
          <w:szCs w:val="28"/>
        </w:rPr>
        <w:t xml:space="preserve"> </w:t>
      </w:r>
    </w:p>
    <w:p w14:paraId="0675CFA8" w14:textId="1A182D54" w:rsidR="008D1CCC" w:rsidRDefault="008D1CCC" w:rsidP="007638F2">
      <w:pPr>
        <w:pStyle w:val="Heading2"/>
        <w:numPr>
          <w:ilvl w:val="0"/>
          <w:numId w:val="5"/>
        </w:numPr>
        <w:ind w:left="426" w:hanging="426"/>
      </w:pPr>
      <w:r>
        <w:t>Purpose</w:t>
      </w:r>
    </w:p>
    <w:p w14:paraId="2C8FBBF2" w14:textId="60E79AE1" w:rsidR="008D1CCC" w:rsidRPr="00022B79" w:rsidRDefault="00022B79" w:rsidP="00CA555F">
      <w:pPr>
        <w:pStyle w:val="Numberedlist2"/>
        <w:numPr>
          <w:ilvl w:val="1"/>
          <w:numId w:val="5"/>
        </w:numPr>
        <w:ind w:left="426" w:hanging="426"/>
        <w:contextualSpacing w:val="0"/>
      </w:pPr>
      <w:r>
        <w:rPr>
          <w:rFonts w:cs="Arial"/>
          <w:szCs w:val="22"/>
          <w:lang w:val="en-US"/>
        </w:rPr>
        <w:t>To specify the requirements applying to the recruitment and selection of public service employees.</w:t>
      </w:r>
    </w:p>
    <w:p w14:paraId="302D8AC6" w14:textId="5E3DC17D" w:rsidR="00022B79" w:rsidRPr="00022B79" w:rsidRDefault="00022B79">
      <w:pPr>
        <w:pStyle w:val="Numberedlist2"/>
        <w:numPr>
          <w:ilvl w:val="1"/>
          <w:numId w:val="5"/>
        </w:numPr>
        <w:ind w:left="426" w:hanging="426"/>
        <w:contextualSpacing w:val="0"/>
        <w:rPr>
          <w:b/>
          <w:szCs w:val="22"/>
        </w:rPr>
      </w:pPr>
      <w:r>
        <w:rPr>
          <w:szCs w:val="22"/>
        </w:rPr>
        <w:t>The Public</w:t>
      </w:r>
      <w:r>
        <w:rPr>
          <w:i/>
          <w:szCs w:val="22"/>
        </w:rPr>
        <w:t xml:space="preserve"> Service Act 2008</w:t>
      </w:r>
      <w:r>
        <w:rPr>
          <w:szCs w:val="22"/>
        </w:rPr>
        <w:t xml:space="preserve"> (PS Act) establishes employment </w:t>
      </w:r>
      <w:bookmarkStart w:id="0" w:name="_Hlk48818452"/>
      <w:r>
        <w:rPr>
          <w:szCs w:val="22"/>
        </w:rPr>
        <w:t xml:space="preserve">on tenure is the default </w:t>
      </w:r>
      <w:r w:rsidRPr="00022B79">
        <w:rPr>
          <w:rFonts w:cs="Arial"/>
          <w:szCs w:val="22"/>
          <w:lang w:val="en-US"/>
        </w:rPr>
        <w:t>basis</w:t>
      </w:r>
      <w:r>
        <w:rPr>
          <w:szCs w:val="22"/>
        </w:rPr>
        <w:t xml:space="preserve"> of employment in the public service</w:t>
      </w:r>
      <w:bookmarkEnd w:id="0"/>
      <w:r>
        <w:rPr>
          <w:szCs w:val="22"/>
        </w:rPr>
        <w:t>, excluding non-industrial instrument employees, and sets out the circumstances where employment on tenure is not viable or appropriate.</w:t>
      </w:r>
    </w:p>
    <w:p w14:paraId="05B98008" w14:textId="0D977525" w:rsidR="00B43511" w:rsidRDefault="002C059D">
      <w:pPr>
        <w:pStyle w:val="Heading2"/>
        <w:numPr>
          <w:ilvl w:val="0"/>
          <w:numId w:val="5"/>
        </w:numPr>
        <w:ind w:left="426" w:hanging="426"/>
      </w:pPr>
      <w:r>
        <w:t>Authorising provisions</w:t>
      </w:r>
    </w:p>
    <w:p w14:paraId="69F21F15" w14:textId="46650923" w:rsidR="00FF79A3" w:rsidRPr="00FF79A3" w:rsidRDefault="00FF79A3">
      <w:pPr>
        <w:pStyle w:val="Bodystrong"/>
        <w:keepNext/>
        <w:keepLines/>
        <w:rPr>
          <w:b w:val="0"/>
        </w:rPr>
      </w:pPr>
      <w:r w:rsidRPr="008C5394">
        <w:rPr>
          <w:b w:val="0"/>
        </w:rPr>
        <w:t xml:space="preserve">This </w:t>
      </w:r>
      <w:r>
        <w:rPr>
          <w:b w:val="0"/>
        </w:rPr>
        <w:t>directi</w:t>
      </w:r>
      <w:r w:rsidR="000D7865">
        <w:rPr>
          <w:b w:val="0"/>
        </w:rPr>
        <w:t>ve</w:t>
      </w:r>
      <w:r w:rsidRPr="008C5394">
        <w:rPr>
          <w:b w:val="0"/>
        </w:rPr>
        <w:t xml:space="preserve"> is made pursuant to sections </w:t>
      </w:r>
      <w:r w:rsidR="00FA5C40">
        <w:rPr>
          <w:b w:val="0"/>
        </w:rPr>
        <w:t>29</w:t>
      </w:r>
      <w:r w:rsidR="00431DDB">
        <w:rPr>
          <w:b w:val="0"/>
        </w:rPr>
        <w:t xml:space="preserve"> and</w:t>
      </w:r>
      <w:r w:rsidR="00FA5C40">
        <w:rPr>
          <w:b w:val="0"/>
        </w:rPr>
        <w:t xml:space="preserve"> </w:t>
      </w:r>
      <w:r w:rsidRPr="008C5394">
        <w:rPr>
          <w:b w:val="0"/>
          <w:szCs w:val="22"/>
        </w:rPr>
        <w:t xml:space="preserve">53 </w:t>
      </w:r>
      <w:r w:rsidRPr="008C5394">
        <w:rPr>
          <w:b w:val="0"/>
        </w:rPr>
        <w:t>of the PS Act</w:t>
      </w:r>
      <w:r>
        <w:rPr>
          <w:b w:val="0"/>
        </w:rPr>
        <w:t>.</w:t>
      </w:r>
    </w:p>
    <w:p w14:paraId="3254DE19" w14:textId="77777777" w:rsidR="00B43511" w:rsidRDefault="00B43511">
      <w:pPr>
        <w:pStyle w:val="Heading2"/>
        <w:numPr>
          <w:ilvl w:val="0"/>
          <w:numId w:val="5"/>
        </w:numPr>
        <w:ind w:left="426" w:hanging="426"/>
      </w:pPr>
      <w:r>
        <w:t>Application</w:t>
      </w:r>
    </w:p>
    <w:p w14:paraId="077282B3" w14:textId="5AD78DEB" w:rsidR="00C81462" w:rsidRDefault="00C81462">
      <w:pPr>
        <w:pStyle w:val="Numberedlist2"/>
        <w:numPr>
          <w:ilvl w:val="1"/>
          <w:numId w:val="5"/>
        </w:numPr>
        <w:ind w:left="426" w:hanging="426"/>
        <w:contextualSpacing w:val="0"/>
      </w:pPr>
      <w:r w:rsidRPr="009C6F87">
        <w:t xml:space="preserve">Unless otherwise stated, this directive applies to public service employees as defined in </w:t>
      </w:r>
      <w:r w:rsidRPr="00476704">
        <w:t>section 9 of the PS Act.</w:t>
      </w:r>
    </w:p>
    <w:p w14:paraId="6F4B5684" w14:textId="36E443BD" w:rsidR="004C67F0" w:rsidRPr="006760F4" w:rsidRDefault="004C67F0" w:rsidP="004C67F0">
      <w:pPr>
        <w:ind w:left="426" w:hanging="426"/>
        <w:rPr>
          <w:rFonts w:ascii="Arial" w:hAnsi="Arial" w:cs="Arial"/>
          <w:sz w:val="22"/>
          <w:szCs w:val="22"/>
        </w:rPr>
      </w:pPr>
      <w:r w:rsidRPr="00B423E6">
        <w:rPr>
          <w:szCs w:val="22"/>
        </w:rPr>
        <w:t>3.2</w:t>
      </w:r>
      <w:r w:rsidRPr="00B423E6">
        <w:rPr>
          <w:szCs w:val="22"/>
        </w:rPr>
        <w:tab/>
      </w:r>
      <w:r w:rsidRPr="006760F4">
        <w:rPr>
          <w:rFonts w:ascii="Arial" w:hAnsi="Arial" w:cs="Arial"/>
          <w:sz w:val="22"/>
          <w:szCs w:val="22"/>
        </w:rPr>
        <w:t xml:space="preserve">This directive applies to the following entities (each entity being an </w:t>
      </w:r>
      <w:r w:rsidR="00ED6CFE">
        <w:rPr>
          <w:rFonts w:ascii="Arial" w:hAnsi="Arial" w:cs="Arial"/>
          <w:sz w:val="22"/>
          <w:szCs w:val="22"/>
        </w:rPr>
        <w:t>‘</w:t>
      </w:r>
      <w:r w:rsidRPr="00B5030E">
        <w:rPr>
          <w:rFonts w:ascii="Arial" w:hAnsi="Arial" w:cs="Arial"/>
          <w:sz w:val="22"/>
          <w:szCs w:val="22"/>
        </w:rPr>
        <w:t>agency</w:t>
      </w:r>
      <w:r w:rsidR="00ED6CFE">
        <w:rPr>
          <w:rFonts w:ascii="Arial" w:hAnsi="Arial" w:cs="Arial"/>
          <w:sz w:val="22"/>
          <w:szCs w:val="22"/>
        </w:rPr>
        <w:t>’</w:t>
      </w:r>
      <w:r w:rsidRPr="006760F4">
        <w:rPr>
          <w:rFonts w:ascii="Arial" w:hAnsi="Arial" w:cs="Arial"/>
          <w:sz w:val="22"/>
          <w:szCs w:val="22"/>
        </w:rPr>
        <w:t xml:space="preserve"> for this directive) and their employees:</w:t>
      </w:r>
    </w:p>
    <w:p w14:paraId="3842F3CC" w14:textId="6E07758F" w:rsidR="004C67F0" w:rsidRPr="006760F4" w:rsidRDefault="004C67F0" w:rsidP="004C67F0">
      <w:pPr>
        <w:pStyle w:val="ListParagraph"/>
        <w:tabs>
          <w:tab w:val="left" w:pos="993"/>
        </w:tabs>
        <w:ind w:left="993" w:hanging="567"/>
        <w:contextualSpacing w:val="0"/>
        <w:rPr>
          <w:rFonts w:ascii="Arial" w:eastAsia="Times New Roman" w:hAnsi="Arial" w:cs="Arial"/>
          <w:sz w:val="22"/>
          <w:szCs w:val="22"/>
        </w:rPr>
      </w:pPr>
      <w:r>
        <w:rPr>
          <w:rFonts w:ascii="Arial" w:eastAsia="Times New Roman" w:hAnsi="Arial" w:cs="Arial"/>
          <w:sz w:val="22"/>
          <w:szCs w:val="22"/>
        </w:rPr>
        <w:t>(a)</w:t>
      </w:r>
      <w:r>
        <w:rPr>
          <w:rFonts w:ascii="Arial" w:eastAsia="Times New Roman" w:hAnsi="Arial" w:cs="Arial"/>
          <w:sz w:val="22"/>
          <w:szCs w:val="22"/>
        </w:rPr>
        <w:tab/>
      </w:r>
      <w:r w:rsidR="0099791F">
        <w:rPr>
          <w:rFonts w:ascii="Arial" w:eastAsia="Times New Roman" w:hAnsi="Arial" w:cs="Arial"/>
          <w:sz w:val="22"/>
          <w:szCs w:val="22"/>
        </w:rPr>
        <w:t>d</w:t>
      </w:r>
      <w:r w:rsidRPr="006760F4">
        <w:rPr>
          <w:rFonts w:ascii="Arial" w:eastAsia="Times New Roman" w:hAnsi="Arial" w:cs="Arial"/>
          <w:sz w:val="22"/>
          <w:szCs w:val="22"/>
        </w:rPr>
        <w:t>epartments</w:t>
      </w:r>
    </w:p>
    <w:p w14:paraId="7B8FBE09" w14:textId="643F4157" w:rsidR="004C67F0" w:rsidRPr="006760F4" w:rsidRDefault="004C67F0" w:rsidP="004C67F0">
      <w:pPr>
        <w:pStyle w:val="ListParagraph"/>
        <w:tabs>
          <w:tab w:val="left" w:pos="993"/>
        </w:tabs>
        <w:ind w:left="426"/>
        <w:contextualSpacing w:val="0"/>
        <w:rPr>
          <w:rFonts w:ascii="Arial" w:eastAsia="Times New Roman" w:hAnsi="Arial" w:cs="Arial"/>
          <w:sz w:val="22"/>
          <w:szCs w:val="22"/>
        </w:rPr>
      </w:pPr>
      <w:r>
        <w:rPr>
          <w:rFonts w:ascii="Arial" w:eastAsia="Times New Roman" w:hAnsi="Arial" w:cs="Arial"/>
          <w:sz w:val="22"/>
          <w:szCs w:val="22"/>
        </w:rPr>
        <w:t>(b)</w:t>
      </w:r>
      <w:r>
        <w:rPr>
          <w:rFonts w:ascii="Arial" w:eastAsia="Times New Roman" w:hAnsi="Arial" w:cs="Arial"/>
          <w:sz w:val="22"/>
          <w:szCs w:val="22"/>
        </w:rPr>
        <w:tab/>
      </w:r>
      <w:r w:rsidRPr="006760F4">
        <w:rPr>
          <w:rFonts w:ascii="Arial" w:eastAsia="Times New Roman" w:hAnsi="Arial" w:cs="Arial"/>
          <w:sz w:val="22"/>
          <w:szCs w:val="22"/>
        </w:rPr>
        <w:t>public service offices list</w:t>
      </w:r>
      <w:r w:rsidR="0068316D">
        <w:rPr>
          <w:rFonts w:ascii="Arial" w:eastAsia="Times New Roman" w:hAnsi="Arial" w:cs="Arial"/>
          <w:sz w:val="22"/>
          <w:szCs w:val="22"/>
        </w:rPr>
        <w:t>ed</w:t>
      </w:r>
      <w:r w:rsidRPr="006760F4">
        <w:rPr>
          <w:rFonts w:ascii="Arial" w:eastAsia="Times New Roman" w:hAnsi="Arial" w:cs="Arial"/>
          <w:sz w:val="22"/>
          <w:szCs w:val="22"/>
        </w:rPr>
        <w:t xml:space="preserve"> in </w:t>
      </w:r>
      <w:r w:rsidR="00ED6CFE">
        <w:rPr>
          <w:rFonts w:ascii="Arial" w:eastAsia="Times New Roman" w:hAnsi="Arial" w:cs="Arial"/>
          <w:sz w:val="22"/>
          <w:szCs w:val="22"/>
        </w:rPr>
        <w:t>s</w:t>
      </w:r>
      <w:r w:rsidRPr="006760F4">
        <w:rPr>
          <w:rFonts w:ascii="Arial" w:eastAsia="Times New Roman" w:hAnsi="Arial" w:cs="Arial"/>
          <w:sz w:val="22"/>
          <w:szCs w:val="22"/>
        </w:rPr>
        <w:t>chedule 1 of the PS Act</w:t>
      </w:r>
    </w:p>
    <w:p w14:paraId="547A52CF" w14:textId="43275CB6" w:rsidR="004C67F0" w:rsidRPr="006760F4" w:rsidRDefault="004C67F0" w:rsidP="004C67F0">
      <w:pPr>
        <w:pStyle w:val="ListParagraph"/>
        <w:tabs>
          <w:tab w:val="left" w:pos="993"/>
        </w:tabs>
        <w:ind w:left="993" w:hanging="567"/>
        <w:contextualSpacing w:val="0"/>
        <w:rPr>
          <w:rFonts w:ascii="Arial" w:eastAsia="Times New Roman" w:hAnsi="Arial" w:cs="Arial"/>
          <w:sz w:val="22"/>
          <w:szCs w:val="22"/>
        </w:rPr>
      </w:pPr>
      <w:r>
        <w:rPr>
          <w:rFonts w:ascii="Arial" w:eastAsia="Times New Roman" w:hAnsi="Arial" w:cs="Arial"/>
          <w:sz w:val="22"/>
          <w:szCs w:val="22"/>
        </w:rPr>
        <w:t>(c)</w:t>
      </w:r>
      <w:r>
        <w:rPr>
          <w:rFonts w:ascii="Arial" w:eastAsia="Times New Roman" w:hAnsi="Arial" w:cs="Arial"/>
          <w:sz w:val="22"/>
          <w:szCs w:val="22"/>
        </w:rPr>
        <w:tab/>
      </w:r>
      <w:r w:rsidRPr="006760F4">
        <w:rPr>
          <w:rFonts w:ascii="Arial" w:eastAsia="Times New Roman" w:hAnsi="Arial" w:cs="Arial"/>
          <w:sz w:val="22"/>
          <w:szCs w:val="22"/>
        </w:rPr>
        <w:t>an entity declared to be a public service office under a regulation and where the regulation applies this directive to the entity (</w:t>
      </w:r>
      <w:r w:rsidR="00ED6CFE">
        <w:rPr>
          <w:rFonts w:ascii="Arial" w:eastAsia="Times New Roman" w:hAnsi="Arial" w:cs="Arial"/>
          <w:sz w:val="22"/>
          <w:szCs w:val="22"/>
        </w:rPr>
        <w:t>sections</w:t>
      </w:r>
      <w:r w:rsidR="00ED6CFE" w:rsidRPr="006760F4">
        <w:rPr>
          <w:rFonts w:ascii="Arial" w:eastAsia="Times New Roman" w:hAnsi="Arial" w:cs="Arial"/>
          <w:sz w:val="22"/>
          <w:szCs w:val="22"/>
        </w:rPr>
        <w:t xml:space="preserve"> </w:t>
      </w:r>
      <w:r w:rsidRPr="006760F4">
        <w:rPr>
          <w:rFonts w:ascii="Arial" w:eastAsia="Times New Roman" w:hAnsi="Arial" w:cs="Arial"/>
          <w:sz w:val="22"/>
          <w:szCs w:val="22"/>
        </w:rPr>
        <w:t>22-23 PS Act).</w:t>
      </w:r>
    </w:p>
    <w:p w14:paraId="4A4815D6" w14:textId="3F84EC57" w:rsidR="00161B40" w:rsidRDefault="00C81462" w:rsidP="00431DDB">
      <w:pPr>
        <w:pStyle w:val="Numberedlist2"/>
        <w:keepNext w:val="0"/>
        <w:keepLines w:val="0"/>
        <w:widowControl w:val="0"/>
        <w:numPr>
          <w:ilvl w:val="1"/>
          <w:numId w:val="5"/>
        </w:numPr>
        <w:ind w:left="425" w:hanging="425"/>
        <w:contextualSpacing w:val="0"/>
      </w:pPr>
      <w:r w:rsidRPr="00476704">
        <w:t>This d</w:t>
      </w:r>
      <w:r w:rsidRPr="009C6F87">
        <w:t>irective does not apply to the recruitment and selection of chief executive officers.</w:t>
      </w:r>
    </w:p>
    <w:p w14:paraId="696B8A50" w14:textId="581C8762" w:rsidR="000052E3" w:rsidRDefault="00DA3242" w:rsidP="00431DDB">
      <w:pPr>
        <w:pStyle w:val="Numberedlist2"/>
        <w:keepNext w:val="0"/>
        <w:keepLines w:val="0"/>
        <w:widowControl w:val="0"/>
        <w:numPr>
          <w:ilvl w:val="1"/>
          <w:numId w:val="5"/>
        </w:numPr>
        <w:ind w:left="425" w:hanging="425"/>
        <w:contextualSpacing w:val="0"/>
      </w:pPr>
      <w:r>
        <w:t xml:space="preserve">This </w:t>
      </w:r>
      <w:r w:rsidR="000052E3" w:rsidRPr="000052E3">
        <w:t xml:space="preserve">directive does not apply to the </w:t>
      </w:r>
      <w:r w:rsidR="000052E3">
        <w:t xml:space="preserve">appointment of an employee to a higher classification level or </w:t>
      </w:r>
      <w:r w:rsidR="000052E3" w:rsidRPr="000052E3">
        <w:t xml:space="preserve">conversion of fixed term temporary or casual employees </w:t>
      </w:r>
      <w:r w:rsidR="000052E3">
        <w:t>made under the relevant directive</w:t>
      </w:r>
      <w:r w:rsidR="000052E3" w:rsidRPr="000052E3">
        <w:t>. However, if an agency is seeking to permanently appoint an employee prior to the employee becoming eligible</w:t>
      </w:r>
      <w:r w:rsidR="000052E3">
        <w:t xml:space="preserve"> under the relevant directive</w:t>
      </w:r>
      <w:r w:rsidR="000052E3" w:rsidRPr="000052E3">
        <w:t xml:space="preserve">, the appointment must comply with this </w:t>
      </w:r>
      <w:r w:rsidR="00551917">
        <w:t>d</w:t>
      </w:r>
      <w:r w:rsidR="000052E3" w:rsidRPr="000052E3">
        <w:t>irective.</w:t>
      </w:r>
    </w:p>
    <w:p w14:paraId="10D24114" w14:textId="6B94F096" w:rsidR="00693E99" w:rsidRDefault="00693E99" w:rsidP="00431DDB">
      <w:pPr>
        <w:pStyle w:val="Numberedlist2"/>
        <w:keepNext w:val="0"/>
        <w:keepLines w:val="0"/>
        <w:widowControl w:val="0"/>
        <w:numPr>
          <w:ilvl w:val="1"/>
          <w:numId w:val="5"/>
        </w:numPr>
        <w:ind w:left="425" w:hanging="425"/>
        <w:contextualSpacing w:val="0"/>
      </w:pPr>
      <w:r>
        <w:t>Section 52 of the PS Act outlines the relationship between a directive and industrial instrument including how to deal with inconsistencies.</w:t>
      </w:r>
    </w:p>
    <w:p w14:paraId="4A7A80BE" w14:textId="4CDC64E1" w:rsidR="00B43511" w:rsidRPr="00BA64D2" w:rsidRDefault="00B43511">
      <w:pPr>
        <w:pStyle w:val="PSC-Title1"/>
        <w:keepNext/>
        <w:keepLines/>
      </w:pPr>
      <w:r>
        <w:lastRenderedPageBreak/>
        <w:t>Directi</w:t>
      </w:r>
      <w:r w:rsidR="000D7865">
        <w:t>ve</w:t>
      </w:r>
    </w:p>
    <w:p w14:paraId="332273B2" w14:textId="6BE2C3BC" w:rsidR="009C37C7" w:rsidRDefault="009C37C7">
      <w:pPr>
        <w:pStyle w:val="Heading2"/>
        <w:numPr>
          <w:ilvl w:val="0"/>
          <w:numId w:val="5"/>
        </w:numPr>
        <w:ind w:left="426" w:hanging="426"/>
      </w:pPr>
      <w:r>
        <w:t>Principles</w:t>
      </w:r>
    </w:p>
    <w:p w14:paraId="67129E94" w14:textId="52FECC9A" w:rsidR="00696E87" w:rsidRDefault="00696E87">
      <w:pPr>
        <w:pStyle w:val="Numberedlist2"/>
        <w:numPr>
          <w:ilvl w:val="1"/>
          <w:numId w:val="5"/>
        </w:numPr>
        <w:ind w:left="426" w:hanging="426"/>
        <w:contextualSpacing w:val="0"/>
      </w:pPr>
      <w:r>
        <w:t>The recruitment and selection of public service employees must be in accordance with the merit principle and criteria prescribed in sections 27 and 28 of the PS</w:t>
      </w:r>
      <w:r w:rsidR="0046556E">
        <w:t xml:space="preserve"> </w:t>
      </w:r>
      <w:r>
        <w:t>A</w:t>
      </w:r>
      <w:r w:rsidR="0046556E">
        <w:t>ct</w:t>
      </w:r>
      <w:r>
        <w:t xml:space="preserve"> and directed towards attracting</w:t>
      </w:r>
      <w:r w:rsidR="00611636">
        <w:t xml:space="preserve"> </w:t>
      </w:r>
      <w:r>
        <w:t>and retaining a diverse and skilled workforce, drawn from government and non-government</w:t>
      </w:r>
      <w:r w:rsidR="00611636">
        <w:t xml:space="preserve"> </w:t>
      </w:r>
      <w:r>
        <w:t>sectors (see sections 25 and 99 of the PS</w:t>
      </w:r>
      <w:r w:rsidR="0046556E">
        <w:t xml:space="preserve"> </w:t>
      </w:r>
      <w:r>
        <w:t>A</w:t>
      </w:r>
      <w:r w:rsidR="0046556E">
        <w:t>ct</w:t>
      </w:r>
      <w:r>
        <w:t>).</w:t>
      </w:r>
    </w:p>
    <w:p w14:paraId="5ABD97AF" w14:textId="0F995E26" w:rsidR="00696E87" w:rsidRDefault="00696E87">
      <w:pPr>
        <w:pStyle w:val="Numberedlist2"/>
        <w:numPr>
          <w:ilvl w:val="1"/>
          <w:numId w:val="5"/>
        </w:numPr>
        <w:ind w:left="426" w:hanging="426"/>
        <w:contextualSpacing w:val="0"/>
      </w:pPr>
      <w:r>
        <w:t xml:space="preserve">Recruitment and selection </w:t>
      </w:r>
      <w:proofErr w:type="gramStart"/>
      <w:r>
        <w:t>occurs</w:t>
      </w:r>
      <w:proofErr w:type="gramEnd"/>
      <w:r>
        <w:t xml:space="preserve"> within the context of broader workforce planning, with chief</w:t>
      </w:r>
      <w:r w:rsidR="00611636">
        <w:t xml:space="preserve"> </w:t>
      </w:r>
      <w:r>
        <w:t>executives responsible for determining what staffing resources and capabilities are required to</w:t>
      </w:r>
      <w:r w:rsidR="00611636">
        <w:t xml:space="preserve"> </w:t>
      </w:r>
      <w:r>
        <w:t>achieve their service delivery goals. This may include reviewing current and future capability</w:t>
      </w:r>
      <w:r w:rsidR="00611636">
        <w:t xml:space="preserve"> </w:t>
      </w:r>
      <w:r>
        <w:t>requirements and funding availability ahead of advertising.</w:t>
      </w:r>
    </w:p>
    <w:p w14:paraId="66FFEE65" w14:textId="77777777" w:rsidR="00022B79" w:rsidRDefault="52D902D6">
      <w:pPr>
        <w:pStyle w:val="Numberedlist2"/>
        <w:numPr>
          <w:ilvl w:val="1"/>
          <w:numId w:val="5"/>
        </w:numPr>
        <w:ind w:left="426" w:hanging="426"/>
        <w:contextualSpacing w:val="0"/>
      </w:pPr>
      <w:r>
        <w:t xml:space="preserve">Recruitment and selection </w:t>
      </w:r>
      <w:proofErr w:type="gramStart"/>
      <w:r>
        <w:t>occurs</w:t>
      </w:r>
      <w:proofErr w:type="gramEnd"/>
      <w:r>
        <w:t xml:space="preserve"> within the context of the Queensland Government’s commitment to employment security and maximising permanent employmen</w:t>
      </w:r>
      <w:r w:rsidR="7E0C4CEC">
        <w:t>t of existing employees.</w:t>
      </w:r>
      <w:r w:rsidR="00373814">
        <w:t xml:space="preserve"> </w:t>
      </w:r>
    </w:p>
    <w:p w14:paraId="06E67DAA" w14:textId="30EBF417" w:rsidR="00AA49B3" w:rsidRDefault="00AA49B3">
      <w:pPr>
        <w:pStyle w:val="Numberedlist2"/>
        <w:numPr>
          <w:ilvl w:val="1"/>
          <w:numId w:val="5"/>
        </w:numPr>
        <w:ind w:left="426" w:hanging="426"/>
        <w:contextualSpacing w:val="0"/>
      </w:pPr>
      <w:r>
        <w:t xml:space="preserve">Under the </w:t>
      </w:r>
      <w:r w:rsidRPr="5977EACD">
        <w:rPr>
          <w:i/>
          <w:iCs/>
        </w:rPr>
        <w:t>Human Rights Act 2019</w:t>
      </w:r>
      <w:r w:rsidR="00A9131B">
        <w:t>,</w:t>
      </w:r>
      <w:r>
        <w:t xml:space="preserve"> decision makers have an obligation to act and make decisions in a way that is compatible with human rights, and when making a decision under this directive, to give proper consideration to human rights.</w:t>
      </w:r>
    </w:p>
    <w:p w14:paraId="2D978B82" w14:textId="65DB8304" w:rsidR="00F25AF6" w:rsidRDefault="00FC316F">
      <w:pPr>
        <w:pStyle w:val="Heading2"/>
        <w:numPr>
          <w:ilvl w:val="0"/>
          <w:numId w:val="5"/>
        </w:numPr>
        <w:ind w:left="426" w:hanging="426"/>
      </w:pPr>
      <w:r>
        <w:t>Role evaluation</w:t>
      </w:r>
    </w:p>
    <w:p w14:paraId="626897EC" w14:textId="65F0ABD9" w:rsidR="00FC316F" w:rsidRDefault="00FC316F">
      <w:pPr>
        <w:pStyle w:val="Numberedlist2"/>
        <w:numPr>
          <w:ilvl w:val="1"/>
          <w:numId w:val="5"/>
        </w:numPr>
        <w:ind w:left="426" w:hanging="426"/>
        <w:contextualSpacing w:val="0"/>
      </w:pPr>
      <w:r>
        <w:t>Unless an alternative is approved by the Commission Chief Executive (CCE), a role</w:t>
      </w:r>
      <w:r w:rsidR="00E26646">
        <w:t xml:space="preserve"> </w:t>
      </w:r>
      <w:r>
        <w:t>evaluation for the purpose of determining the work value and applicable classification level must be</w:t>
      </w:r>
      <w:r w:rsidR="00E26646">
        <w:t xml:space="preserve"> </w:t>
      </w:r>
      <w:r>
        <w:t xml:space="preserve">undertaken in accordance with the Queensland </w:t>
      </w:r>
      <w:r w:rsidR="00ED6CFE">
        <w:t>p</w:t>
      </w:r>
      <w:r>
        <w:t xml:space="preserve">ublic </w:t>
      </w:r>
      <w:r w:rsidR="00ED6CFE">
        <w:t>s</w:t>
      </w:r>
      <w:r>
        <w:t xml:space="preserve">ector </w:t>
      </w:r>
      <w:r w:rsidR="00ED6CFE">
        <w:t>j</w:t>
      </w:r>
      <w:r>
        <w:t xml:space="preserve">ob </w:t>
      </w:r>
      <w:r w:rsidR="00ED6CFE">
        <w:t>e</w:t>
      </w:r>
      <w:r>
        <w:t xml:space="preserve">valuation </w:t>
      </w:r>
      <w:r w:rsidR="00ED6CFE">
        <w:t>m</w:t>
      </w:r>
      <w:r>
        <w:t xml:space="preserve">anagement </w:t>
      </w:r>
      <w:r w:rsidR="00ED6CFE">
        <w:t>s</w:t>
      </w:r>
      <w:r>
        <w:t>ystem.</w:t>
      </w:r>
    </w:p>
    <w:p w14:paraId="09BD927A" w14:textId="026EEC87" w:rsidR="00F25AF6" w:rsidRDefault="00FC316F">
      <w:pPr>
        <w:pStyle w:val="Numberedlist2"/>
        <w:numPr>
          <w:ilvl w:val="1"/>
          <w:numId w:val="5"/>
        </w:numPr>
        <w:ind w:left="426" w:hanging="426"/>
        <w:contextualSpacing w:val="0"/>
      </w:pPr>
      <w:r>
        <w:t>A role evaluation is not required to be undertaken for levels 1 and 2 of the professional and</w:t>
      </w:r>
      <w:r w:rsidR="00E26646">
        <w:t xml:space="preserve"> </w:t>
      </w:r>
      <w:r>
        <w:t>technical streams as these levels exist for the purpose of fulfilling education and training</w:t>
      </w:r>
      <w:r w:rsidR="00E26646">
        <w:t xml:space="preserve"> </w:t>
      </w:r>
      <w:r>
        <w:t>requirements prior to appointment to the level of practising professional or technical officer.</w:t>
      </w:r>
    </w:p>
    <w:p w14:paraId="70043C4F" w14:textId="00BC6079" w:rsidR="00FC316F" w:rsidRDefault="00147B61">
      <w:pPr>
        <w:pStyle w:val="Heading2"/>
        <w:numPr>
          <w:ilvl w:val="0"/>
          <w:numId w:val="5"/>
        </w:numPr>
        <w:ind w:left="426" w:hanging="426"/>
      </w:pPr>
      <w:r>
        <w:t>Vacancy advertisement and exemptions from advertising</w:t>
      </w:r>
    </w:p>
    <w:p w14:paraId="1C5B5E98" w14:textId="76090547" w:rsidR="0031615A" w:rsidRDefault="0031615A">
      <w:pPr>
        <w:pStyle w:val="Numberedlist2"/>
        <w:numPr>
          <w:ilvl w:val="1"/>
          <w:numId w:val="5"/>
        </w:numPr>
        <w:ind w:left="426" w:hanging="426"/>
        <w:contextualSpacing w:val="0"/>
      </w:pPr>
      <w:r>
        <w:t xml:space="preserve">The filling of a vacancy must first comply with the directive relating to </w:t>
      </w:r>
      <w:r w:rsidR="001409E1">
        <w:t xml:space="preserve">supporting </w:t>
      </w:r>
      <w:r>
        <w:t xml:space="preserve">employees </w:t>
      </w:r>
      <w:r w:rsidR="001409E1">
        <w:t>affected by workplace change</w:t>
      </w:r>
      <w:r>
        <w:t>.</w:t>
      </w:r>
    </w:p>
    <w:p w14:paraId="2C33C41A" w14:textId="36D8EB83" w:rsidR="0031615A" w:rsidRDefault="0031615A">
      <w:pPr>
        <w:pStyle w:val="Numberedlist2"/>
        <w:numPr>
          <w:ilvl w:val="1"/>
          <w:numId w:val="5"/>
        </w:numPr>
        <w:ind w:left="426" w:hanging="426"/>
        <w:contextualSpacing w:val="0"/>
      </w:pPr>
      <w:r>
        <w:t xml:space="preserve">Prior to filling a </w:t>
      </w:r>
      <w:r w:rsidR="00ED6CFE">
        <w:t>s</w:t>
      </w:r>
      <w:r>
        <w:t xml:space="preserve">enior </w:t>
      </w:r>
      <w:r w:rsidR="00ED6CFE">
        <w:t>e</w:t>
      </w:r>
      <w:r>
        <w:t xml:space="preserve">xecutive </w:t>
      </w:r>
      <w:r w:rsidR="00ED6CFE">
        <w:t>s</w:t>
      </w:r>
      <w:r>
        <w:t xml:space="preserve">ervice (SES) vacancy or s122 vacancy to be remunerated equivalent to an SES classification, for a period greater than six months, a chief executive must consult with the </w:t>
      </w:r>
      <w:r w:rsidR="00ED6CFE">
        <w:t xml:space="preserve">Public Service Commission </w:t>
      </w:r>
      <w:r>
        <w:t>about the proposed recruitment and selection strategy.</w:t>
      </w:r>
    </w:p>
    <w:p w14:paraId="47E9FC4E" w14:textId="77F02495" w:rsidR="0031615A" w:rsidRDefault="0031615A">
      <w:pPr>
        <w:pStyle w:val="Numberedlist2"/>
        <w:numPr>
          <w:ilvl w:val="1"/>
          <w:numId w:val="5"/>
        </w:numPr>
        <w:ind w:left="426" w:hanging="426"/>
        <w:contextualSpacing w:val="0"/>
      </w:pPr>
      <w:r>
        <w:t xml:space="preserve">Attracting and retaining a diverse and skilled workforce is generally best supported by advertising vacancies to the open market. As such, subject to clauses </w:t>
      </w:r>
      <w:r w:rsidR="00BE7613">
        <w:t>6</w:t>
      </w:r>
      <w:r>
        <w:t xml:space="preserve">.6 </w:t>
      </w:r>
      <w:r w:rsidR="00A25CBF">
        <w:t xml:space="preserve">to </w:t>
      </w:r>
      <w:r w:rsidR="00BE7613">
        <w:t>6</w:t>
      </w:r>
      <w:r>
        <w:t>.</w:t>
      </w:r>
      <w:r w:rsidR="007063E6">
        <w:t>8</w:t>
      </w:r>
      <w:r>
        <w:t>, vacancies must be advertised in a way that maximises quality applicant pools. The minimum requirement is that positions are advertised for a period of 10 working days (exclusive of the Christmas</w:t>
      </w:r>
      <w:r w:rsidR="00F56A80">
        <w:t xml:space="preserve"> to n</w:t>
      </w:r>
      <w:r>
        <w:t xml:space="preserve">ew </w:t>
      </w:r>
      <w:r w:rsidR="00F56A80">
        <w:t>y</w:t>
      </w:r>
      <w:r>
        <w:t>ear</w:t>
      </w:r>
      <w:r w:rsidR="00B00EA8">
        <w:t xml:space="preserve"> </w:t>
      </w:r>
      <w:r>
        <w:t xml:space="preserve">closure period) on the </w:t>
      </w:r>
      <w:hyperlink r:id="rId11" w:history="1">
        <w:r w:rsidRPr="0026773B">
          <w:rPr>
            <w:rStyle w:val="Hyperlink"/>
            <w:b w:val="0"/>
            <w:bCs/>
          </w:rPr>
          <w:t xml:space="preserve">Smart </w:t>
        </w:r>
        <w:r w:rsidR="00ED6CFE" w:rsidRPr="0026773B">
          <w:rPr>
            <w:rStyle w:val="Hyperlink"/>
            <w:b w:val="0"/>
            <w:bCs/>
          </w:rPr>
          <w:t>j</w:t>
        </w:r>
        <w:r w:rsidRPr="0026773B">
          <w:rPr>
            <w:rStyle w:val="Hyperlink"/>
            <w:b w:val="0"/>
            <w:bCs/>
          </w:rPr>
          <w:t xml:space="preserve">obs and </w:t>
        </w:r>
        <w:r w:rsidR="00ED6CFE" w:rsidRPr="0026773B">
          <w:rPr>
            <w:rStyle w:val="Hyperlink"/>
            <w:b w:val="0"/>
            <w:bCs/>
          </w:rPr>
          <w:t>c</w:t>
        </w:r>
        <w:r w:rsidRPr="0026773B">
          <w:rPr>
            <w:rStyle w:val="Hyperlink"/>
            <w:b w:val="0"/>
            <w:bCs/>
          </w:rPr>
          <w:t>areers website</w:t>
        </w:r>
      </w:hyperlink>
      <w:r>
        <w:t>, or in the case of vacancies for graduate</w:t>
      </w:r>
      <w:r w:rsidR="00B00EA8">
        <w:t xml:space="preserve"> </w:t>
      </w:r>
      <w:r>
        <w:t xml:space="preserve">roles or graduate development programs, </w:t>
      </w:r>
      <w:r w:rsidR="00F56A80">
        <w:t xml:space="preserve">on </w:t>
      </w:r>
      <w:r>
        <w:t xml:space="preserve">the Queensland Government graduate </w:t>
      </w:r>
      <w:r w:rsidR="00F56A80">
        <w:t>portal</w:t>
      </w:r>
      <w:r>
        <w:t>. Acceptance</w:t>
      </w:r>
      <w:r w:rsidR="00B00EA8">
        <w:t xml:space="preserve"> </w:t>
      </w:r>
      <w:r>
        <w:t>of applications submitted after advertising closes is at the discretion of the panel.</w:t>
      </w:r>
    </w:p>
    <w:p w14:paraId="322C58D8" w14:textId="77777777" w:rsidR="00F56A80" w:rsidRDefault="00F56A80" w:rsidP="00B5030E">
      <w:pPr>
        <w:pStyle w:val="Numberedlist2"/>
        <w:numPr>
          <w:ilvl w:val="0"/>
          <w:numId w:val="0"/>
        </w:numPr>
        <w:ind w:left="426"/>
        <w:contextualSpacing w:val="0"/>
      </w:pPr>
    </w:p>
    <w:p w14:paraId="76811F03" w14:textId="47823067" w:rsidR="0031615A" w:rsidRPr="001A383E" w:rsidRDefault="0031615A">
      <w:pPr>
        <w:pStyle w:val="Numberedlist2"/>
        <w:numPr>
          <w:ilvl w:val="1"/>
          <w:numId w:val="5"/>
        </w:numPr>
        <w:spacing w:after="80"/>
        <w:ind w:left="426" w:hanging="426"/>
        <w:contextualSpacing w:val="0"/>
      </w:pPr>
      <w:r>
        <w:lastRenderedPageBreak/>
        <w:t xml:space="preserve">The following information must be provided when a vacancy is </w:t>
      </w:r>
      <w:r w:rsidRPr="001A383E">
        <w:t>advertised</w:t>
      </w:r>
      <w:r w:rsidR="004B3109" w:rsidRPr="001A383E">
        <w:rPr>
          <w:rStyle w:val="FootnoteReference"/>
        </w:rPr>
        <w:footnoteReference w:id="2"/>
      </w:r>
      <w:r w:rsidRPr="001A383E">
        <w:t>:</w:t>
      </w:r>
    </w:p>
    <w:p w14:paraId="3BBD7D59" w14:textId="635A2023" w:rsidR="00E42B8E" w:rsidRPr="00E42B8E" w:rsidRDefault="00E42B8E">
      <w:pPr>
        <w:pStyle w:val="Numberedlist2"/>
        <w:numPr>
          <w:ilvl w:val="0"/>
          <w:numId w:val="15"/>
        </w:numPr>
        <w:ind w:left="851" w:hanging="425"/>
        <w:contextualSpacing w:val="0"/>
        <w:rPr>
          <w:rFonts w:asciiTheme="minorHAnsi" w:eastAsiaTheme="minorEastAsia" w:hAnsiTheme="minorHAnsi"/>
          <w:szCs w:val="22"/>
          <w:lang w:val="en-US"/>
        </w:rPr>
      </w:pPr>
      <w:r w:rsidRPr="001A383E">
        <w:rPr>
          <w:lang w:val="en-US"/>
        </w:rPr>
        <w:t>a description of the duties to b</w:t>
      </w:r>
      <w:r w:rsidR="00A145A9">
        <w:t>e undertaken and the key capabilities</w:t>
      </w:r>
      <w:r w:rsidR="0071227B" w:rsidRPr="001A383E">
        <w:rPr>
          <w:rStyle w:val="FootnoteReference"/>
          <w:lang w:val="en-US"/>
        </w:rPr>
        <w:footnoteReference w:id="3"/>
      </w:r>
      <w:r w:rsidRPr="00E42B8E">
        <w:rPr>
          <w:lang w:val="en-US"/>
        </w:rPr>
        <w:t xml:space="preserve"> against</w:t>
      </w:r>
      <w:r w:rsidRPr="4A7FBBEB">
        <w:rPr>
          <w:lang w:val="en-US"/>
        </w:rPr>
        <w:t xml:space="preserve"> which applicants’ merit will be assessed</w:t>
      </w:r>
      <w:r w:rsidR="00A476BA">
        <w:rPr>
          <w:rStyle w:val="FootnoteReference"/>
          <w:lang w:val="en-US"/>
        </w:rPr>
        <w:footnoteReference w:id="4"/>
      </w:r>
    </w:p>
    <w:p w14:paraId="6F7E902D" w14:textId="0F328659" w:rsidR="00E42B8E" w:rsidRPr="00E42B8E" w:rsidRDefault="00E42B8E">
      <w:pPr>
        <w:pStyle w:val="Numberedlist2"/>
        <w:numPr>
          <w:ilvl w:val="0"/>
          <w:numId w:val="15"/>
        </w:numPr>
        <w:ind w:left="851" w:hanging="425"/>
        <w:contextualSpacing w:val="0"/>
        <w:rPr>
          <w:lang w:val="en-US"/>
        </w:rPr>
      </w:pPr>
      <w:r w:rsidRPr="4A7FBBEB">
        <w:rPr>
          <w:lang w:val="en-US"/>
        </w:rPr>
        <w:t>any mandatory qualifications or conditions including, if a chief executive has designated a role as an identified role, the mandatory attribute(s) applicants must possess to be eligible for appointment</w:t>
      </w:r>
    </w:p>
    <w:p w14:paraId="656E0E2C" w14:textId="1F52F594" w:rsidR="00E42B8E" w:rsidRPr="00E42B8E" w:rsidRDefault="00E42B8E">
      <w:pPr>
        <w:pStyle w:val="Numberedlist2"/>
        <w:numPr>
          <w:ilvl w:val="0"/>
          <w:numId w:val="15"/>
        </w:numPr>
        <w:ind w:left="851" w:hanging="425"/>
        <w:contextualSpacing w:val="0"/>
        <w:rPr>
          <w:lang w:val="en-US"/>
        </w:rPr>
      </w:pPr>
      <w:r w:rsidRPr="4A7FBBEB">
        <w:rPr>
          <w:lang w:val="en-US"/>
        </w:rPr>
        <w:t>the location and duration of the vacancy</w:t>
      </w:r>
      <w:r w:rsidR="00F56A80">
        <w:rPr>
          <w:lang w:val="en-US"/>
        </w:rPr>
        <w:t xml:space="preserve"> or </w:t>
      </w:r>
      <w:r w:rsidR="00472727">
        <w:rPr>
          <w:lang w:val="en-US"/>
        </w:rPr>
        <w:t>vacanc</w:t>
      </w:r>
      <w:r w:rsidRPr="4A7FBBEB">
        <w:rPr>
          <w:lang w:val="en-US"/>
        </w:rPr>
        <w:t xml:space="preserve">ies (e.g. permanent, </w:t>
      </w:r>
      <w:r w:rsidR="00C3146A" w:rsidRPr="4A7FBBEB">
        <w:rPr>
          <w:lang w:val="en-US"/>
        </w:rPr>
        <w:t>fixed</w:t>
      </w:r>
      <w:r w:rsidR="00F363E9" w:rsidRPr="4A7FBBEB">
        <w:rPr>
          <w:lang w:val="en-US"/>
        </w:rPr>
        <w:t xml:space="preserve"> </w:t>
      </w:r>
      <w:r w:rsidR="00C3146A" w:rsidRPr="4A7FBBEB">
        <w:rPr>
          <w:lang w:val="en-US"/>
        </w:rPr>
        <w:t xml:space="preserve">term </w:t>
      </w:r>
      <w:r w:rsidRPr="4A7FBBEB">
        <w:rPr>
          <w:lang w:val="en-US"/>
        </w:rPr>
        <w:t>temporary)</w:t>
      </w:r>
    </w:p>
    <w:p w14:paraId="4A22A9B1" w14:textId="48FF959B" w:rsidR="00E42B8E" w:rsidRPr="00E42B8E" w:rsidRDefault="00E42B8E" w:rsidP="00E37C03">
      <w:pPr>
        <w:pStyle w:val="Numberedlist2"/>
        <w:keepNext w:val="0"/>
        <w:numPr>
          <w:ilvl w:val="0"/>
          <w:numId w:val="15"/>
        </w:numPr>
        <w:ind w:left="850" w:hanging="425"/>
        <w:contextualSpacing w:val="0"/>
        <w:rPr>
          <w:lang w:val="en-US"/>
        </w:rPr>
      </w:pPr>
      <w:r w:rsidRPr="4A7FBBEB">
        <w:rPr>
          <w:lang w:val="en-US"/>
        </w:rPr>
        <w:t>any pre-employment checks including disciplinary history and criminal history that may be undertaken</w:t>
      </w:r>
    </w:p>
    <w:p w14:paraId="2ED4C0DF" w14:textId="77777777" w:rsidR="00E42B8E" w:rsidRPr="00E42B8E" w:rsidRDefault="00E42B8E" w:rsidP="00E37C03">
      <w:pPr>
        <w:pStyle w:val="Numberedlist2"/>
        <w:keepNext w:val="0"/>
        <w:numPr>
          <w:ilvl w:val="0"/>
          <w:numId w:val="15"/>
        </w:numPr>
        <w:ind w:left="850" w:hanging="425"/>
        <w:contextualSpacing w:val="0"/>
        <w:rPr>
          <w:lang w:val="en-US"/>
        </w:rPr>
      </w:pPr>
      <w:r w:rsidRPr="4A7FBBEB">
        <w:rPr>
          <w:lang w:val="en-US"/>
        </w:rPr>
        <w:t>any probationary period which may apply</w:t>
      </w:r>
    </w:p>
    <w:p w14:paraId="44421CFE" w14:textId="27450EEA" w:rsidR="00FC316F" w:rsidRPr="00742F17" w:rsidRDefault="00E42B8E" w:rsidP="00E37C03">
      <w:pPr>
        <w:pStyle w:val="Numberedlist2"/>
        <w:keepNext w:val="0"/>
        <w:numPr>
          <w:ilvl w:val="0"/>
          <w:numId w:val="15"/>
        </w:numPr>
        <w:ind w:left="850" w:hanging="425"/>
        <w:contextualSpacing w:val="0"/>
        <w:rPr>
          <w:lang w:val="en-US"/>
        </w:rPr>
      </w:pPr>
      <w:bookmarkStart w:id="2" w:name="_Hlk48832348"/>
      <w:r w:rsidRPr="4A7FBBEB">
        <w:rPr>
          <w:lang w:val="en-US"/>
        </w:rPr>
        <w:t>information regarding the obligations of newly appointed public service employees to disclose employment as a lobbyist</w:t>
      </w:r>
      <w:r w:rsidR="00E15690">
        <w:rPr>
          <w:lang w:val="en-US"/>
        </w:rPr>
        <w:t xml:space="preserve"> and any previous serious disciplinary history</w:t>
      </w:r>
      <w:r w:rsidRPr="4A7FBBEB">
        <w:rPr>
          <w:lang w:val="en-US"/>
        </w:rPr>
        <w:t>.</w:t>
      </w:r>
    </w:p>
    <w:bookmarkEnd w:id="2"/>
    <w:p w14:paraId="462D98AE" w14:textId="3027465C" w:rsidR="00A13BEF" w:rsidRDefault="00A13BEF" w:rsidP="00E37C03">
      <w:pPr>
        <w:pStyle w:val="Numberedlist2"/>
        <w:keepNext w:val="0"/>
        <w:numPr>
          <w:ilvl w:val="1"/>
          <w:numId w:val="5"/>
        </w:numPr>
        <w:ind w:left="426" w:hanging="426"/>
        <w:contextualSpacing w:val="0"/>
      </w:pPr>
      <w:r>
        <w:t>Information on classification and/or salary range may also be included, however agencies may</w:t>
      </w:r>
      <w:r w:rsidR="00742F17">
        <w:t xml:space="preserve"> </w:t>
      </w:r>
      <w:r>
        <w:t>elect to seek applicants’ expressions of desired salary range, particularly where a range of roles</w:t>
      </w:r>
      <w:r w:rsidR="00742F17">
        <w:t xml:space="preserve"> </w:t>
      </w:r>
      <w:r>
        <w:t>are vacant. Salary payable remains tied to the relevant classification level and applicable industrial</w:t>
      </w:r>
      <w:r w:rsidR="00742F17">
        <w:t xml:space="preserve"> </w:t>
      </w:r>
      <w:r>
        <w:t>instrument.</w:t>
      </w:r>
    </w:p>
    <w:p w14:paraId="5E47250C" w14:textId="34CD74BC" w:rsidR="00A13BEF" w:rsidRDefault="00A13BEF" w:rsidP="00E37C03">
      <w:pPr>
        <w:pStyle w:val="Numberedlist2"/>
        <w:keepNext w:val="0"/>
        <w:numPr>
          <w:ilvl w:val="1"/>
          <w:numId w:val="5"/>
        </w:numPr>
        <w:spacing w:after="80"/>
        <w:ind w:left="426" w:hanging="426"/>
        <w:contextualSpacing w:val="0"/>
      </w:pPr>
      <w:r>
        <w:t>Vacancies are not required to be advertised where they are:</w:t>
      </w:r>
    </w:p>
    <w:p w14:paraId="6A653564" w14:textId="429AF158" w:rsidR="00A13BEF" w:rsidRPr="00742F17" w:rsidRDefault="00A13BEF" w:rsidP="00E37C03">
      <w:pPr>
        <w:pStyle w:val="Numberedlist2"/>
        <w:keepNext w:val="0"/>
        <w:numPr>
          <w:ilvl w:val="0"/>
          <w:numId w:val="21"/>
        </w:numPr>
        <w:ind w:left="851" w:hanging="425"/>
        <w:contextualSpacing w:val="0"/>
        <w:rPr>
          <w:lang w:val="en-US"/>
        </w:rPr>
      </w:pPr>
      <w:r w:rsidRPr="00742F17">
        <w:rPr>
          <w:lang w:val="en-US"/>
        </w:rPr>
        <w:t xml:space="preserve">for </w:t>
      </w:r>
      <w:r w:rsidR="009D02D1" w:rsidRPr="009D02D1">
        <w:t>entry level roles</w:t>
      </w:r>
    </w:p>
    <w:p w14:paraId="47BE3D15" w14:textId="101B3201" w:rsidR="00A13BEF" w:rsidRPr="00742F17" w:rsidRDefault="00A13BEF" w:rsidP="00E37C03">
      <w:pPr>
        <w:pStyle w:val="Numberedlist2"/>
        <w:keepNext w:val="0"/>
        <w:numPr>
          <w:ilvl w:val="0"/>
          <w:numId w:val="21"/>
        </w:numPr>
        <w:ind w:left="851" w:hanging="425"/>
        <w:contextualSpacing w:val="0"/>
        <w:rPr>
          <w:lang w:val="en-US"/>
        </w:rPr>
      </w:pPr>
      <w:r w:rsidRPr="4A7FBBEB">
        <w:rPr>
          <w:lang w:val="en-US"/>
        </w:rPr>
        <w:t xml:space="preserve">to be filled for a period of </w:t>
      </w:r>
      <w:r w:rsidR="17BFEB56" w:rsidRPr="4A7FBBEB">
        <w:rPr>
          <w:lang w:val="en-US"/>
        </w:rPr>
        <w:t xml:space="preserve">up </w:t>
      </w:r>
      <w:proofErr w:type="gramStart"/>
      <w:r w:rsidR="17BFEB56" w:rsidRPr="4A7FBBEB">
        <w:rPr>
          <w:lang w:val="en-US"/>
        </w:rPr>
        <w:t xml:space="preserve">to </w:t>
      </w:r>
      <w:r w:rsidRPr="4A7FBBEB">
        <w:rPr>
          <w:lang w:val="en-US"/>
        </w:rPr>
        <w:t xml:space="preserve"> </w:t>
      </w:r>
      <w:r w:rsidR="00CF6E89" w:rsidRPr="4A7FBBEB">
        <w:rPr>
          <w:lang w:val="en-US"/>
        </w:rPr>
        <w:t>six</w:t>
      </w:r>
      <w:proofErr w:type="gramEnd"/>
      <w:r w:rsidR="00CF6E89" w:rsidRPr="4A7FBBEB">
        <w:rPr>
          <w:lang w:val="en-US"/>
        </w:rPr>
        <w:t xml:space="preserve"> </w:t>
      </w:r>
      <w:r w:rsidRPr="4A7FBBEB">
        <w:rPr>
          <w:lang w:val="en-US"/>
        </w:rPr>
        <w:t>months</w:t>
      </w:r>
      <w:r w:rsidR="00D31AAE" w:rsidRPr="4A7FBBEB">
        <w:rPr>
          <w:lang w:val="en-US"/>
        </w:rPr>
        <w:t>, subject to clause</w:t>
      </w:r>
      <w:r w:rsidR="00063CEB">
        <w:rPr>
          <w:lang w:val="en-US"/>
        </w:rPr>
        <w:t>s</w:t>
      </w:r>
      <w:r w:rsidR="00BE7613">
        <w:rPr>
          <w:lang w:val="en-US"/>
        </w:rPr>
        <w:t xml:space="preserve"> 6</w:t>
      </w:r>
      <w:r w:rsidR="00D31AAE" w:rsidRPr="4A7FBBEB">
        <w:rPr>
          <w:lang w:val="en-US"/>
        </w:rPr>
        <w:t>.7</w:t>
      </w:r>
      <w:r w:rsidR="00F56A80">
        <w:rPr>
          <w:lang w:val="en-US"/>
        </w:rPr>
        <w:t xml:space="preserve"> and </w:t>
      </w:r>
      <w:r w:rsidR="00BE7613">
        <w:rPr>
          <w:lang w:val="en-US"/>
        </w:rPr>
        <w:t>6.8</w:t>
      </w:r>
    </w:p>
    <w:p w14:paraId="683A1CDA" w14:textId="4FABB953" w:rsidR="00A13BEF" w:rsidRPr="00742F17" w:rsidRDefault="00A13BEF" w:rsidP="00E37C03">
      <w:pPr>
        <w:pStyle w:val="Numberedlist2"/>
        <w:keepNext w:val="0"/>
        <w:numPr>
          <w:ilvl w:val="0"/>
          <w:numId w:val="21"/>
        </w:numPr>
        <w:ind w:left="851" w:hanging="425"/>
        <w:contextualSpacing w:val="0"/>
        <w:rPr>
          <w:lang w:val="en-US"/>
        </w:rPr>
      </w:pPr>
      <w:r w:rsidRPr="00742F17">
        <w:rPr>
          <w:lang w:val="en-US"/>
        </w:rPr>
        <w:t xml:space="preserve">to be filled via transfer, </w:t>
      </w:r>
      <w:proofErr w:type="gramStart"/>
      <w:r w:rsidRPr="00742F17">
        <w:rPr>
          <w:lang w:val="en-US"/>
        </w:rPr>
        <w:t>redeployment</w:t>
      </w:r>
      <w:proofErr w:type="gramEnd"/>
      <w:r w:rsidRPr="00742F17">
        <w:rPr>
          <w:lang w:val="en-US"/>
        </w:rPr>
        <w:t xml:space="preserve"> or secondment at or below level</w:t>
      </w:r>
    </w:p>
    <w:p w14:paraId="1871C950" w14:textId="55E9AA67" w:rsidR="00A13BEF" w:rsidRPr="00742F17" w:rsidRDefault="00A13BEF" w:rsidP="00E37C03">
      <w:pPr>
        <w:pStyle w:val="Numberedlist2"/>
        <w:keepNext w:val="0"/>
        <w:numPr>
          <w:ilvl w:val="0"/>
          <w:numId w:val="21"/>
        </w:numPr>
        <w:ind w:left="851" w:hanging="425"/>
        <w:contextualSpacing w:val="0"/>
        <w:rPr>
          <w:lang w:val="en-US"/>
        </w:rPr>
      </w:pPr>
      <w:r w:rsidRPr="00742F17">
        <w:rPr>
          <w:lang w:val="en-US"/>
        </w:rPr>
        <w:t xml:space="preserve">to be filled using an order of merit for a </w:t>
      </w:r>
      <w:r w:rsidR="009D02D1" w:rsidRPr="009D02D1">
        <w:t>recurring vacancy</w:t>
      </w:r>
    </w:p>
    <w:p w14:paraId="4273EA7B" w14:textId="69033908" w:rsidR="00F363E9" w:rsidRDefault="00A13BEF" w:rsidP="00E37C03">
      <w:pPr>
        <w:pStyle w:val="Numberedlist2"/>
        <w:keepNext w:val="0"/>
        <w:numPr>
          <w:ilvl w:val="0"/>
          <w:numId w:val="21"/>
        </w:numPr>
        <w:ind w:left="851" w:hanging="425"/>
        <w:contextualSpacing w:val="0"/>
        <w:rPr>
          <w:lang w:val="en-US"/>
        </w:rPr>
      </w:pPr>
      <w:r w:rsidRPr="00742F17">
        <w:rPr>
          <w:lang w:val="en-US"/>
        </w:rPr>
        <w:t>for a casual role.</w:t>
      </w:r>
    </w:p>
    <w:p w14:paraId="53B20914" w14:textId="55F7BC01" w:rsidR="00C45E8D" w:rsidRDefault="00BA6B91" w:rsidP="00E37C03">
      <w:pPr>
        <w:pStyle w:val="Numberedlist2"/>
        <w:keepNext w:val="0"/>
        <w:numPr>
          <w:ilvl w:val="1"/>
          <w:numId w:val="5"/>
        </w:numPr>
        <w:spacing w:after="80"/>
        <w:ind w:left="426" w:hanging="426"/>
        <w:contextualSpacing w:val="0"/>
        <w:rPr>
          <w:lang w:val="en-US"/>
        </w:rPr>
      </w:pPr>
      <w:r w:rsidRPr="5977EACD">
        <w:rPr>
          <w:lang w:val="en-US"/>
        </w:rPr>
        <w:t xml:space="preserve">A vacancy filled under clause </w:t>
      </w:r>
      <w:r w:rsidR="00BE7613">
        <w:rPr>
          <w:lang w:val="en-US"/>
        </w:rPr>
        <w:t>6</w:t>
      </w:r>
      <w:r w:rsidRPr="5977EACD">
        <w:rPr>
          <w:lang w:val="en-US"/>
        </w:rPr>
        <w:t>.6(b)</w:t>
      </w:r>
      <w:r w:rsidR="004E7443">
        <w:rPr>
          <w:lang w:val="en-US"/>
        </w:rPr>
        <w:t xml:space="preserve"> </w:t>
      </w:r>
      <w:r w:rsidRPr="5977EACD">
        <w:rPr>
          <w:lang w:val="en-US"/>
        </w:rPr>
        <w:t xml:space="preserve">may only be filled without advertising for a further period </w:t>
      </w:r>
      <w:r w:rsidR="00C452B3">
        <w:rPr>
          <w:lang w:val="en-US"/>
        </w:rPr>
        <w:t>where</w:t>
      </w:r>
      <w:r w:rsidR="00ED1EC8">
        <w:rPr>
          <w:lang w:val="en-US"/>
        </w:rPr>
        <w:t xml:space="preserve"> it had been expected that the </w:t>
      </w:r>
      <w:r w:rsidR="003C4721">
        <w:rPr>
          <w:lang w:val="en-US"/>
        </w:rPr>
        <w:t xml:space="preserve">initial </w:t>
      </w:r>
      <w:r w:rsidR="00ED1EC8">
        <w:rPr>
          <w:lang w:val="en-US"/>
        </w:rPr>
        <w:t>vacancy would only be required to be filled</w:t>
      </w:r>
      <w:r w:rsidR="003C4721">
        <w:rPr>
          <w:lang w:val="en-US"/>
        </w:rPr>
        <w:t xml:space="preserve"> for a period </w:t>
      </w:r>
      <w:r w:rsidR="00CE1AB8">
        <w:rPr>
          <w:lang w:val="en-US"/>
        </w:rPr>
        <w:t xml:space="preserve">of </w:t>
      </w:r>
      <w:r w:rsidR="003C4721">
        <w:rPr>
          <w:lang w:val="en-US"/>
        </w:rPr>
        <w:t xml:space="preserve">up to </w:t>
      </w:r>
      <w:r w:rsidR="00C45E8D">
        <w:rPr>
          <w:lang w:val="en-US"/>
        </w:rPr>
        <w:t>six months</w:t>
      </w:r>
      <w:r w:rsidR="008921D3">
        <w:rPr>
          <w:lang w:val="en-US"/>
        </w:rPr>
        <w:t>.</w:t>
      </w:r>
    </w:p>
    <w:p w14:paraId="45388992" w14:textId="1BF4569F" w:rsidR="00BA6B91" w:rsidRPr="00BA6B91" w:rsidRDefault="001D16A7" w:rsidP="00E37C03">
      <w:pPr>
        <w:pStyle w:val="Numberedlist2"/>
        <w:keepNext w:val="0"/>
        <w:numPr>
          <w:ilvl w:val="1"/>
          <w:numId w:val="5"/>
        </w:numPr>
        <w:spacing w:after="80"/>
        <w:ind w:left="426" w:hanging="426"/>
        <w:contextualSpacing w:val="0"/>
        <w:rPr>
          <w:lang w:val="en-US"/>
        </w:rPr>
      </w:pPr>
      <w:r>
        <w:rPr>
          <w:lang w:val="en-US"/>
        </w:rPr>
        <w:t xml:space="preserve">The </w:t>
      </w:r>
      <w:r w:rsidR="00C454D3">
        <w:rPr>
          <w:lang w:val="en-US"/>
        </w:rPr>
        <w:t xml:space="preserve">duration </w:t>
      </w:r>
      <w:r w:rsidR="0012300C">
        <w:rPr>
          <w:lang w:val="en-US"/>
        </w:rPr>
        <w:t>of a further period</w:t>
      </w:r>
      <w:r w:rsidR="00067F9F">
        <w:rPr>
          <w:lang w:val="en-US"/>
        </w:rPr>
        <w:t xml:space="preserve"> </w:t>
      </w:r>
      <w:r w:rsidR="00B11704">
        <w:rPr>
          <w:lang w:val="en-US"/>
        </w:rPr>
        <w:t xml:space="preserve">in clause </w:t>
      </w:r>
      <w:r w:rsidR="00BE7613">
        <w:rPr>
          <w:lang w:val="en-US"/>
        </w:rPr>
        <w:t>6</w:t>
      </w:r>
      <w:r w:rsidR="00B11704">
        <w:rPr>
          <w:lang w:val="en-US"/>
        </w:rPr>
        <w:t xml:space="preserve">.7 is </w:t>
      </w:r>
      <w:r w:rsidR="00BA6B91" w:rsidRPr="5977EACD">
        <w:rPr>
          <w:lang w:val="en-US"/>
        </w:rPr>
        <w:t xml:space="preserve">up to six months, </w:t>
      </w:r>
      <w:r w:rsidR="00117789">
        <w:rPr>
          <w:lang w:val="en-US"/>
        </w:rPr>
        <w:t>with the combined</w:t>
      </w:r>
      <w:r w:rsidR="009130F6">
        <w:rPr>
          <w:lang w:val="en-US"/>
        </w:rPr>
        <w:t xml:space="preserve"> total </w:t>
      </w:r>
      <w:r w:rsidR="00067F9F">
        <w:rPr>
          <w:lang w:val="en-US"/>
        </w:rPr>
        <w:t>duration</w:t>
      </w:r>
      <w:r w:rsidR="009130F6">
        <w:rPr>
          <w:lang w:val="en-US"/>
        </w:rPr>
        <w:t xml:space="preserve"> </w:t>
      </w:r>
      <w:r w:rsidR="003F5F4F">
        <w:rPr>
          <w:lang w:val="en-US"/>
        </w:rPr>
        <w:t>that the vacancy</w:t>
      </w:r>
      <w:r w:rsidR="003312AC">
        <w:rPr>
          <w:lang w:val="en-US"/>
        </w:rPr>
        <w:t xml:space="preserve"> may be filled without advertising</w:t>
      </w:r>
      <w:r w:rsidR="003F5F4F">
        <w:rPr>
          <w:lang w:val="en-US"/>
        </w:rPr>
        <w:t xml:space="preserve"> </w:t>
      </w:r>
      <w:r w:rsidR="00117789">
        <w:rPr>
          <w:lang w:val="en-US"/>
        </w:rPr>
        <w:t>being</w:t>
      </w:r>
      <w:r w:rsidR="009130F6">
        <w:rPr>
          <w:lang w:val="en-US"/>
        </w:rPr>
        <w:t xml:space="preserve"> up to 12 months</w:t>
      </w:r>
      <w:r w:rsidR="00781007">
        <w:rPr>
          <w:lang w:val="en-US"/>
        </w:rPr>
        <w:t xml:space="preserve">. </w:t>
      </w:r>
      <w:r w:rsidR="00B54B8E">
        <w:rPr>
          <w:lang w:val="en-US"/>
        </w:rPr>
        <w:t>The filling of the vacancy for a</w:t>
      </w:r>
      <w:r w:rsidR="00781007">
        <w:rPr>
          <w:lang w:val="en-US"/>
        </w:rPr>
        <w:t xml:space="preserve">ny </w:t>
      </w:r>
      <w:r w:rsidR="003312AC">
        <w:rPr>
          <w:lang w:val="en-US"/>
        </w:rPr>
        <w:t>additional</w:t>
      </w:r>
      <w:r w:rsidR="00781007">
        <w:rPr>
          <w:lang w:val="en-US"/>
        </w:rPr>
        <w:t xml:space="preserve"> </w:t>
      </w:r>
      <w:r w:rsidR="00BA221B">
        <w:rPr>
          <w:lang w:val="en-US"/>
        </w:rPr>
        <w:t>period</w:t>
      </w:r>
      <w:r w:rsidR="009130F6">
        <w:rPr>
          <w:lang w:val="en-US"/>
        </w:rPr>
        <w:t xml:space="preserve"> </w:t>
      </w:r>
      <w:r w:rsidR="00B54B8E">
        <w:rPr>
          <w:lang w:val="en-US"/>
        </w:rPr>
        <w:t>must be advertised.</w:t>
      </w:r>
      <w:r w:rsidR="00BA6B91" w:rsidRPr="5977EACD">
        <w:rPr>
          <w:lang w:val="en-US"/>
        </w:rPr>
        <w:t xml:space="preserve"> </w:t>
      </w:r>
    </w:p>
    <w:p w14:paraId="62D00252" w14:textId="4A96E77A" w:rsidR="00BF6575" w:rsidRPr="00FE4854" w:rsidRDefault="009C3AE3" w:rsidP="00E37C03">
      <w:pPr>
        <w:pStyle w:val="Numberedlist2"/>
        <w:keepNext w:val="0"/>
        <w:numPr>
          <w:ilvl w:val="1"/>
          <w:numId w:val="5"/>
        </w:numPr>
        <w:spacing w:after="80"/>
        <w:ind w:left="426" w:hanging="426"/>
        <w:contextualSpacing w:val="0"/>
        <w:rPr>
          <w:lang w:val="en-US"/>
        </w:rPr>
      </w:pPr>
      <w:r w:rsidRPr="5977EACD">
        <w:rPr>
          <w:lang w:val="en-US"/>
        </w:rPr>
        <w:t>A chief executive may exempt a vacancy from advertising or elect to limit the advertising only</w:t>
      </w:r>
      <w:r w:rsidR="007F570C" w:rsidRPr="5977EACD">
        <w:rPr>
          <w:lang w:val="en-US"/>
        </w:rPr>
        <w:t xml:space="preserve"> </w:t>
      </w:r>
      <w:r w:rsidRPr="5977EACD">
        <w:rPr>
          <w:lang w:val="en-US"/>
        </w:rPr>
        <w:t>where they consider there is justification for doing so. In determining whether to exercise their</w:t>
      </w:r>
      <w:r w:rsidR="007F570C" w:rsidRPr="5977EACD">
        <w:rPr>
          <w:lang w:val="en-US"/>
        </w:rPr>
        <w:t xml:space="preserve"> </w:t>
      </w:r>
      <w:r w:rsidRPr="5977EACD">
        <w:rPr>
          <w:lang w:val="en-US"/>
        </w:rPr>
        <w:t>discretion under this clause, the chief executive must consider:</w:t>
      </w:r>
    </w:p>
    <w:p w14:paraId="7E0EB879" w14:textId="0E3A81CA" w:rsidR="009C3AE3" w:rsidRPr="00585966" w:rsidRDefault="009C3AE3" w:rsidP="00E37C03">
      <w:pPr>
        <w:pStyle w:val="Numberedlist2"/>
        <w:keepNext w:val="0"/>
        <w:numPr>
          <w:ilvl w:val="0"/>
          <w:numId w:val="31"/>
        </w:numPr>
        <w:ind w:left="851" w:hanging="425"/>
        <w:contextualSpacing w:val="0"/>
        <w:rPr>
          <w:lang w:val="en-US"/>
        </w:rPr>
      </w:pPr>
      <w:r w:rsidRPr="00585966">
        <w:rPr>
          <w:lang w:val="en-US"/>
        </w:rPr>
        <w:t>their obligations under the PS</w:t>
      </w:r>
      <w:r w:rsidR="0046556E">
        <w:rPr>
          <w:lang w:val="en-US"/>
        </w:rPr>
        <w:t xml:space="preserve"> </w:t>
      </w:r>
      <w:r w:rsidRPr="00585966">
        <w:rPr>
          <w:lang w:val="en-US"/>
        </w:rPr>
        <w:t>A</w:t>
      </w:r>
      <w:r w:rsidR="0046556E">
        <w:rPr>
          <w:lang w:val="en-US"/>
        </w:rPr>
        <w:t>ct</w:t>
      </w:r>
      <w:r w:rsidRPr="00585966">
        <w:rPr>
          <w:lang w:val="en-US"/>
        </w:rPr>
        <w:t>, including the effective and efficient use of resources (s98),</w:t>
      </w:r>
      <w:r w:rsidR="007F570C" w:rsidRPr="00585966">
        <w:rPr>
          <w:lang w:val="en-US"/>
        </w:rPr>
        <w:t xml:space="preserve"> </w:t>
      </w:r>
      <w:r w:rsidRPr="00585966">
        <w:rPr>
          <w:lang w:val="en-US"/>
        </w:rPr>
        <w:t>adherence to the management and employment principles (s99), the attraction of a diverse</w:t>
      </w:r>
      <w:r w:rsidR="00585966" w:rsidRPr="00585966">
        <w:rPr>
          <w:lang w:val="en-US"/>
        </w:rPr>
        <w:t xml:space="preserve"> </w:t>
      </w:r>
      <w:r w:rsidRPr="00585966">
        <w:rPr>
          <w:lang w:val="en-US"/>
        </w:rPr>
        <w:t>workforce (s25) and the provision of equality of employment opportunity (s30)</w:t>
      </w:r>
    </w:p>
    <w:p w14:paraId="15C7E6C1" w14:textId="634A3D93" w:rsidR="009C3AE3" w:rsidRPr="009C3AE3" w:rsidRDefault="009C3AE3" w:rsidP="00E37C03">
      <w:pPr>
        <w:pStyle w:val="Numberedlist2"/>
        <w:keepNext w:val="0"/>
        <w:numPr>
          <w:ilvl w:val="0"/>
          <w:numId w:val="31"/>
        </w:numPr>
        <w:ind w:left="851" w:hanging="425"/>
        <w:contextualSpacing w:val="0"/>
        <w:rPr>
          <w:lang w:val="en-US"/>
        </w:rPr>
      </w:pPr>
      <w:r w:rsidRPr="009C3AE3">
        <w:rPr>
          <w:lang w:val="en-US"/>
        </w:rPr>
        <w:t>how merit will be assessed should an exemption be approved</w:t>
      </w:r>
    </w:p>
    <w:p w14:paraId="30EC4A10" w14:textId="3E73C8C2" w:rsidR="009C3AE3" w:rsidRPr="009C3AE3" w:rsidRDefault="009C3AE3" w:rsidP="00E37C03">
      <w:pPr>
        <w:pStyle w:val="Numberedlist2"/>
        <w:keepNext w:val="0"/>
        <w:numPr>
          <w:ilvl w:val="0"/>
          <w:numId w:val="31"/>
        </w:numPr>
        <w:ind w:left="851" w:hanging="425"/>
        <w:contextualSpacing w:val="0"/>
        <w:rPr>
          <w:lang w:val="en-US"/>
        </w:rPr>
      </w:pPr>
      <w:r w:rsidRPr="009C3AE3">
        <w:rPr>
          <w:lang w:val="en-US"/>
        </w:rPr>
        <w:t>whether an advertised vacancy process occurred previously</w:t>
      </w:r>
      <w:r w:rsidR="000C668A">
        <w:rPr>
          <w:rStyle w:val="FootnoteReference"/>
          <w:lang w:val="en-US"/>
        </w:rPr>
        <w:footnoteReference w:id="5"/>
      </w:r>
    </w:p>
    <w:p w14:paraId="441B01E2" w14:textId="1A9DBCAF" w:rsidR="009C3AE3" w:rsidRPr="00585966" w:rsidRDefault="009C3AE3" w:rsidP="00E37C03">
      <w:pPr>
        <w:pStyle w:val="Numberedlist2"/>
        <w:keepNext w:val="0"/>
        <w:numPr>
          <w:ilvl w:val="0"/>
          <w:numId w:val="31"/>
        </w:numPr>
        <w:ind w:left="851" w:hanging="425"/>
        <w:contextualSpacing w:val="0"/>
        <w:rPr>
          <w:lang w:val="en-US"/>
        </w:rPr>
      </w:pPr>
      <w:r w:rsidRPr="00585966">
        <w:rPr>
          <w:lang w:val="en-US"/>
        </w:rPr>
        <w:lastRenderedPageBreak/>
        <w:t xml:space="preserve">whether the role classification or nature (e.g. </w:t>
      </w:r>
      <w:r w:rsidR="00290E8C">
        <w:rPr>
          <w:lang w:val="en-US"/>
        </w:rPr>
        <w:t>fixed term</w:t>
      </w:r>
      <w:r w:rsidR="00290E8C" w:rsidRPr="00585966">
        <w:rPr>
          <w:lang w:val="en-US"/>
        </w:rPr>
        <w:t xml:space="preserve"> </w:t>
      </w:r>
      <w:r w:rsidRPr="00585966">
        <w:rPr>
          <w:lang w:val="en-US"/>
        </w:rPr>
        <w:t>temporary to permanent) has changed,</w:t>
      </w:r>
      <w:r w:rsidR="00585966" w:rsidRPr="00585966">
        <w:rPr>
          <w:lang w:val="en-US"/>
        </w:rPr>
        <w:t xml:space="preserve"> </w:t>
      </w:r>
      <w:r w:rsidRPr="00585966">
        <w:rPr>
          <w:lang w:val="en-US"/>
        </w:rPr>
        <w:t xml:space="preserve">including as part of a </w:t>
      </w:r>
      <w:proofErr w:type="spellStart"/>
      <w:r w:rsidRPr="00585966">
        <w:rPr>
          <w:lang w:val="en-US"/>
        </w:rPr>
        <w:t>progressional</w:t>
      </w:r>
      <w:proofErr w:type="spellEnd"/>
      <w:r w:rsidRPr="00585966">
        <w:rPr>
          <w:lang w:val="en-US"/>
        </w:rPr>
        <w:t xml:space="preserve"> scheme</w:t>
      </w:r>
    </w:p>
    <w:p w14:paraId="149FD811" w14:textId="066EE570" w:rsidR="009C3AE3" w:rsidRPr="00585966" w:rsidRDefault="009C3AE3" w:rsidP="00E37C03">
      <w:pPr>
        <w:pStyle w:val="Numberedlist2"/>
        <w:keepNext w:val="0"/>
        <w:numPr>
          <w:ilvl w:val="0"/>
          <w:numId w:val="31"/>
        </w:numPr>
        <w:ind w:left="851" w:hanging="425"/>
        <w:contextualSpacing w:val="0"/>
        <w:rPr>
          <w:lang w:val="en-US"/>
        </w:rPr>
      </w:pPr>
      <w:r w:rsidRPr="00585966">
        <w:rPr>
          <w:lang w:val="en-US"/>
        </w:rPr>
        <w:t>whether exemption from or limited advertising will prevent the displacement of existing</w:t>
      </w:r>
      <w:r w:rsidR="00585966" w:rsidRPr="00585966">
        <w:rPr>
          <w:lang w:val="en-US"/>
        </w:rPr>
        <w:t xml:space="preserve"> </w:t>
      </w:r>
      <w:r w:rsidRPr="00585966">
        <w:rPr>
          <w:lang w:val="en-US"/>
        </w:rPr>
        <w:t>permanent public service employees</w:t>
      </w:r>
    </w:p>
    <w:p w14:paraId="73E04454" w14:textId="6C3F4B2C" w:rsidR="00742F17" w:rsidRPr="00585966" w:rsidRDefault="009C3AE3" w:rsidP="00E37C03">
      <w:pPr>
        <w:pStyle w:val="Numberedlist2"/>
        <w:keepNext w:val="0"/>
        <w:numPr>
          <w:ilvl w:val="0"/>
          <w:numId w:val="31"/>
        </w:numPr>
        <w:ind w:left="851" w:hanging="425"/>
        <w:contextualSpacing w:val="0"/>
        <w:rPr>
          <w:lang w:val="en-US"/>
        </w:rPr>
      </w:pPr>
      <w:r w:rsidRPr="00585966">
        <w:rPr>
          <w:lang w:val="en-US"/>
        </w:rPr>
        <w:t>what impact, if any, would there be on the achievement of the department’s service delivery</w:t>
      </w:r>
      <w:r w:rsidR="00585966" w:rsidRPr="00585966">
        <w:rPr>
          <w:lang w:val="en-US"/>
        </w:rPr>
        <w:t xml:space="preserve"> </w:t>
      </w:r>
      <w:r w:rsidRPr="00585966">
        <w:rPr>
          <w:lang w:val="en-US"/>
        </w:rPr>
        <w:t>outcomes.</w:t>
      </w:r>
    </w:p>
    <w:p w14:paraId="271E6BC1" w14:textId="6E87760C" w:rsidR="00FC316F" w:rsidRDefault="00D63802" w:rsidP="00431DDB">
      <w:pPr>
        <w:pStyle w:val="Heading2"/>
        <w:keepNext w:val="0"/>
        <w:keepLines w:val="0"/>
        <w:widowControl w:val="0"/>
        <w:numPr>
          <w:ilvl w:val="0"/>
          <w:numId w:val="5"/>
        </w:numPr>
        <w:ind w:left="426" w:hanging="426"/>
      </w:pPr>
      <w:r>
        <w:t>Merit assessment and decisions</w:t>
      </w:r>
    </w:p>
    <w:p w14:paraId="18DE65D3" w14:textId="55DFC549" w:rsidR="00033C48" w:rsidRDefault="00033C48" w:rsidP="00431DDB">
      <w:pPr>
        <w:pStyle w:val="Numberedlist2"/>
        <w:keepNext w:val="0"/>
        <w:keepLines w:val="0"/>
        <w:widowControl w:val="0"/>
        <w:numPr>
          <w:ilvl w:val="1"/>
          <w:numId w:val="5"/>
        </w:numPr>
        <w:ind w:left="426" w:hanging="426"/>
        <w:contextualSpacing w:val="0"/>
      </w:pPr>
      <w:r>
        <w:t>Me</w:t>
      </w:r>
      <w:r w:rsidRPr="00821F94">
        <w:t xml:space="preserve">rit assessment must occur irrespective of whether a vacancy is advertised or not. Subject to clause </w:t>
      </w:r>
      <w:r w:rsidR="00552106">
        <w:t>7</w:t>
      </w:r>
      <w:r w:rsidRPr="00821F94">
        <w:t>.2, chief</w:t>
      </w:r>
      <w:r>
        <w:t xml:space="preserve"> executives are responsible for determining the activities required to assess merit.</w:t>
      </w:r>
    </w:p>
    <w:p w14:paraId="26F51BB5" w14:textId="3977B975" w:rsidR="00033C48" w:rsidRDefault="00033C48" w:rsidP="00431DDB">
      <w:pPr>
        <w:pStyle w:val="Numberedlist2"/>
        <w:keepNext w:val="0"/>
        <w:keepLines w:val="0"/>
        <w:widowControl w:val="0"/>
        <w:numPr>
          <w:ilvl w:val="1"/>
          <w:numId w:val="5"/>
        </w:numPr>
        <w:spacing w:before="40"/>
        <w:ind w:left="426" w:hanging="426"/>
        <w:contextualSpacing w:val="0"/>
      </w:pPr>
      <w:r>
        <w:t>Assessment processes for advertised vacancies must:</w:t>
      </w:r>
    </w:p>
    <w:p w14:paraId="145A0AED" w14:textId="7E5A09E8" w:rsidR="00033C48" w:rsidRPr="00033C48" w:rsidRDefault="00033C48" w:rsidP="00431DDB">
      <w:pPr>
        <w:pStyle w:val="Numberedlist2"/>
        <w:keepNext w:val="0"/>
        <w:keepLines w:val="0"/>
        <w:widowControl w:val="0"/>
        <w:numPr>
          <w:ilvl w:val="0"/>
          <w:numId w:val="35"/>
        </w:numPr>
        <w:spacing w:before="40" w:after="80"/>
        <w:ind w:left="851" w:hanging="425"/>
        <w:contextualSpacing w:val="0"/>
        <w:rPr>
          <w:lang w:val="en-US"/>
        </w:rPr>
      </w:pPr>
      <w:r w:rsidRPr="00033C48">
        <w:rPr>
          <w:lang w:val="en-US"/>
        </w:rPr>
        <w:t>incorporate selection techniques that enable a sufficiently comprehensive assessment of the applicants’ merit within the current context and duties of the role</w:t>
      </w:r>
    </w:p>
    <w:p w14:paraId="0D5214AC" w14:textId="5F3AF64D" w:rsidR="00033C48" w:rsidRPr="00033C48" w:rsidRDefault="00033C48" w:rsidP="00431DDB">
      <w:pPr>
        <w:pStyle w:val="Numberedlist2"/>
        <w:keepNext w:val="0"/>
        <w:keepLines w:val="0"/>
        <w:widowControl w:val="0"/>
        <w:numPr>
          <w:ilvl w:val="0"/>
          <w:numId w:val="35"/>
        </w:numPr>
        <w:spacing w:before="40" w:after="80"/>
        <w:ind w:left="851" w:hanging="425"/>
        <w:contextualSpacing w:val="0"/>
        <w:rPr>
          <w:lang w:val="en-US"/>
        </w:rPr>
      </w:pPr>
      <w:r w:rsidRPr="00033C48">
        <w:rPr>
          <w:lang w:val="en-US"/>
        </w:rPr>
        <w:t xml:space="preserve">take into consideration all merit information before the </w:t>
      </w:r>
      <w:r w:rsidR="00A25496" w:rsidRPr="00A25496">
        <w:t>selection panel</w:t>
      </w:r>
      <w:r w:rsidRPr="00033C48">
        <w:rPr>
          <w:lang w:val="en-US"/>
        </w:rPr>
        <w:t>, rather than focusing on one aspect of the assessment process (e.g. interview performance)</w:t>
      </w:r>
    </w:p>
    <w:p w14:paraId="20EFCFDF" w14:textId="14E78128" w:rsidR="00033C48" w:rsidRPr="00033C48" w:rsidRDefault="00033C48" w:rsidP="00431DDB">
      <w:pPr>
        <w:pStyle w:val="Numberedlist2"/>
        <w:keepNext w:val="0"/>
        <w:keepLines w:val="0"/>
        <w:widowControl w:val="0"/>
        <w:numPr>
          <w:ilvl w:val="0"/>
          <w:numId w:val="35"/>
        </w:numPr>
        <w:spacing w:before="40" w:after="80"/>
        <w:ind w:left="851" w:hanging="425"/>
        <w:contextualSpacing w:val="0"/>
        <w:rPr>
          <w:lang w:val="en-US"/>
        </w:rPr>
      </w:pPr>
      <w:r w:rsidRPr="00033C48">
        <w:rPr>
          <w:lang w:val="en-US"/>
        </w:rPr>
        <w:t xml:space="preserve">incorporate pre-employment checks including referee checking as per clause </w:t>
      </w:r>
      <w:r w:rsidR="00BE7613">
        <w:rPr>
          <w:lang w:val="en-US"/>
        </w:rPr>
        <w:t>8</w:t>
      </w:r>
    </w:p>
    <w:p w14:paraId="2B065922" w14:textId="67F67120" w:rsidR="00033C48" w:rsidRPr="00033C48" w:rsidRDefault="00033C48" w:rsidP="00431DDB">
      <w:pPr>
        <w:pStyle w:val="Numberedlist2"/>
        <w:keepNext w:val="0"/>
        <w:keepLines w:val="0"/>
        <w:widowControl w:val="0"/>
        <w:numPr>
          <w:ilvl w:val="0"/>
          <w:numId w:val="35"/>
        </w:numPr>
        <w:spacing w:before="40" w:after="80"/>
        <w:ind w:left="851" w:hanging="425"/>
        <w:contextualSpacing w:val="0"/>
        <w:rPr>
          <w:lang w:val="en-US"/>
        </w:rPr>
      </w:pPr>
      <w:r w:rsidRPr="00033C48">
        <w:rPr>
          <w:lang w:val="en-US"/>
        </w:rPr>
        <w:t>measure the relative merit of each applicant</w:t>
      </w:r>
      <w:r w:rsidR="00B5030E">
        <w:rPr>
          <w:lang w:val="en-US"/>
        </w:rPr>
        <w:t>,</w:t>
      </w:r>
      <w:r w:rsidRPr="00033C48">
        <w:rPr>
          <w:lang w:val="en-US"/>
        </w:rPr>
        <w:t xml:space="preserve"> and</w:t>
      </w:r>
    </w:p>
    <w:p w14:paraId="2B4C6F88" w14:textId="196B6EA9" w:rsidR="00FC316F" w:rsidRDefault="00033C48" w:rsidP="00431DDB">
      <w:pPr>
        <w:pStyle w:val="Numberedlist2"/>
        <w:keepNext w:val="0"/>
        <w:keepLines w:val="0"/>
        <w:widowControl w:val="0"/>
        <w:numPr>
          <w:ilvl w:val="0"/>
          <w:numId w:val="35"/>
        </w:numPr>
        <w:ind w:left="851" w:hanging="425"/>
        <w:contextualSpacing w:val="0"/>
        <w:rPr>
          <w:lang w:val="en-US"/>
        </w:rPr>
      </w:pPr>
      <w:r w:rsidRPr="00033C48">
        <w:rPr>
          <w:lang w:val="en-US"/>
        </w:rPr>
        <w:t>be consistent with the principles of employment equity and anti-discrimination.</w:t>
      </w:r>
    </w:p>
    <w:p w14:paraId="29616D7D" w14:textId="4BAC9B4B" w:rsidR="00A14EA8" w:rsidRPr="00F363E9" w:rsidRDefault="00ED7833" w:rsidP="00431DDB">
      <w:pPr>
        <w:pStyle w:val="Numberedlist2"/>
        <w:keepNext w:val="0"/>
        <w:keepLines w:val="0"/>
        <w:widowControl w:val="0"/>
        <w:numPr>
          <w:ilvl w:val="1"/>
          <w:numId w:val="5"/>
        </w:numPr>
        <w:ind w:left="426" w:hanging="426"/>
        <w:contextualSpacing w:val="0"/>
      </w:pPr>
      <w:r w:rsidRPr="00ED7833">
        <w:t>Selection decisions for advertised vacancies must be clearly documented and able to be</w:t>
      </w:r>
      <w:r>
        <w:t xml:space="preserve"> </w:t>
      </w:r>
      <w:r w:rsidRPr="00ED7833">
        <w:t>independently reviewed, including a statement explaining the basis on which the panel has</w:t>
      </w:r>
      <w:r>
        <w:t xml:space="preserve"> </w:t>
      </w:r>
      <w:r w:rsidRPr="00ED7833">
        <w:t>concluded that the recommended appointee is the most meritorious (i.e. has demonstrated</w:t>
      </w:r>
      <w:r>
        <w:t xml:space="preserve"> </w:t>
      </w:r>
      <w:r w:rsidRPr="00ED7833">
        <w:t>superior merit against the key attributes of the role as compared to the other applicants)</w:t>
      </w:r>
      <w:r w:rsidR="00A14EA8">
        <w:t>.</w:t>
      </w:r>
    </w:p>
    <w:p w14:paraId="60E1F49F" w14:textId="39BE56EE" w:rsidR="00ED7833" w:rsidRPr="00ED7833" w:rsidRDefault="00ED7833" w:rsidP="00431DDB">
      <w:pPr>
        <w:pStyle w:val="Numberedlist2"/>
        <w:keepNext w:val="0"/>
        <w:keepLines w:val="0"/>
        <w:widowControl w:val="0"/>
        <w:numPr>
          <w:ilvl w:val="1"/>
          <w:numId w:val="5"/>
        </w:numPr>
        <w:ind w:left="426" w:hanging="426"/>
        <w:contextualSpacing w:val="0"/>
      </w:pPr>
      <w:r w:rsidRPr="00ED7833">
        <w:t>Chief executives must determine the documentation required for selection decisions for non</w:t>
      </w:r>
      <w:r w:rsidR="00441FD0">
        <w:t>-</w:t>
      </w:r>
      <w:r w:rsidRPr="00ED7833">
        <w:t>advertised</w:t>
      </w:r>
      <w:r>
        <w:t xml:space="preserve"> </w:t>
      </w:r>
      <w:r w:rsidRPr="00ED7833">
        <w:t>vacancies, having regard to the nature and duration of the vacancy.</w:t>
      </w:r>
    </w:p>
    <w:p w14:paraId="51E06DC9" w14:textId="26F8F41C" w:rsidR="00ED7833" w:rsidRPr="00ED7833" w:rsidRDefault="00ED7833" w:rsidP="00431DDB">
      <w:pPr>
        <w:pStyle w:val="Numberedlist2"/>
        <w:keepNext w:val="0"/>
        <w:keepLines w:val="0"/>
        <w:widowControl w:val="0"/>
        <w:numPr>
          <w:ilvl w:val="1"/>
          <w:numId w:val="5"/>
        </w:numPr>
        <w:ind w:left="426" w:hanging="426"/>
        <w:contextualSpacing w:val="0"/>
      </w:pPr>
      <w:r w:rsidRPr="00ED7833">
        <w:t>If the selection panel recommends an order of merit, a comparative statement clearly describing</w:t>
      </w:r>
      <w:r>
        <w:t xml:space="preserve"> </w:t>
      </w:r>
      <w:r w:rsidRPr="00ED7833">
        <w:t xml:space="preserve">the specific reasons why each recommended applicant </w:t>
      </w:r>
      <w:proofErr w:type="gramStart"/>
      <w:r w:rsidRPr="00ED7833">
        <w:t>is considered to be</w:t>
      </w:r>
      <w:proofErr w:type="gramEnd"/>
      <w:r w:rsidRPr="00ED7833">
        <w:t xml:space="preserve"> more meritorious than</w:t>
      </w:r>
      <w:r>
        <w:t xml:space="preserve"> </w:t>
      </w:r>
      <w:r w:rsidRPr="00ED7833">
        <w:t>the next in the order of merit, must be provided.</w:t>
      </w:r>
    </w:p>
    <w:p w14:paraId="64969A7D" w14:textId="0E7BE1EF" w:rsidR="00ED7833" w:rsidRPr="00ED7833" w:rsidRDefault="00ED7833" w:rsidP="00431DDB">
      <w:pPr>
        <w:pStyle w:val="Numberedlist2"/>
        <w:keepNext w:val="0"/>
        <w:keepLines w:val="0"/>
        <w:widowControl w:val="0"/>
        <w:numPr>
          <w:ilvl w:val="1"/>
          <w:numId w:val="5"/>
        </w:numPr>
        <w:ind w:left="426" w:hanging="426"/>
        <w:contextualSpacing w:val="0"/>
      </w:pPr>
      <w:r w:rsidRPr="00ED7833">
        <w:t>In approving an appointment, the decision maker must be satisfied the proposed</w:t>
      </w:r>
      <w:r>
        <w:t xml:space="preserve"> </w:t>
      </w:r>
      <w:r w:rsidRPr="00ED7833">
        <w:t>appointee is the most meritorious and</w:t>
      </w:r>
      <w:r w:rsidR="00F56A80">
        <w:t>,</w:t>
      </w:r>
      <w:r w:rsidRPr="00ED7833">
        <w:t xml:space="preserve"> where applicable the selection process complies with the</w:t>
      </w:r>
      <w:r>
        <w:t xml:space="preserve"> </w:t>
      </w:r>
      <w:r w:rsidRPr="00ED7833">
        <w:t>PS</w:t>
      </w:r>
      <w:r w:rsidR="00A700FD">
        <w:t xml:space="preserve"> </w:t>
      </w:r>
      <w:r w:rsidRPr="00ED7833">
        <w:t>A</w:t>
      </w:r>
      <w:r w:rsidR="00A700FD">
        <w:t>ct</w:t>
      </w:r>
      <w:r w:rsidRPr="00ED7833">
        <w:t xml:space="preserve"> and this directive.</w:t>
      </w:r>
    </w:p>
    <w:p w14:paraId="79ED24A8" w14:textId="3649568A" w:rsidR="00ED7833" w:rsidRDefault="00ED7833" w:rsidP="00431DDB">
      <w:pPr>
        <w:pStyle w:val="Numberedlist2"/>
        <w:keepNext w:val="0"/>
        <w:keepLines w:val="0"/>
        <w:widowControl w:val="0"/>
        <w:numPr>
          <w:ilvl w:val="1"/>
          <w:numId w:val="5"/>
        </w:numPr>
        <w:ind w:left="426" w:hanging="426"/>
        <w:contextualSpacing w:val="0"/>
      </w:pPr>
      <w:r w:rsidRPr="00ED7833">
        <w:t>Selection decisions and notification of outcomes must take place in a timely manner. To facilitate</w:t>
      </w:r>
      <w:r>
        <w:t xml:space="preserve"> </w:t>
      </w:r>
      <w:r w:rsidRPr="00ED7833">
        <w:t xml:space="preserve">this, panels should be </w:t>
      </w:r>
      <w:proofErr w:type="gramStart"/>
      <w:r w:rsidRPr="00ED7833">
        <w:t>formed</w:t>
      </w:r>
      <w:proofErr w:type="gramEnd"/>
      <w:r w:rsidRPr="00ED7833">
        <w:t xml:space="preserve"> and selection strategies determined prior or concurrent to</w:t>
      </w:r>
      <w:r>
        <w:t xml:space="preserve"> </w:t>
      </w:r>
      <w:r w:rsidRPr="00ED7833">
        <w:t>advertising. A vacancy advertisement will lapse if no appointment is made within six months of the</w:t>
      </w:r>
      <w:r>
        <w:t xml:space="preserve"> </w:t>
      </w:r>
      <w:r w:rsidRPr="00ED7833">
        <w:t>closing date of the vacancy.</w:t>
      </w:r>
    </w:p>
    <w:p w14:paraId="2A0384C1" w14:textId="77777777" w:rsidR="000E1376" w:rsidRDefault="003119B2" w:rsidP="00431DDB">
      <w:pPr>
        <w:pStyle w:val="Numberedlist2"/>
        <w:keepNext w:val="0"/>
        <w:keepLines w:val="0"/>
        <w:widowControl w:val="0"/>
        <w:numPr>
          <w:ilvl w:val="1"/>
          <w:numId w:val="5"/>
        </w:numPr>
        <w:ind w:left="426" w:hanging="426"/>
        <w:contextualSpacing w:val="0"/>
      </w:pPr>
      <w:r>
        <w:t>To promote integrity in recruitment, selection panel documentation must include a declaration from each panel member and the decision maker that identifies</w:t>
      </w:r>
      <w:r w:rsidR="000E1376">
        <w:t>:</w:t>
      </w:r>
    </w:p>
    <w:p w14:paraId="16F2BD3B" w14:textId="77777777" w:rsidR="007D5416" w:rsidRDefault="003119B2" w:rsidP="00431DDB">
      <w:pPr>
        <w:pStyle w:val="Numberedlist2"/>
        <w:keepNext w:val="0"/>
        <w:keepLines w:val="0"/>
        <w:widowControl w:val="0"/>
        <w:numPr>
          <w:ilvl w:val="0"/>
          <w:numId w:val="55"/>
        </w:numPr>
        <w:spacing w:before="40" w:after="80"/>
        <w:ind w:left="851" w:hanging="425"/>
        <w:contextualSpacing w:val="0"/>
        <w:rPr>
          <w:lang w:val="en-US"/>
        </w:rPr>
      </w:pPr>
      <w:r w:rsidRPr="000E1376">
        <w:rPr>
          <w:lang w:val="en-US"/>
        </w:rPr>
        <w:t>any actual, potential, or reasonably perceived conflicts of interest between the panel member or decision maker and applicants for the role</w:t>
      </w:r>
      <w:r w:rsidR="004B7C99">
        <w:rPr>
          <w:lang w:val="en-US"/>
        </w:rPr>
        <w:t>, or</w:t>
      </w:r>
    </w:p>
    <w:p w14:paraId="2DF790B1" w14:textId="21F7613A" w:rsidR="003119B2" w:rsidRPr="00BE2E74" w:rsidRDefault="007D5416" w:rsidP="00431DDB">
      <w:pPr>
        <w:pStyle w:val="Numberedlist2"/>
        <w:keepNext w:val="0"/>
        <w:keepLines w:val="0"/>
        <w:widowControl w:val="0"/>
        <w:numPr>
          <w:ilvl w:val="0"/>
          <w:numId w:val="55"/>
        </w:numPr>
        <w:spacing w:before="40" w:after="80"/>
        <w:ind w:left="851" w:hanging="425"/>
        <w:contextualSpacing w:val="0"/>
        <w:rPr>
          <w:lang w:val="en-US"/>
        </w:rPr>
      </w:pPr>
      <w:r>
        <w:rPr>
          <w:lang w:val="en-US"/>
        </w:rPr>
        <w:t xml:space="preserve">the absence of </w:t>
      </w:r>
      <w:r w:rsidR="007A0BEE">
        <w:rPr>
          <w:lang w:val="en-US"/>
        </w:rPr>
        <w:t>a conflict of interest</w:t>
      </w:r>
      <w:r w:rsidR="00846EDE">
        <w:rPr>
          <w:lang w:val="en-US"/>
        </w:rPr>
        <w:t xml:space="preserve"> </w:t>
      </w:r>
      <w:r w:rsidR="00846EDE" w:rsidRPr="000E1376">
        <w:rPr>
          <w:lang w:val="en-US"/>
        </w:rPr>
        <w:t>between the panel member or decision maker and applicants for the role</w:t>
      </w:r>
      <w:r w:rsidR="003119B2" w:rsidRPr="000E1376">
        <w:rPr>
          <w:lang w:val="en-US"/>
        </w:rPr>
        <w:t>.</w:t>
      </w:r>
      <w:r w:rsidR="007D65E7" w:rsidRPr="000E1376">
        <w:rPr>
          <w:lang w:val="en-US"/>
        </w:rPr>
        <w:t xml:space="preserve"> </w:t>
      </w:r>
    </w:p>
    <w:p w14:paraId="70AFC16B" w14:textId="0892033E" w:rsidR="00FC316F" w:rsidRDefault="00030AD4" w:rsidP="00551917">
      <w:pPr>
        <w:pStyle w:val="Heading2"/>
        <w:numPr>
          <w:ilvl w:val="0"/>
          <w:numId w:val="5"/>
        </w:numPr>
        <w:ind w:left="425" w:hanging="425"/>
      </w:pPr>
      <w:r>
        <w:lastRenderedPageBreak/>
        <w:t>Pre-employment checking (including referee checks)</w:t>
      </w:r>
    </w:p>
    <w:p w14:paraId="1F0CE49D" w14:textId="22549173" w:rsidR="00F66575" w:rsidRDefault="00F66575" w:rsidP="00551917">
      <w:pPr>
        <w:pStyle w:val="Numberedlist2"/>
        <w:numPr>
          <w:ilvl w:val="1"/>
          <w:numId w:val="5"/>
        </w:numPr>
        <w:ind w:left="425" w:hanging="425"/>
        <w:contextualSpacing w:val="0"/>
      </w:pPr>
      <w:r>
        <w:t>Pre-employment checking offers the opportunity to gain further information to assist in the panel’s assessment of applicants and/or to validate the panel’s assessment.</w:t>
      </w:r>
    </w:p>
    <w:p w14:paraId="30CC7491" w14:textId="51D5762F" w:rsidR="00F66575" w:rsidRDefault="00F66575" w:rsidP="00551917">
      <w:pPr>
        <w:pStyle w:val="Numberedlist2"/>
        <w:numPr>
          <w:ilvl w:val="1"/>
          <w:numId w:val="5"/>
        </w:numPr>
        <w:ind w:left="425" w:hanging="425"/>
        <w:contextualSpacing w:val="0"/>
      </w:pPr>
      <w:r>
        <w:t>Referee checking relating to an applicant’s work behaviour and performance</w:t>
      </w:r>
      <w:r w:rsidR="002C4BA5">
        <w:t>,</w:t>
      </w:r>
      <w:r>
        <w:t xml:space="preserve"> including seeking the referee’s knowledge about past performance assessments and past </w:t>
      </w:r>
      <w:r w:rsidR="0018559B" w:rsidRPr="0018559B">
        <w:t>serious disciplinary action</w:t>
      </w:r>
      <w:r>
        <w:t xml:space="preserve"> must be conducted. The panel is responsible for determining when, during the selection process, referee checking is to be conducted.</w:t>
      </w:r>
    </w:p>
    <w:p w14:paraId="31B82662" w14:textId="3E918F4D" w:rsidR="00F66575" w:rsidRDefault="00F66575" w:rsidP="00551917">
      <w:pPr>
        <w:pStyle w:val="Numberedlist2"/>
        <w:numPr>
          <w:ilvl w:val="1"/>
          <w:numId w:val="5"/>
        </w:numPr>
        <w:ind w:left="425" w:hanging="425"/>
        <w:contextualSpacing w:val="0"/>
      </w:pPr>
      <w:r>
        <w:t>At a minimum, referee checking must be conducted in relation to the applicant</w:t>
      </w:r>
      <w:r w:rsidR="002C4BA5">
        <w:t xml:space="preserve"> or applicants</w:t>
      </w:r>
      <w:r>
        <w:t xml:space="preserve"> recommended for appointment and where applicable on an order of merit. Referee checking for other applicants is at the discretion of the panel.</w:t>
      </w:r>
    </w:p>
    <w:p w14:paraId="33CE39B6" w14:textId="6926A467" w:rsidR="00F66575" w:rsidRDefault="00F66575" w:rsidP="00551917">
      <w:pPr>
        <w:pStyle w:val="Numberedlist2"/>
        <w:numPr>
          <w:ilvl w:val="1"/>
          <w:numId w:val="5"/>
        </w:numPr>
        <w:ind w:left="425" w:hanging="425"/>
        <w:contextualSpacing w:val="0"/>
      </w:pPr>
      <w:r>
        <w:t xml:space="preserve">Unless there are extenuating circumstances, at least one referee must have thorough knowledge of the applicant’s conduct and performance within the previous two years. Where an applicant is a current or previous public service employee, the panel should </w:t>
      </w:r>
      <w:proofErr w:type="gramStart"/>
      <w:r>
        <w:t>give particular consideration to</w:t>
      </w:r>
      <w:proofErr w:type="gramEnd"/>
      <w:r>
        <w:t xml:space="preserve"> requesting the applicant nominate a referee who can report on their public service employment.</w:t>
      </w:r>
    </w:p>
    <w:p w14:paraId="7A236A0C" w14:textId="0E3C817A" w:rsidR="00FC316F" w:rsidRDefault="00F66575" w:rsidP="00551917">
      <w:pPr>
        <w:pStyle w:val="Numberedlist2"/>
        <w:numPr>
          <w:ilvl w:val="1"/>
          <w:numId w:val="5"/>
        </w:numPr>
        <w:ind w:left="425" w:hanging="425"/>
        <w:contextualSpacing w:val="0"/>
      </w:pPr>
      <w:r>
        <w:t>Referees must provide an honest account of an applicant’s performance and workplace conduct relevant to the role. For referees who are existing public service employees, the omission of relevant information or the provision of untruthful information by a referee to the referee’s own agency or to another agency may result in a discipline process being commenced.</w:t>
      </w:r>
    </w:p>
    <w:p w14:paraId="4606D09A" w14:textId="469F5679" w:rsidR="003657C5" w:rsidRPr="00691E7F" w:rsidRDefault="003657C5" w:rsidP="00551917">
      <w:pPr>
        <w:pStyle w:val="Numberedlist2"/>
        <w:numPr>
          <w:ilvl w:val="1"/>
          <w:numId w:val="5"/>
        </w:numPr>
        <w:ind w:left="425" w:hanging="425"/>
        <w:contextualSpacing w:val="0"/>
      </w:pPr>
      <w:r w:rsidRPr="003657C5">
        <w:t>Where a selection panel believes there are referees other than those nominated by the applicant</w:t>
      </w:r>
      <w:r w:rsidR="004C3DC9">
        <w:t xml:space="preserve"> </w:t>
      </w:r>
      <w:r w:rsidRPr="003657C5">
        <w:t>who hold information relevant to the selection decision, a selection panel may contact the applicant</w:t>
      </w:r>
      <w:r w:rsidR="004C3DC9">
        <w:t xml:space="preserve"> </w:t>
      </w:r>
      <w:r w:rsidRPr="003657C5">
        <w:t xml:space="preserve">for additional referees. Where an applicant declines, the panel must </w:t>
      </w:r>
      <w:r w:rsidRPr="00691E7F">
        <w:t>make its recommendation on</w:t>
      </w:r>
      <w:r w:rsidR="004C3DC9" w:rsidRPr="00691E7F">
        <w:t xml:space="preserve"> </w:t>
      </w:r>
      <w:r w:rsidRPr="00691E7F">
        <w:t>the information before it.</w:t>
      </w:r>
    </w:p>
    <w:p w14:paraId="32D3F6B4" w14:textId="54E83BE3" w:rsidR="003657C5" w:rsidRPr="003657C5" w:rsidRDefault="003657C5" w:rsidP="00551917">
      <w:pPr>
        <w:pStyle w:val="Numberedlist2"/>
        <w:numPr>
          <w:ilvl w:val="1"/>
          <w:numId w:val="5"/>
        </w:numPr>
        <w:ind w:left="425" w:hanging="425"/>
        <w:contextualSpacing w:val="0"/>
      </w:pPr>
      <w:r w:rsidRPr="00691E7F">
        <w:t>The timing and extent of any other pre-employment checks, such as serious discipline history</w:t>
      </w:r>
      <w:r w:rsidR="004C3DC9" w:rsidRPr="00691E7F">
        <w:t xml:space="preserve"> </w:t>
      </w:r>
      <w:r w:rsidRPr="00691E7F">
        <w:t>disclosure by the applicant (s179A of the PS</w:t>
      </w:r>
      <w:r w:rsidR="00A700FD" w:rsidRPr="00691E7F">
        <w:t xml:space="preserve"> </w:t>
      </w:r>
      <w:r w:rsidRPr="00691E7F">
        <w:t>A</w:t>
      </w:r>
      <w:r w:rsidR="00A700FD" w:rsidRPr="00691E7F">
        <w:t>ct</w:t>
      </w:r>
      <w:r w:rsidRPr="00691E7F">
        <w:t>), exchanges of information between departments</w:t>
      </w:r>
      <w:r w:rsidR="00F64927" w:rsidRPr="00691E7F">
        <w:t xml:space="preserve"> </w:t>
      </w:r>
      <w:r w:rsidRPr="00691E7F">
        <w:t>(s188B of the PS</w:t>
      </w:r>
      <w:r w:rsidR="00A700FD" w:rsidRPr="00691E7F">
        <w:t xml:space="preserve"> </w:t>
      </w:r>
      <w:r w:rsidRPr="00691E7F">
        <w:t>A</w:t>
      </w:r>
      <w:r w:rsidR="00A700FD" w:rsidRPr="00691E7F">
        <w:t>ct</w:t>
      </w:r>
      <w:r w:rsidRPr="00691E7F">
        <w:t>) or eligibility to work in Australia, is at the discretion of the panel. The nature,</w:t>
      </w:r>
      <w:r w:rsidR="00F64927" w:rsidRPr="00691E7F">
        <w:t xml:space="preserve"> </w:t>
      </w:r>
      <w:r w:rsidRPr="00691E7F">
        <w:t>seriousness and timeframe of the disciplinary history, including whether it shows a pattern of</w:t>
      </w:r>
      <w:r w:rsidR="00F64927" w:rsidRPr="00BD3CC9">
        <w:t xml:space="preserve"> </w:t>
      </w:r>
      <w:r w:rsidRPr="00BD3CC9">
        <w:t>behaviour</w:t>
      </w:r>
      <w:r w:rsidRPr="003657C5">
        <w:t>, and any impact on the duties and responsibilities of the role applied for, must be</w:t>
      </w:r>
      <w:r w:rsidR="00F64927">
        <w:t xml:space="preserve"> </w:t>
      </w:r>
      <w:r w:rsidRPr="003657C5">
        <w:t>considered when determining what impact, if any, there is on the applicant’s suitability for the role,</w:t>
      </w:r>
      <w:r w:rsidR="00F64927">
        <w:t xml:space="preserve"> </w:t>
      </w:r>
      <w:r w:rsidRPr="003657C5">
        <w:t>with such considerations reflected in the selection report.</w:t>
      </w:r>
    </w:p>
    <w:p w14:paraId="423FEE87" w14:textId="76D2C2EC" w:rsidR="00F66575" w:rsidRDefault="003657C5" w:rsidP="00551917">
      <w:pPr>
        <w:pStyle w:val="Numberedlist2"/>
        <w:numPr>
          <w:ilvl w:val="1"/>
          <w:numId w:val="5"/>
        </w:numPr>
        <w:ind w:left="425" w:hanging="425"/>
        <w:contextualSpacing w:val="0"/>
      </w:pPr>
      <w:r w:rsidRPr="003657C5">
        <w:t>Criminal history checks must be conducted in accordance with the PS</w:t>
      </w:r>
      <w:r w:rsidR="00A700FD">
        <w:t xml:space="preserve"> </w:t>
      </w:r>
      <w:r w:rsidRPr="003657C5">
        <w:t>A</w:t>
      </w:r>
      <w:r w:rsidR="00A700FD">
        <w:t>ct</w:t>
      </w:r>
      <w:r w:rsidRPr="003657C5">
        <w:t xml:space="preserve"> (Chapter 5, Part 6) and</w:t>
      </w:r>
      <w:r w:rsidR="000B0565">
        <w:t xml:space="preserve"> </w:t>
      </w:r>
      <w:r w:rsidRPr="003657C5">
        <w:t>any relevant directive.</w:t>
      </w:r>
    </w:p>
    <w:p w14:paraId="1B45452D" w14:textId="25DE973F" w:rsidR="000B0565" w:rsidRPr="000B0565" w:rsidRDefault="000B0565" w:rsidP="00551917">
      <w:pPr>
        <w:pStyle w:val="Heading2"/>
        <w:numPr>
          <w:ilvl w:val="0"/>
          <w:numId w:val="5"/>
        </w:numPr>
        <w:ind w:left="426" w:hanging="426"/>
      </w:pPr>
      <w:r w:rsidRPr="000B0565">
        <w:t>Dealing with adverse information that may affect the selection outcome</w:t>
      </w:r>
    </w:p>
    <w:p w14:paraId="6EC6ACA0" w14:textId="55A2678C" w:rsidR="00BF6575" w:rsidRDefault="000B0565" w:rsidP="00551917">
      <w:pPr>
        <w:pStyle w:val="Numberedlist2"/>
        <w:numPr>
          <w:ilvl w:val="1"/>
          <w:numId w:val="5"/>
        </w:numPr>
        <w:ind w:left="426" w:hanging="426"/>
        <w:contextualSpacing w:val="0"/>
      </w:pPr>
      <w:r w:rsidRPr="000B0565">
        <w:t>The selection panel is responsible for assessing the relative merit of applicants based on the</w:t>
      </w:r>
      <w:r>
        <w:t xml:space="preserve"> </w:t>
      </w:r>
      <w:r w:rsidRPr="000B0565">
        <w:t xml:space="preserve">information available to them. In some instances, this may include adverse information, </w:t>
      </w:r>
      <w:proofErr w:type="gramStart"/>
      <w:r w:rsidRPr="000B0565">
        <w:t>as a result</w:t>
      </w:r>
      <w:r>
        <w:t xml:space="preserve"> </w:t>
      </w:r>
      <w:r w:rsidRPr="000B0565">
        <w:t>of</w:t>
      </w:r>
      <w:proofErr w:type="gramEnd"/>
      <w:r w:rsidRPr="000B0565">
        <w:t xml:space="preserve"> a pre-employment check or through panel members’ pre-existing knowledge of an applicant.</w:t>
      </w:r>
      <w:r w:rsidR="001C02C4">
        <w:t xml:space="preserve"> </w:t>
      </w:r>
      <w:r w:rsidRPr="000B0565">
        <w:t xml:space="preserve">Where adverse information is </w:t>
      </w:r>
      <w:proofErr w:type="gramStart"/>
      <w:r w:rsidRPr="000B0565">
        <w:t>taken into account</w:t>
      </w:r>
      <w:proofErr w:type="gramEnd"/>
      <w:r w:rsidRPr="000B0565">
        <w:t xml:space="preserve"> by the panel </w:t>
      </w:r>
      <w:r w:rsidR="002C4BA5">
        <w:t>and</w:t>
      </w:r>
      <w:r w:rsidRPr="000B0565">
        <w:t xml:space="preserve"> it adversely affects the</w:t>
      </w:r>
      <w:r w:rsidR="001C02C4">
        <w:t xml:space="preserve"> </w:t>
      </w:r>
      <w:r w:rsidRPr="000B0565">
        <w:t xml:space="preserve">proposed selection outcome </w:t>
      </w:r>
      <w:r w:rsidR="002C4BA5">
        <w:t xml:space="preserve">i.e. </w:t>
      </w:r>
      <w:r w:rsidRPr="000B0565">
        <w:t>recommendation for appointment, the information must be put to</w:t>
      </w:r>
      <w:r w:rsidR="001C02C4">
        <w:t xml:space="preserve"> </w:t>
      </w:r>
      <w:r w:rsidRPr="000B0565">
        <w:t>the applicant for response. Any response from the applicant must be documented and considered</w:t>
      </w:r>
      <w:r w:rsidR="001C02C4">
        <w:t xml:space="preserve"> </w:t>
      </w:r>
      <w:r w:rsidRPr="000B0565">
        <w:t>by the panel ahead of making their final recommendation.</w:t>
      </w:r>
    </w:p>
    <w:p w14:paraId="727A404C" w14:textId="4084C7C2" w:rsidR="003D1F6D" w:rsidRPr="003D1F6D" w:rsidRDefault="003D1F6D" w:rsidP="00551917">
      <w:pPr>
        <w:pStyle w:val="Heading2"/>
        <w:numPr>
          <w:ilvl w:val="0"/>
          <w:numId w:val="5"/>
        </w:numPr>
        <w:ind w:left="426" w:hanging="426"/>
      </w:pPr>
      <w:r w:rsidRPr="003D1F6D">
        <w:lastRenderedPageBreak/>
        <w:t>Post selection feedback</w:t>
      </w:r>
    </w:p>
    <w:p w14:paraId="5701975F" w14:textId="1A3363B0" w:rsidR="003D1F6D" w:rsidRPr="003D1F6D" w:rsidRDefault="003D1F6D" w:rsidP="003423BD">
      <w:pPr>
        <w:pStyle w:val="Numberedlist2"/>
        <w:numPr>
          <w:ilvl w:val="1"/>
          <w:numId w:val="5"/>
        </w:numPr>
        <w:ind w:left="567" w:hanging="568"/>
        <w:contextualSpacing w:val="0"/>
      </w:pPr>
      <w:r w:rsidRPr="003D1F6D">
        <w:t xml:space="preserve">Subject to clause </w:t>
      </w:r>
      <w:r w:rsidR="00BE7613">
        <w:t>10</w:t>
      </w:r>
      <w:r w:rsidRPr="003D1F6D">
        <w:t>.2 all applicants are to be advised that they may request feedback.</w:t>
      </w:r>
    </w:p>
    <w:p w14:paraId="731909C6" w14:textId="325AB5B7" w:rsidR="003D1F6D" w:rsidRPr="003D1F6D" w:rsidRDefault="006F4515" w:rsidP="003423BD">
      <w:pPr>
        <w:pStyle w:val="Numberedlist2"/>
        <w:numPr>
          <w:ilvl w:val="1"/>
          <w:numId w:val="5"/>
        </w:numPr>
        <w:ind w:left="567" w:hanging="568"/>
        <w:contextualSpacing w:val="0"/>
      </w:pPr>
      <w:hyperlink w:anchor="Grad" w:history="1">
        <w:r w:rsidR="003D1F6D" w:rsidRPr="008F66F2">
          <w:t>Graduate</w:t>
        </w:r>
      </w:hyperlink>
      <w:r w:rsidR="003D1F6D" w:rsidRPr="003D1F6D">
        <w:t xml:space="preserve"> applicants who are interviewed are to be advised they are entitled to request feedback.</w:t>
      </w:r>
    </w:p>
    <w:p w14:paraId="21682310" w14:textId="14E539DC" w:rsidR="003D1F6D" w:rsidRDefault="003D1F6D" w:rsidP="003423BD">
      <w:pPr>
        <w:pStyle w:val="Numberedlist2"/>
        <w:numPr>
          <w:ilvl w:val="1"/>
          <w:numId w:val="5"/>
        </w:numPr>
        <w:ind w:left="567" w:hanging="568"/>
        <w:contextualSpacing w:val="0"/>
      </w:pPr>
      <w:r w:rsidRPr="003D1F6D">
        <w:t xml:space="preserve">Applicants who request feedback must receive timely, </w:t>
      </w:r>
      <w:proofErr w:type="gramStart"/>
      <w:r w:rsidRPr="003D1F6D">
        <w:t>specific</w:t>
      </w:r>
      <w:proofErr w:type="gramEnd"/>
      <w:r w:rsidRPr="003D1F6D">
        <w:t xml:space="preserve"> and constructive feedback from a</w:t>
      </w:r>
      <w:r>
        <w:t xml:space="preserve"> </w:t>
      </w:r>
      <w:r w:rsidRPr="003D1F6D">
        <w:t>member of the selection panel sufficient to explain the panel’s recommendation</w:t>
      </w:r>
      <w:r w:rsidR="002C4BA5">
        <w:t xml:space="preserve"> and the </w:t>
      </w:r>
      <w:r w:rsidRPr="003D1F6D">
        <w:t>decision maker’s</w:t>
      </w:r>
      <w:r>
        <w:t xml:space="preserve"> </w:t>
      </w:r>
      <w:r w:rsidRPr="003D1F6D">
        <w:t>decision.</w:t>
      </w:r>
    </w:p>
    <w:p w14:paraId="138ACD38" w14:textId="2ACA2EF7" w:rsidR="005C03BB" w:rsidRPr="005C03BB" w:rsidRDefault="005C03BB" w:rsidP="00551917">
      <w:pPr>
        <w:pStyle w:val="Heading2"/>
        <w:numPr>
          <w:ilvl w:val="0"/>
          <w:numId w:val="5"/>
        </w:numPr>
        <w:ind w:left="426" w:hanging="426"/>
      </w:pPr>
      <w:r w:rsidRPr="005C03BB">
        <w:t>Gazette notification</w:t>
      </w:r>
    </w:p>
    <w:p w14:paraId="56E441D9" w14:textId="38E97155" w:rsidR="005C03BB" w:rsidRPr="005C03BB" w:rsidRDefault="005C03BB" w:rsidP="003423BD">
      <w:pPr>
        <w:pStyle w:val="Numberedlist2"/>
        <w:numPr>
          <w:ilvl w:val="1"/>
          <w:numId w:val="5"/>
        </w:numPr>
        <w:ind w:left="567" w:hanging="567"/>
        <w:contextualSpacing w:val="0"/>
      </w:pPr>
      <w:r w:rsidRPr="005C03BB">
        <w:t xml:space="preserve">The following appointments must be notified in the </w:t>
      </w:r>
      <w:r w:rsidR="002C4BA5">
        <w:t>g</w:t>
      </w:r>
      <w:r w:rsidR="00880DCD" w:rsidRPr="008F66F2">
        <w:t>azette</w:t>
      </w:r>
      <w:r w:rsidRPr="005C03BB">
        <w:t xml:space="preserve"> within one month of the appointment</w:t>
      </w:r>
      <w:r>
        <w:t xml:space="preserve"> </w:t>
      </w:r>
      <w:r w:rsidRPr="005C03BB">
        <w:t>decision:</w:t>
      </w:r>
    </w:p>
    <w:p w14:paraId="0DBF106E" w14:textId="6FD9CAB5" w:rsidR="005C03BB" w:rsidRPr="005C03BB" w:rsidRDefault="005C03BB" w:rsidP="003423BD">
      <w:pPr>
        <w:pStyle w:val="Numberedlist2"/>
        <w:numPr>
          <w:ilvl w:val="0"/>
          <w:numId w:val="43"/>
        </w:numPr>
        <w:ind w:left="993" w:hanging="425"/>
        <w:contextualSpacing w:val="0"/>
        <w:rPr>
          <w:lang w:val="en-US"/>
        </w:rPr>
      </w:pPr>
      <w:r w:rsidRPr="005C03BB">
        <w:rPr>
          <w:lang w:val="en-US"/>
        </w:rPr>
        <w:t>all senior executive and senior officer appointments from an advertised vacancy</w:t>
      </w:r>
    </w:p>
    <w:p w14:paraId="75E60354" w14:textId="153E0F91" w:rsidR="005C03BB" w:rsidRPr="005C03BB" w:rsidRDefault="005C03BB" w:rsidP="003423BD">
      <w:pPr>
        <w:pStyle w:val="Numberedlist2"/>
        <w:numPr>
          <w:ilvl w:val="0"/>
          <w:numId w:val="43"/>
        </w:numPr>
        <w:ind w:left="993" w:hanging="425"/>
        <w:contextualSpacing w:val="0"/>
        <w:rPr>
          <w:lang w:val="en-US"/>
        </w:rPr>
      </w:pPr>
      <w:r w:rsidRPr="005C03BB">
        <w:rPr>
          <w:lang w:val="en-US"/>
        </w:rPr>
        <w:t>promotions of tenured public service officers from an advertised vacancy</w:t>
      </w:r>
    </w:p>
    <w:p w14:paraId="117276FB" w14:textId="59FB546D" w:rsidR="005C03BB" w:rsidRDefault="005C03BB" w:rsidP="003423BD">
      <w:pPr>
        <w:pStyle w:val="Numberedlist2"/>
        <w:numPr>
          <w:ilvl w:val="0"/>
          <w:numId w:val="43"/>
        </w:numPr>
        <w:ind w:left="993" w:hanging="425"/>
        <w:contextualSpacing w:val="0"/>
        <w:rPr>
          <w:lang w:val="en-US"/>
        </w:rPr>
      </w:pPr>
      <w:r w:rsidRPr="005C03BB">
        <w:rPr>
          <w:lang w:val="en-US"/>
        </w:rPr>
        <w:t>promotions of tenured public service officers arising from the use of the recurring vacancy provision.</w:t>
      </w:r>
    </w:p>
    <w:p w14:paraId="33B6B510" w14:textId="0F997105" w:rsidR="00A85F0F" w:rsidRPr="00A85F0F" w:rsidRDefault="00A85F0F" w:rsidP="00551917">
      <w:pPr>
        <w:pStyle w:val="Heading2"/>
        <w:numPr>
          <w:ilvl w:val="0"/>
          <w:numId w:val="5"/>
        </w:numPr>
        <w:ind w:left="426" w:hanging="426"/>
      </w:pPr>
      <w:r w:rsidRPr="00A85F0F">
        <w:t>Reporting</w:t>
      </w:r>
    </w:p>
    <w:p w14:paraId="19E2D0BC" w14:textId="6EAD9D7F" w:rsidR="00A85F0F" w:rsidRPr="00BE7613" w:rsidRDefault="00A85F0F" w:rsidP="003423BD">
      <w:pPr>
        <w:pStyle w:val="Numberedlist2"/>
        <w:numPr>
          <w:ilvl w:val="1"/>
          <w:numId w:val="5"/>
        </w:numPr>
        <w:ind w:left="567" w:hanging="568"/>
        <w:contextualSpacing w:val="0"/>
      </w:pPr>
      <w:r w:rsidRPr="00A85F0F">
        <w:t xml:space="preserve">Chief executives are required to report on the implementation of this directive </w:t>
      </w:r>
      <w:r w:rsidRPr="00BE7613">
        <w:t>as requested by the CCE.</w:t>
      </w:r>
    </w:p>
    <w:p w14:paraId="5A1BE279" w14:textId="0E33BF9B" w:rsidR="00B43511" w:rsidRPr="00BE7613" w:rsidRDefault="00B43511" w:rsidP="00551917">
      <w:pPr>
        <w:pStyle w:val="Heading2"/>
        <w:numPr>
          <w:ilvl w:val="0"/>
          <w:numId w:val="5"/>
        </w:numPr>
        <w:ind w:left="426" w:hanging="426"/>
      </w:pPr>
      <w:r w:rsidRPr="00BE7613">
        <w:t>Transitional arrangements (where applicable)</w:t>
      </w:r>
    </w:p>
    <w:p w14:paraId="7AAA6BA4" w14:textId="581C926A" w:rsidR="00E37D1E" w:rsidRPr="00BE7613" w:rsidRDefault="00E37D1E" w:rsidP="003423BD">
      <w:pPr>
        <w:pStyle w:val="Numberedlist2"/>
        <w:numPr>
          <w:ilvl w:val="1"/>
          <w:numId w:val="5"/>
        </w:numPr>
        <w:ind w:left="567" w:hanging="568"/>
        <w:contextualSpacing w:val="0"/>
      </w:pPr>
      <w:r w:rsidRPr="00BE7613">
        <w:t>At the commencement of this directive, a vacancy that ha</w:t>
      </w:r>
      <w:r w:rsidR="006D3AAA" w:rsidRPr="00BE7613">
        <w:t>s</w:t>
      </w:r>
      <w:r w:rsidRPr="00BE7613">
        <w:t xml:space="preserve"> been filled </w:t>
      </w:r>
      <w:r w:rsidR="00FB4A47" w:rsidRPr="00BE7613">
        <w:t>following</w:t>
      </w:r>
      <w:r w:rsidRPr="00BE7613">
        <w:t xml:space="preserve"> an exemption of advertising under clause 9.</w:t>
      </w:r>
      <w:r w:rsidR="006A7C05" w:rsidRPr="00BE7613">
        <w:t xml:space="preserve">6 </w:t>
      </w:r>
      <w:r w:rsidRPr="00BE7613">
        <w:t xml:space="preserve">of directive 15/13, may be filled for a further period of up to six months, without the vacancy first being advertised. </w:t>
      </w:r>
    </w:p>
    <w:p w14:paraId="03363BBC" w14:textId="77777777" w:rsidR="00B43511" w:rsidRPr="00BE7613" w:rsidRDefault="00B43511" w:rsidP="00551917">
      <w:pPr>
        <w:pStyle w:val="Heading2"/>
        <w:numPr>
          <w:ilvl w:val="0"/>
          <w:numId w:val="5"/>
        </w:numPr>
        <w:ind w:left="426" w:hanging="426"/>
      </w:pPr>
      <w:r w:rsidRPr="00BE7613">
        <w:t>Definitions</w:t>
      </w:r>
    </w:p>
    <w:p w14:paraId="3E4902B9" w14:textId="34169655" w:rsidR="004C67F0" w:rsidRDefault="004C67F0" w:rsidP="004C67F0">
      <w:pPr>
        <w:rPr>
          <w:rFonts w:ascii="Arial" w:eastAsia="Calibri" w:hAnsi="Arial" w:cs="Arial"/>
          <w:b/>
          <w:bCs/>
          <w:sz w:val="22"/>
          <w:szCs w:val="22"/>
        </w:rPr>
      </w:pPr>
      <w:r>
        <w:rPr>
          <w:rFonts w:ascii="Arial" w:eastAsia="Calibri" w:hAnsi="Arial" w:cs="Arial"/>
          <w:b/>
          <w:bCs/>
          <w:sz w:val="22"/>
          <w:szCs w:val="22"/>
        </w:rPr>
        <w:t>Agency</w:t>
      </w:r>
      <w:r w:rsidR="006524B5" w:rsidRPr="0066020D">
        <w:rPr>
          <w:rFonts w:eastAsia="Times New Roman" w:cs="Arial"/>
          <w:sz w:val="22"/>
          <w:szCs w:val="22"/>
          <w:lang w:eastAsia="en-AU"/>
        </w:rPr>
        <w:t>—</w:t>
      </w:r>
      <w:r w:rsidRPr="00834704">
        <w:rPr>
          <w:rFonts w:ascii="Arial" w:eastAsia="Calibri" w:hAnsi="Arial" w:cs="Arial"/>
          <w:sz w:val="22"/>
          <w:szCs w:val="22"/>
        </w:rPr>
        <w:t xml:space="preserve">see </w:t>
      </w:r>
      <w:r w:rsidR="0099791F">
        <w:rPr>
          <w:rFonts w:ascii="Arial" w:eastAsia="Calibri" w:hAnsi="Arial" w:cs="Arial"/>
          <w:sz w:val="22"/>
          <w:szCs w:val="22"/>
        </w:rPr>
        <w:t>a</w:t>
      </w:r>
      <w:r w:rsidRPr="00834704">
        <w:rPr>
          <w:rFonts w:ascii="Arial" w:eastAsia="Calibri" w:hAnsi="Arial" w:cs="Arial"/>
          <w:sz w:val="22"/>
          <w:szCs w:val="22"/>
        </w:rPr>
        <w:t>pplication clause</w:t>
      </w:r>
      <w:r>
        <w:rPr>
          <w:rFonts w:ascii="Arial" w:eastAsia="Calibri" w:hAnsi="Arial" w:cs="Arial"/>
          <w:sz w:val="22"/>
          <w:szCs w:val="22"/>
        </w:rPr>
        <w:t xml:space="preserve"> of this directive.</w:t>
      </w:r>
    </w:p>
    <w:p w14:paraId="0DDBA4AC" w14:textId="77777777" w:rsidR="004C67F0" w:rsidRPr="00BE7613" w:rsidRDefault="004C67F0" w:rsidP="00551917">
      <w:pPr>
        <w:keepNext/>
        <w:keepLines/>
        <w:autoSpaceDE w:val="0"/>
        <w:autoSpaceDN w:val="0"/>
        <w:adjustRightInd w:val="0"/>
        <w:rPr>
          <w:rFonts w:ascii="Arial" w:hAnsi="Arial" w:cs="Arial"/>
          <w:sz w:val="22"/>
          <w:szCs w:val="22"/>
          <w:lang w:val="en-US"/>
        </w:rPr>
      </w:pPr>
    </w:p>
    <w:p w14:paraId="11AAB56A" w14:textId="34AA5068" w:rsidR="00A41CD8" w:rsidRDefault="00A41CD8" w:rsidP="004C67F0">
      <w:pPr>
        <w:widowControl w:val="0"/>
        <w:autoSpaceDE w:val="0"/>
        <w:autoSpaceDN w:val="0"/>
        <w:adjustRightInd w:val="0"/>
        <w:rPr>
          <w:rFonts w:ascii="Arial" w:hAnsi="Arial" w:cs="Arial"/>
          <w:sz w:val="22"/>
          <w:szCs w:val="22"/>
          <w:lang w:val="en-US"/>
        </w:rPr>
      </w:pPr>
      <w:r w:rsidRPr="00BE7613">
        <w:rPr>
          <w:rFonts w:ascii="Arial" w:hAnsi="Arial" w:cs="Arial"/>
          <w:b/>
          <w:bCs/>
          <w:sz w:val="22"/>
          <w:szCs w:val="22"/>
          <w:lang w:val="en-US"/>
        </w:rPr>
        <w:t xml:space="preserve">Appoint </w:t>
      </w:r>
      <w:r w:rsidRPr="00BE7613">
        <w:rPr>
          <w:rFonts w:ascii="Arial" w:hAnsi="Arial" w:cs="Arial"/>
          <w:sz w:val="22"/>
          <w:szCs w:val="22"/>
          <w:lang w:val="en-US"/>
        </w:rPr>
        <w:t>mea</w:t>
      </w:r>
      <w:r w:rsidR="00CF2233" w:rsidRPr="00BE7613">
        <w:rPr>
          <w:rFonts w:ascii="Arial" w:hAnsi="Arial" w:cs="Arial"/>
          <w:sz w:val="22"/>
          <w:szCs w:val="22"/>
          <w:lang w:val="en-US"/>
        </w:rPr>
        <w:t>n</w:t>
      </w:r>
      <w:r w:rsidRPr="00BE7613">
        <w:rPr>
          <w:rFonts w:ascii="Arial" w:hAnsi="Arial" w:cs="Arial"/>
          <w:sz w:val="22"/>
          <w:szCs w:val="22"/>
          <w:lang w:val="en-US"/>
        </w:rPr>
        <w:t>s to employ a public service</w:t>
      </w:r>
      <w:r w:rsidRPr="00C96C63">
        <w:rPr>
          <w:rFonts w:ascii="Arial" w:hAnsi="Arial" w:cs="Arial"/>
          <w:sz w:val="22"/>
          <w:szCs w:val="22"/>
          <w:lang w:val="en-US"/>
        </w:rPr>
        <w:t xml:space="preserve"> officer, general employee or </w:t>
      </w:r>
      <w:r w:rsidR="00865CDE" w:rsidRPr="00C96C63">
        <w:rPr>
          <w:rFonts w:ascii="Arial" w:hAnsi="Arial" w:cs="Arial"/>
          <w:sz w:val="22"/>
          <w:szCs w:val="22"/>
          <w:lang w:val="en-US"/>
        </w:rPr>
        <w:t xml:space="preserve">fixed term </w:t>
      </w:r>
      <w:r w:rsidRPr="00C96C63">
        <w:rPr>
          <w:rFonts w:ascii="Arial" w:hAnsi="Arial" w:cs="Arial"/>
          <w:sz w:val="22"/>
          <w:szCs w:val="22"/>
          <w:lang w:val="en-US"/>
        </w:rPr>
        <w:t>temporary employee covered by</w:t>
      </w:r>
      <w:r w:rsidR="00CF2233" w:rsidRPr="00C96C63">
        <w:rPr>
          <w:rFonts w:ascii="Arial" w:hAnsi="Arial" w:cs="Arial"/>
          <w:sz w:val="22"/>
          <w:szCs w:val="22"/>
          <w:lang w:val="en-US"/>
        </w:rPr>
        <w:t xml:space="preserve"> </w:t>
      </w:r>
      <w:r w:rsidRPr="00C96C63">
        <w:rPr>
          <w:rFonts w:ascii="Arial" w:hAnsi="Arial" w:cs="Arial"/>
          <w:sz w:val="22"/>
          <w:szCs w:val="22"/>
          <w:lang w:val="en-US"/>
        </w:rPr>
        <w:t>this directive.</w:t>
      </w:r>
    </w:p>
    <w:p w14:paraId="04DB804C" w14:textId="73D5A744" w:rsidR="0026773B" w:rsidRDefault="0026773B" w:rsidP="004C67F0">
      <w:pPr>
        <w:widowControl w:val="0"/>
        <w:autoSpaceDE w:val="0"/>
        <w:autoSpaceDN w:val="0"/>
        <w:adjustRightInd w:val="0"/>
        <w:rPr>
          <w:rFonts w:ascii="Arial" w:hAnsi="Arial" w:cs="Arial"/>
          <w:sz w:val="22"/>
          <w:szCs w:val="22"/>
          <w:lang w:val="en-US"/>
        </w:rPr>
      </w:pPr>
    </w:p>
    <w:p w14:paraId="667EDCBA" w14:textId="3B093936" w:rsidR="0026773B" w:rsidRPr="00C96C63" w:rsidRDefault="0026773B" w:rsidP="004C67F0">
      <w:pPr>
        <w:widowControl w:val="0"/>
        <w:autoSpaceDE w:val="0"/>
        <w:autoSpaceDN w:val="0"/>
        <w:adjustRightInd w:val="0"/>
        <w:rPr>
          <w:rFonts w:ascii="Arial" w:hAnsi="Arial" w:cs="Arial"/>
          <w:sz w:val="22"/>
          <w:szCs w:val="22"/>
          <w:lang w:val="en-US"/>
        </w:rPr>
      </w:pPr>
      <w:r w:rsidRPr="0026773B">
        <w:rPr>
          <w:rFonts w:ascii="Arial" w:hAnsi="Arial" w:cs="Arial"/>
          <w:b/>
          <w:bCs/>
          <w:sz w:val="22"/>
          <w:szCs w:val="22"/>
          <w:lang w:val="en-US"/>
        </w:rPr>
        <w:t>Decision maker</w:t>
      </w:r>
      <w:r>
        <w:rPr>
          <w:rFonts w:ascii="Arial" w:hAnsi="Arial" w:cs="Arial"/>
          <w:sz w:val="22"/>
          <w:szCs w:val="22"/>
          <w:lang w:val="en-US"/>
        </w:rPr>
        <w:t xml:space="preserve"> includes a delegate.</w:t>
      </w:r>
    </w:p>
    <w:p w14:paraId="757DAA77" w14:textId="77777777" w:rsidR="00CF2233" w:rsidRPr="00C96C63" w:rsidRDefault="00CF2233" w:rsidP="004C67F0">
      <w:pPr>
        <w:widowControl w:val="0"/>
        <w:autoSpaceDE w:val="0"/>
        <w:autoSpaceDN w:val="0"/>
        <w:adjustRightInd w:val="0"/>
        <w:rPr>
          <w:rFonts w:ascii="Arial" w:hAnsi="Arial" w:cs="Arial"/>
          <w:sz w:val="22"/>
          <w:szCs w:val="22"/>
          <w:lang w:val="en-US"/>
        </w:rPr>
      </w:pPr>
    </w:p>
    <w:p w14:paraId="5CFE4C6B" w14:textId="4B4E81A8" w:rsidR="00A41CD8" w:rsidRPr="00C96C63" w:rsidRDefault="00A41CD8" w:rsidP="004C67F0">
      <w:pPr>
        <w:widowControl w:val="0"/>
        <w:autoSpaceDE w:val="0"/>
        <w:autoSpaceDN w:val="0"/>
        <w:adjustRightInd w:val="0"/>
        <w:rPr>
          <w:rFonts w:ascii="Arial" w:hAnsi="Arial" w:cs="Arial"/>
          <w:sz w:val="22"/>
          <w:szCs w:val="22"/>
          <w:lang w:val="en-US"/>
        </w:rPr>
      </w:pPr>
      <w:r w:rsidRPr="00C96C63">
        <w:rPr>
          <w:rFonts w:ascii="Arial" w:hAnsi="Arial" w:cs="Arial"/>
          <w:b/>
          <w:bCs/>
          <w:sz w:val="22"/>
          <w:szCs w:val="22"/>
          <w:lang w:val="en-US"/>
        </w:rPr>
        <w:t>Entry</w:t>
      </w:r>
      <w:r w:rsidR="007C7B75" w:rsidRPr="00C96C63">
        <w:rPr>
          <w:rFonts w:ascii="Arial" w:hAnsi="Arial" w:cs="Arial"/>
          <w:b/>
          <w:bCs/>
          <w:sz w:val="22"/>
          <w:szCs w:val="22"/>
          <w:lang w:val="en-US"/>
        </w:rPr>
        <w:t xml:space="preserve"> </w:t>
      </w:r>
      <w:r w:rsidRPr="00C96C63">
        <w:rPr>
          <w:rFonts w:ascii="Arial" w:hAnsi="Arial" w:cs="Arial"/>
          <w:b/>
          <w:bCs/>
          <w:sz w:val="22"/>
          <w:szCs w:val="22"/>
          <w:lang w:val="en-US"/>
        </w:rPr>
        <w:t>level roles</w:t>
      </w:r>
      <w:bookmarkStart w:id="3" w:name="entrty"/>
      <w:bookmarkEnd w:id="3"/>
      <w:r w:rsidRPr="00C96C63">
        <w:rPr>
          <w:rFonts w:ascii="Arial" w:hAnsi="Arial" w:cs="Arial"/>
          <w:sz w:val="22"/>
          <w:szCs w:val="22"/>
          <w:lang w:val="en-US"/>
        </w:rPr>
        <w:t xml:space="preserve">, in relation to the </w:t>
      </w:r>
      <w:r w:rsidRPr="00C96C63">
        <w:rPr>
          <w:rFonts w:ascii="Arial" w:hAnsi="Arial" w:cs="Arial"/>
          <w:i/>
          <w:iCs/>
          <w:sz w:val="22"/>
          <w:szCs w:val="22"/>
          <w:lang w:val="en-US"/>
        </w:rPr>
        <w:t xml:space="preserve">Queensland Public Service </w:t>
      </w:r>
      <w:r w:rsidR="00E876C8" w:rsidRPr="00C96C63">
        <w:rPr>
          <w:rFonts w:ascii="Arial" w:hAnsi="Arial" w:cs="Arial"/>
          <w:i/>
          <w:iCs/>
          <w:sz w:val="22"/>
          <w:szCs w:val="22"/>
          <w:lang w:val="en-US"/>
        </w:rPr>
        <w:t xml:space="preserve">Officers and Other Employees </w:t>
      </w:r>
      <w:r w:rsidRPr="00C96C63">
        <w:rPr>
          <w:rFonts w:ascii="Arial" w:hAnsi="Arial" w:cs="Arial"/>
          <w:i/>
          <w:iCs/>
          <w:sz w:val="22"/>
          <w:szCs w:val="22"/>
          <w:lang w:val="en-US"/>
        </w:rPr>
        <w:t xml:space="preserve">Award – State </w:t>
      </w:r>
      <w:r w:rsidR="00E876C8" w:rsidRPr="00C96C63">
        <w:rPr>
          <w:rFonts w:ascii="Arial" w:hAnsi="Arial" w:cs="Arial"/>
          <w:i/>
          <w:iCs/>
          <w:sz w:val="22"/>
          <w:szCs w:val="22"/>
          <w:lang w:val="en-US"/>
        </w:rPr>
        <w:t>201</w:t>
      </w:r>
      <w:r w:rsidR="00E876C8">
        <w:rPr>
          <w:rFonts w:ascii="Arial" w:hAnsi="Arial" w:cs="Arial"/>
          <w:i/>
          <w:iCs/>
          <w:sz w:val="22"/>
          <w:szCs w:val="22"/>
          <w:lang w:val="en-US"/>
        </w:rPr>
        <w:t>5</w:t>
      </w:r>
      <w:r w:rsidR="00E876C8" w:rsidRPr="00C96C63">
        <w:rPr>
          <w:rFonts w:ascii="Arial" w:hAnsi="Arial" w:cs="Arial"/>
          <w:i/>
          <w:iCs/>
          <w:sz w:val="22"/>
          <w:szCs w:val="22"/>
          <w:lang w:val="en-US"/>
        </w:rPr>
        <w:t xml:space="preserve"> </w:t>
      </w:r>
      <w:r w:rsidR="006F3124">
        <w:rPr>
          <w:rFonts w:ascii="Arial" w:hAnsi="Arial" w:cs="Arial"/>
          <w:i/>
          <w:iCs/>
          <w:sz w:val="22"/>
          <w:szCs w:val="22"/>
          <w:lang w:val="en-US"/>
        </w:rPr>
        <w:t xml:space="preserve">(QPSOOEA) </w:t>
      </w:r>
      <w:r w:rsidRPr="00C96C63">
        <w:rPr>
          <w:rFonts w:ascii="Arial" w:hAnsi="Arial" w:cs="Arial"/>
          <w:sz w:val="22"/>
          <w:szCs w:val="22"/>
          <w:lang w:val="en-US"/>
        </w:rPr>
        <w:t xml:space="preserve">are those roles at classification levels 1 and 2 of the administrative, technical, </w:t>
      </w:r>
      <w:proofErr w:type="gramStart"/>
      <w:r w:rsidRPr="00C96C63">
        <w:rPr>
          <w:rFonts w:ascii="Arial" w:hAnsi="Arial" w:cs="Arial"/>
          <w:sz w:val="22"/>
          <w:szCs w:val="22"/>
          <w:lang w:val="en-US"/>
        </w:rPr>
        <w:t>professional</w:t>
      </w:r>
      <w:proofErr w:type="gramEnd"/>
      <w:r w:rsidRPr="00C96C63">
        <w:rPr>
          <w:rFonts w:ascii="Arial" w:hAnsi="Arial" w:cs="Arial"/>
          <w:sz w:val="22"/>
          <w:szCs w:val="22"/>
          <w:lang w:val="en-US"/>
        </w:rPr>
        <w:t xml:space="preserve"> and operational streams. A role at classification level 3 of the operational stream may also be considered entry</w:t>
      </w:r>
      <w:r w:rsidR="007C7B75" w:rsidRPr="00C96C63">
        <w:rPr>
          <w:rFonts w:ascii="Arial" w:hAnsi="Arial" w:cs="Arial"/>
          <w:sz w:val="22"/>
          <w:szCs w:val="22"/>
          <w:lang w:val="en-US"/>
        </w:rPr>
        <w:t xml:space="preserve"> </w:t>
      </w:r>
      <w:r w:rsidRPr="00C96C63">
        <w:rPr>
          <w:rFonts w:ascii="Arial" w:hAnsi="Arial" w:cs="Arial"/>
          <w:sz w:val="22"/>
          <w:szCs w:val="22"/>
          <w:lang w:val="en-US"/>
        </w:rPr>
        <w:t>level where the role does not represent a career path for staff of the agency and the role has no supervisory responsibility.</w:t>
      </w:r>
    </w:p>
    <w:p w14:paraId="22C68575" w14:textId="77777777" w:rsidR="00A41CD8" w:rsidRPr="00C96C63" w:rsidRDefault="00A41CD8" w:rsidP="004C67F0">
      <w:pPr>
        <w:widowControl w:val="0"/>
        <w:autoSpaceDE w:val="0"/>
        <w:autoSpaceDN w:val="0"/>
        <w:adjustRightInd w:val="0"/>
        <w:rPr>
          <w:rFonts w:ascii="Arial" w:hAnsi="Arial" w:cs="Arial"/>
          <w:sz w:val="22"/>
          <w:szCs w:val="22"/>
          <w:lang w:val="en-US"/>
        </w:rPr>
      </w:pPr>
    </w:p>
    <w:p w14:paraId="34FA9227" w14:textId="6091E8D0" w:rsidR="00A41CD8" w:rsidRPr="00C96C63" w:rsidRDefault="00A41CD8" w:rsidP="004C67F0">
      <w:pPr>
        <w:widowControl w:val="0"/>
        <w:autoSpaceDE w:val="0"/>
        <w:autoSpaceDN w:val="0"/>
        <w:adjustRightInd w:val="0"/>
        <w:rPr>
          <w:rFonts w:ascii="Arial" w:hAnsi="Arial" w:cs="Arial"/>
          <w:sz w:val="22"/>
          <w:szCs w:val="22"/>
          <w:lang w:val="en-US"/>
        </w:rPr>
      </w:pPr>
      <w:r w:rsidRPr="00C96C63">
        <w:rPr>
          <w:rFonts w:ascii="Arial" w:hAnsi="Arial" w:cs="Arial"/>
          <w:sz w:val="22"/>
          <w:szCs w:val="22"/>
          <w:lang w:val="en-US"/>
        </w:rPr>
        <w:t xml:space="preserve">In relation to other industrial instruments, entry level roles are the lowermost classification level of a specific stream or classification structure, provided that the base superannuable salary of that classification level (not including loading or allowances) does not exceed the equivalent of AO5(4) of the </w:t>
      </w:r>
      <w:r w:rsidR="006F3124">
        <w:rPr>
          <w:rFonts w:ascii="Arial" w:hAnsi="Arial" w:cs="Arial"/>
          <w:i/>
          <w:iCs/>
          <w:sz w:val="22"/>
          <w:szCs w:val="22"/>
          <w:lang w:val="en-US"/>
        </w:rPr>
        <w:t>QPSOOEA</w:t>
      </w:r>
      <w:r w:rsidRPr="00C96C63">
        <w:rPr>
          <w:rFonts w:ascii="Arial" w:hAnsi="Arial" w:cs="Arial"/>
          <w:sz w:val="22"/>
          <w:szCs w:val="22"/>
          <w:lang w:val="en-US"/>
        </w:rPr>
        <w:t>.</w:t>
      </w:r>
    </w:p>
    <w:p w14:paraId="77A8B27E" w14:textId="7B847B91" w:rsidR="00A41CD8" w:rsidRPr="00C96C63" w:rsidRDefault="00A41CD8" w:rsidP="00551917">
      <w:pPr>
        <w:keepNext/>
        <w:keepLines/>
        <w:autoSpaceDE w:val="0"/>
        <w:autoSpaceDN w:val="0"/>
        <w:adjustRightInd w:val="0"/>
        <w:rPr>
          <w:rFonts w:ascii="Arial" w:hAnsi="Arial" w:cs="Arial"/>
          <w:sz w:val="22"/>
          <w:szCs w:val="22"/>
          <w:lang w:val="en-US"/>
        </w:rPr>
      </w:pPr>
      <w:r w:rsidRPr="00C96C63">
        <w:rPr>
          <w:rFonts w:ascii="Arial" w:hAnsi="Arial" w:cs="Arial"/>
          <w:sz w:val="22"/>
          <w:szCs w:val="22"/>
          <w:lang w:val="en-US"/>
        </w:rPr>
        <w:lastRenderedPageBreak/>
        <w:t xml:space="preserve">For roles that exceed the salary equivalent of AO5(4) of the </w:t>
      </w:r>
      <w:r w:rsidR="006F3124">
        <w:rPr>
          <w:rFonts w:ascii="Arial" w:hAnsi="Arial" w:cs="Arial"/>
          <w:i/>
          <w:iCs/>
          <w:sz w:val="22"/>
          <w:szCs w:val="22"/>
          <w:lang w:val="en-US"/>
        </w:rPr>
        <w:t>QPSOOEA</w:t>
      </w:r>
      <w:r w:rsidRPr="00C96C63">
        <w:rPr>
          <w:rFonts w:ascii="Arial" w:hAnsi="Arial" w:cs="Arial"/>
          <w:sz w:val="22"/>
          <w:szCs w:val="22"/>
          <w:lang w:val="en-US"/>
        </w:rPr>
        <w:t>, entry-level roles are the base classification level or levels determined by the chief executive and</w:t>
      </w:r>
      <w:r w:rsidR="00F363E9">
        <w:rPr>
          <w:rFonts w:ascii="Arial" w:hAnsi="Arial" w:cs="Arial"/>
          <w:sz w:val="22"/>
          <w:szCs w:val="22"/>
          <w:lang w:val="en-US"/>
        </w:rPr>
        <w:t xml:space="preserve"> </w:t>
      </w:r>
      <w:r w:rsidRPr="00C96C63">
        <w:rPr>
          <w:rFonts w:ascii="Arial" w:hAnsi="Arial" w:cs="Arial"/>
          <w:sz w:val="22"/>
          <w:szCs w:val="22"/>
          <w:lang w:val="en-US"/>
        </w:rPr>
        <w:t>approved by the CCE.</w:t>
      </w:r>
    </w:p>
    <w:p w14:paraId="3035B6FB" w14:textId="77777777" w:rsidR="00BD7C08" w:rsidRPr="00C96C63" w:rsidRDefault="00BD7C08" w:rsidP="00551917">
      <w:pPr>
        <w:keepNext/>
        <w:keepLines/>
        <w:autoSpaceDE w:val="0"/>
        <w:autoSpaceDN w:val="0"/>
        <w:adjustRightInd w:val="0"/>
        <w:rPr>
          <w:rFonts w:ascii="Arial" w:hAnsi="Arial" w:cs="Arial"/>
          <w:sz w:val="22"/>
          <w:szCs w:val="22"/>
          <w:lang w:val="en-US"/>
        </w:rPr>
      </w:pPr>
    </w:p>
    <w:p w14:paraId="7E703842" w14:textId="320816F7" w:rsidR="00D372A7" w:rsidRPr="00C96C63" w:rsidRDefault="00D372A7" w:rsidP="00551917">
      <w:pPr>
        <w:keepNext/>
        <w:keepLines/>
        <w:rPr>
          <w:rFonts w:ascii="Arial" w:hAnsi="Arial" w:cs="Arial"/>
          <w:sz w:val="22"/>
          <w:szCs w:val="22"/>
          <w:lang w:val="en-US"/>
        </w:rPr>
      </w:pPr>
      <w:r w:rsidRPr="00C96C63">
        <w:rPr>
          <w:rFonts w:ascii="Arial" w:hAnsi="Arial" w:cs="Arial"/>
          <w:b/>
          <w:bCs/>
          <w:sz w:val="22"/>
          <w:szCs w:val="22"/>
          <w:lang w:val="en-US"/>
        </w:rPr>
        <w:t>Gazette</w:t>
      </w:r>
      <w:bookmarkStart w:id="4" w:name="gazette"/>
      <w:bookmarkEnd w:id="4"/>
      <w:r w:rsidRPr="00C96C63">
        <w:rPr>
          <w:rFonts w:ascii="Arial" w:hAnsi="Arial" w:cs="Arial"/>
          <w:b/>
          <w:bCs/>
          <w:sz w:val="22"/>
          <w:szCs w:val="22"/>
          <w:lang w:val="en-US"/>
        </w:rPr>
        <w:t xml:space="preserve"> </w:t>
      </w:r>
      <w:r w:rsidRPr="00C96C63">
        <w:rPr>
          <w:rFonts w:ascii="Arial" w:hAnsi="Arial" w:cs="Arial"/>
          <w:sz w:val="22"/>
          <w:szCs w:val="22"/>
          <w:lang w:val="en-US"/>
        </w:rPr>
        <w:t>is the Queensland Government Gazette.</w:t>
      </w:r>
    </w:p>
    <w:p w14:paraId="7B65DBCA" w14:textId="2E53AA8B" w:rsidR="00BD7C08" w:rsidRPr="00C96C63" w:rsidRDefault="00BD7C08" w:rsidP="00551917">
      <w:pPr>
        <w:keepNext/>
        <w:keepLines/>
        <w:rPr>
          <w:rFonts w:ascii="Arial" w:hAnsi="Arial" w:cs="Arial"/>
          <w:sz w:val="22"/>
          <w:szCs w:val="22"/>
        </w:rPr>
      </w:pPr>
    </w:p>
    <w:p w14:paraId="12923AE4" w14:textId="1487CB86" w:rsidR="00BD7C08" w:rsidRPr="00C96C63" w:rsidRDefault="00BD7C08" w:rsidP="00551917">
      <w:pPr>
        <w:keepNext/>
        <w:keepLines/>
        <w:kinsoku w:val="0"/>
        <w:overflowPunct w:val="0"/>
        <w:autoSpaceDE w:val="0"/>
        <w:autoSpaceDN w:val="0"/>
        <w:adjustRightInd w:val="0"/>
        <w:spacing w:line="245" w:lineRule="exact"/>
        <w:rPr>
          <w:rFonts w:ascii="Arial" w:hAnsi="Arial" w:cs="Arial"/>
          <w:sz w:val="22"/>
          <w:szCs w:val="22"/>
          <w:lang w:val="en-US"/>
        </w:rPr>
      </w:pPr>
      <w:r w:rsidRPr="00C96C63">
        <w:rPr>
          <w:rFonts w:ascii="Arial" w:hAnsi="Arial" w:cs="Arial"/>
          <w:b/>
          <w:bCs/>
          <w:sz w:val="22"/>
          <w:szCs w:val="22"/>
          <w:lang w:val="en-US"/>
        </w:rPr>
        <w:t>Graduate</w:t>
      </w:r>
      <w:bookmarkStart w:id="5" w:name="Grad"/>
      <w:bookmarkEnd w:id="5"/>
      <w:r w:rsidRPr="00C96C63">
        <w:rPr>
          <w:rFonts w:ascii="Arial" w:hAnsi="Arial" w:cs="Arial"/>
          <w:b/>
          <w:bCs/>
          <w:sz w:val="22"/>
          <w:szCs w:val="22"/>
          <w:lang w:val="en-US"/>
        </w:rPr>
        <w:t xml:space="preserve"> </w:t>
      </w:r>
      <w:r w:rsidRPr="00C96C63">
        <w:rPr>
          <w:rFonts w:ascii="Arial" w:hAnsi="Arial" w:cs="Arial"/>
          <w:sz w:val="22"/>
          <w:szCs w:val="22"/>
          <w:lang w:val="en-US"/>
        </w:rPr>
        <w:t xml:space="preserve">is a person who has recently been </w:t>
      </w:r>
      <w:proofErr w:type="spellStart"/>
      <w:r w:rsidRPr="00C96C63">
        <w:rPr>
          <w:rFonts w:ascii="Arial" w:hAnsi="Arial" w:cs="Arial"/>
          <w:sz w:val="22"/>
          <w:szCs w:val="22"/>
          <w:lang w:val="en-US"/>
        </w:rPr>
        <w:t>recognised</w:t>
      </w:r>
      <w:proofErr w:type="spellEnd"/>
      <w:r w:rsidRPr="00C96C63">
        <w:rPr>
          <w:rFonts w:ascii="Arial" w:hAnsi="Arial" w:cs="Arial"/>
          <w:sz w:val="22"/>
          <w:szCs w:val="22"/>
          <w:lang w:val="en-US"/>
        </w:rPr>
        <w:t xml:space="preserve"> by a university as having completed the</w:t>
      </w:r>
      <w:r w:rsidR="00F363E9">
        <w:rPr>
          <w:rFonts w:ascii="Arial" w:hAnsi="Arial" w:cs="Arial"/>
          <w:sz w:val="22"/>
          <w:szCs w:val="22"/>
          <w:lang w:val="en-US"/>
        </w:rPr>
        <w:t xml:space="preserve"> </w:t>
      </w:r>
      <w:r w:rsidRPr="00C96C63">
        <w:rPr>
          <w:rFonts w:ascii="Arial" w:hAnsi="Arial" w:cs="Arial"/>
          <w:sz w:val="22"/>
          <w:szCs w:val="22"/>
          <w:lang w:val="en-US"/>
        </w:rPr>
        <w:t xml:space="preserve">requirements of a </w:t>
      </w:r>
      <w:proofErr w:type="gramStart"/>
      <w:r w:rsidRPr="00C96C63">
        <w:rPr>
          <w:rFonts w:ascii="Arial" w:hAnsi="Arial" w:cs="Arial"/>
          <w:sz w:val="22"/>
          <w:szCs w:val="22"/>
          <w:lang w:val="en-US"/>
        </w:rPr>
        <w:t>bachelor</w:t>
      </w:r>
      <w:proofErr w:type="gramEnd"/>
      <w:r w:rsidRPr="00C96C63">
        <w:rPr>
          <w:rFonts w:ascii="Arial" w:hAnsi="Arial" w:cs="Arial"/>
          <w:sz w:val="22"/>
          <w:szCs w:val="22"/>
          <w:lang w:val="en-US"/>
        </w:rPr>
        <w:t xml:space="preserve"> degree or higher degree.</w:t>
      </w:r>
    </w:p>
    <w:p w14:paraId="0EE9F2DB" w14:textId="77777777" w:rsidR="00BD7C08" w:rsidRPr="00C96C63" w:rsidRDefault="00BD7C08" w:rsidP="00551917">
      <w:pPr>
        <w:keepNext/>
        <w:keepLines/>
        <w:kinsoku w:val="0"/>
        <w:overflowPunct w:val="0"/>
        <w:autoSpaceDE w:val="0"/>
        <w:autoSpaceDN w:val="0"/>
        <w:adjustRightInd w:val="0"/>
        <w:spacing w:before="1"/>
        <w:rPr>
          <w:rFonts w:ascii="Arial" w:hAnsi="Arial" w:cs="Arial"/>
          <w:sz w:val="22"/>
          <w:szCs w:val="22"/>
          <w:lang w:val="en-US"/>
        </w:rPr>
      </w:pPr>
    </w:p>
    <w:p w14:paraId="40166D9C" w14:textId="77777777" w:rsidR="00BD7C08" w:rsidRPr="00C96C63" w:rsidRDefault="00BD7C08" w:rsidP="00551917">
      <w:pPr>
        <w:keepNext/>
        <w:keepLines/>
        <w:kinsoku w:val="0"/>
        <w:overflowPunct w:val="0"/>
        <w:autoSpaceDE w:val="0"/>
        <w:autoSpaceDN w:val="0"/>
        <w:adjustRightInd w:val="0"/>
        <w:rPr>
          <w:rFonts w:ascii="Arial" w:hAnsi="Arial" w:cs="Arial"/>
          <w:sz w:val="22"/>
          <w:szCs w:val="22"/>
          <w:lang w:val="en-US"/>
        </w:rPr>
      </w:pPr>
      <w:r w:rsidRPr="00C96C63">
        <w:rPr>
          <w:rFonts w:ascii="Arial" w:hAnsi="Arial" w:cs="Arial"/>
          <w:b/>
          <w:bCs/>
          <w:sz w:val="22"/>
          <w:szCs w:val="22"/>
          <w:lang w:val="en-US"/>
        </w:rPr>
        <w:t>Graduate development program</w:t>
      </w:r>
      <w:bookmarkStart w:id="6" w:name="Graddev"/>
      <w:bookmarkEnd w:id="6"/>
      <w:r w:rsidRPr="00C96C63">
        <w:rPr>
          <w:rFonts w:ascii="Arial" w:hAnsi="Arial" w:cs="Arial"/>
          <w:b/>
          <w:bCs/>
          <w:sz w:val="22"/>
          <w:szCs w:val="22"/>
          <w:lang w:val="en-US"/>
        </w:rPr>
        <w:t xml:space="preserve"> </w:t>
      </w:r>
      <w:r w:rsidRPr="00C96C63">
        <w:rPr>
          <w:rFonts w:ascii="Arial" w:hAnsi="Arial" w:cs="Arial"/>
          <w:sz w:val="22"/>
          <w:szCs w:val="22"/>
          <w:lang w:val="en-US"/>
        </w:rPr>
        <w:t>is a formal program designed for the recruitment, selection and development of graduates. The program is operational for a minimum of 12 months and is considered a workforce planning strategy to attract and retain specialist graduate skills.</w:t>
      </w:r>
    </w:p>
    <w:p w14:paraId="3777E066" w14:textId="77777777" w:rsidR="00BD7C08" w:rsidRPr="00C96C63" w:rsidRDefault="00BD7C08" w:rsidP="00551917">
      <w:pPr>
        <w:keepNext/>
        <w:keepLines/>
        <w:kinsoku w:val="0"/>
        <w:overflowPunct w:val="0"/>
        <w:autoSpaceDE w:val="0"/>
        <w:autoSpaceDN w:val="0"/>
        <w:adjustRightInd w:val="0"/>
        <w:rPr>
          <w:rFonts w:ascii="Arial" w:hAnsi="Arial" w:cs="Arial"/>
          <w:sz w:val="22"/>
          <w:szCs w:val="22"/>
          <w:lang w:val="en-US"/>
        </w:rPr>
      </w:pPr>
    </w:p>
    <w:p w14:paraId="0CE88405" w14:textId="77777777" w:rsidR="00BD7C08" w:rsidRPr="00C96C63" w:rsidRDefault="00BD7C08" w:rsidP="00551917">
      <w:pPr>
        <w:keepNext/>
        <w:keepLines/>
        <w:kinsoku w:val="0"/>
        <w:overflowPunct w:val="0"/>
        <w:autoSpaceDE w:val="0"/>
        <w:autoSpaceDN w:val="0"/>
        <w:adjustRightInd w:val="0"/>
        <w:ind w:right="63"/>
        <w:rPr>
          <w:rFonts w:ascii="Arial" w:hAnsi="Arial" w:cs="Arial"/>
          <w:sz w:val="22"/>
          <w:szCs w:val="22"/>
          <w:lang w:val="en-US"/>
        </w:rPr>
      </w:pPr>
      <w:r w:rsidRPr="00C96C63">
        <w:rPr>
          <w:rFonts w:ascii="Arial" w:hAnsi="Arial" w:cs="Arial"/>
          <w:b/>
          <w:bCs/>
          <w:sz w:val="22"/>
          <w:szCs w:val="22"/>
          <w:lang w:val="en-US"/>
        </w:rPr>
        <w:t>Graduate role</w:t>
      </w:r>
      <w:bookmarkStart w:id="7" w:name="gradrole"/>
      <w:bookmarkEnd w:id="7"/>
      <w:r w:rsidRPr="00C96C63">
        <w:rPr>
          <w:rFonts w:ascii="Arial" w:hAnsi="Arial" w:cs="Arial"/>
          <w:b/>
          <w:bCs/>
          <w:sz w:val="22"/>
          <w:szCs w:val="22"/>
          <w:lang w:val="en-US"/>
        </w:rPr>
        <w:t xml:space="preserve"> </w:t>
      </w:r>
      <w:r w:rsidRPr="00C96C63">
        <w:rPr>
          <w:rFonts w:ascii="Arial" w:hAnsi="Arial" w:cs="Arial"/>
          <w:sz w:val="22"/>
          <w:szCs w:val="22"/>
          <w:lang w:val="en-US"/>
        </w:rPr>
        <w:t>is a role up to and including the AO3 classification level (or equivalent) designated by a chief executive officer to be filled by a graduate.</w:t>
      </w:r>
    </w:p>
    <w:p w14:paraId="4F1D7AEC" w14:textId="77777777" w:rsidR="00BD7C08" w:rsidRPr="00C96C63" w:rsidRDefault="00BD7C08" w:rsidP="00551917">
      <w:pPr>
        <w:keepNext/>
        <w:keepLines/>
        <w:kinsoku w:val="0"/>
        <w:overflowPunct w:val="0"/>
        <w:autoSpaceDE w:val="0"/>
        <w:autoSpaceDN w:val="0"/>
        <w:adjustRightInd w:val="0"/>
        <w:spacing w:before="2"/>
        <w:rPr>
          <w:rFonts w:ascii="Arial" w:hAnsi="Arial" w:cs="Arial"/>
          <w:sz w:val="22"/>
          <w:szCs w:val="22"/>
          <w:lang w:val="en-US"/>
        </w:rPr>
      </w:pPr>
    </w:p>
    <w:p w14:paraId="39019809" w14:textId="77777777" w:rsidR="00BD7C08" w:rsidRPr="00C96C63" w:rsidRDefault="00BD7C08" w:rsidP="00551917">
      <w:pPr>
        <w:keepNext/>
        <w:keepLines/>
        <w:kinsoku w:val="0"/>
        <w:overflowPunct w:val="0"/>
        <w:autoSpaceDE w:val="0"/>
        <w:autoSpaceDN w:val="0"/>
        <w:adjustRightInd w:val="0"/>
        <w:rPr>
          <w:rFonts w:ascii="Arial" w:hAnsi="Arial" w:cs="Arial"/>
          <w:sz w:val="22"/>
          <w:szCs w:val="22"/>
          <w:lang w:val="en-US"/>
        </w:rPr>
      </w:pPr>
      <w:r w:rsidRPr="00C96C63">
        <w:rPr>
          <w:rFonts w:ascii="Arial" w:hAnsi="Arial" w:cs="Arial"/>
          <w:b/>
          <w:bCs/>
          <w:sz w:val="22"/>
          <w:szCs w:val="22"/>
          <w:lang w:val="en-US"/>
        </w:rPr>
        <w:t>Identified role</w:t>
      </w:r>
      <w:bookmarkStart w:id="8" w:name="idrole"/>
      <w:bookmarkEnd w:id="8"/>
      <w:r w:rsidRPr="00C96C63">
        <w:rPr>
          <w:rFonts w:ascii="Arial" w:hAnsi="Arial" w:cs="Arial"/>
          <w:b/>
          <w:bCs/>
          <w:sz w:val="22"/>
          <w:szCs w:val="22"/>
          <w:lang w:val="en-US"/>
        </w:rPr>
        <w:t xml:space="preserve"> </w:t>
      </w:r>
      <w:r w:rsidRPr="00C96C63">
        <w:rPr>
          <w:rFonts w:ascii="Arial" w:hAnsi="Arial" w:cs="Arial"/>
          <w:sz w:val="22"/>
          <w:szCs w:val="22"/>
          <w:lang w:val="en-US"/>
        </w:rPr>
        <w:t xml:space="preserve">is a position in relation to which it is lawful to discriminate in </w:t>
      </w:r>
      <w:proofErr w:type="spellStart"/>
      <w:r w:rsidRPr="00C96C63">
        <w:rPr>
          <w:rFonts w:ascii="Arial" w:hAnsi="Arial" w:cs="Arial"/>
          <w:sz w:val="22"/>
          <w:szCs w:val="22"/>
          <w:lang w:val="en-US"/>
        </w:rPr>
        <w:t>favour</w:t>
      </w:r>
      <w:proofErr w:type="spellEnd"/>
      <w:r w:rsidRPr="00C96C63">
        <w:rPr>
          <w:rFonts w:ascii="Arial" w:hAnsi="Arial" w:cs="Arial"/>
          <w:sz w:val="22"/>
          <w:szCs w:val="22"/>
          <w:lang w:val="en-US"/>
        </w:rPr>
        <w:t xml:space="preserve"> of a person possessing one of the attributes set out in section 7 of the </w:t>
      </w:r>
      <w:r w:rsidRPr="00C96C63">
        <w:rPr>
          <w:rFonts w:ascii="Arial" w:hAnsi="Arial" w:cs="Arial"/>
          <w:i/>
          <w:iCs/>
          <w:sz w:val="22"/>
          <w:szCs w:val="22"/>
          <w:lang w:val="en-US"/>
        </w:rPr>
        <w:t xml:space="preserve">Anti-Discrimination Act 1991 </w:t>
      </w:r>
      <w:r w:rsidRPr="00C96C63">
        <w:rPr>
          <w:rFonts w:ascii="Arial" w:hAnsi="Arial" w:cs="Arial"/>
          <w:sz w:val="22"/>
          <w:szCs w:val="22"/>
          <w:lang w:val="en-US"/>
        </w:rPr>
        <w:t>for the purpose contained in section 25 of that Act.</w:t>
      </w:r>
    </w:p>
    <w:p w14:paraId="0D32651E" w14:textId="77777777" w:rsidR="00BD7C08" w:rsidRPr="00C96C63" w:rsidRDefault="00BD7C08" w:rsidP="00551917">
      <w:pPr>
        <w:keepNext/>
        <w:keepLines/>
        <w:kinsoku w:val="0"/>
        <w:overflowPunct w:val="0"/>
        <w:autoSpaceDE w:val="0"/>
        <w:autoSpaceDN w:val="0"/>
        <w:adjustRightInd w:val="0"/>
        <w:rPr>
          <w:rFonts w:ascii="Arial" w:hAnsi="Arial" w:cs="Arial"/>
          <w:sz w:val="22"/>
          <w:szCs w:val="22"/>
          <w:lang w:val="en-US"/>
        </w:rPr>
      </w:pPr>
    </w:p>
    <w:p w14:paraId="6B613A9A" w14:textId="3C5C2FC5" w:rsidR="00BD7C08" w:rsidRPr="00C96C63" w:rsidRDefault="00BD7C08" w:rsidP="00551917">
      <w:pPr>
        <w:keepNext/>
        <w:keepLines/>
        <w:kinsoku w:val="0"/>
        <w:overflowPunct w:val="0"/>
        <w:autoSpaceDE w:val="0"/>
        <w:autoSpaceDN w:val="0"/>
        <w:adjustRightInd w:val="0"/>
        <w:rPr>
          <w:rFonts w:ascii="Arial" w:hAnsi="Arial" w:cs="Arial"/>
          <w:sz w:val="22"/>
          <w:szCs w:val="22"/>
          <w:lang w:val="en-US"/>
        </w:rPr>
      </w:pPr>
      <w:bookmarkStart w:id="9" w:name="mandconds"/>
      <w:r w:rsidRPr="00C96C63">
        <w:rPr>
          <w:rFonts w:ascii="Arial" w:hAnsi="Arial" w:cs="Arial"/>
          <w:b/>
          <w:bCs/>
          <w:sz w:val="22"/>
          <w:szCs w:val="22"/>
          <w:lang w:val="en-US"/>
        </w:rPr>
        <w:t xml:space="preserve">Mandatory conditions </w:t>
      </w:r>
      <w:bookmarkEnd w:id="9"/>
      <w:r w:rsidRPr="00C96C63">
        <w:rPr>
          <w:rFonts w:ascii="Arial" w:hAnsi="Arial" w:cs="Arial"/>
          <w:sz w:val="22"/>
          <w:szCs w:val="22"/>
          <w:lang w:val="en-US"/>
        </w:rPr>
        <w:t>are inherent requirements of the role and can include certain classes of drivers’</w:t>
      </w:r>
      <w:r w:rsidR="004B0E9F" w:rsidRPr="00C96C63">
        <w:rPr>
          <w:rFonts w:ascii="Arial" w:hAnsi="Arial" w:cs="Arial"/>
          <w:sz w:val="22"/>
          <w:szCs w:val="22"/>
          <w:lang w:val="en-US"/>
        </w:rPr>
        <w:t xml:space="preserve"> </w:t>
      </w:r>
      <w:r w:rsidR="00F363E9" w:rsidRPr="00C96C63">
        <w:rPr>
          <w:rFonts w:ascii="Arial" w:hAnsi="Arial" w:cs="Arial"/>
          <w:sz w:val="22"/>
          <w:szCs w:val="22"/>
          <w:lang w:val="en-US"/>
        </w:rPr>
        <w:t>license</w:t>
      </w:r>
      <w:r w:rsidRPr="00C96C63">
        <w:rPr>
          <w:rFonts w:ascii="Arial" w:hAnsi="Arial" w:cs="Arial"/>
          <w:sz w:val="22"/>
          <w:szCs w:val="22"/>
          <w:lang w:val="en-US"/>
        </w:rPr>
        <w:t>, statutory restrictions, any requirement for the appointee to undertake regular travel etc.</w:t>
      </w:r>
    </w:p>
    <w:p w14:paraId="5AC25582" w14:textId="6B549CB4" w:rsidR="00BD7C08" w:rsidRPr="00C96C63" w:rsidRDefault="00BD7C08" w:rsidP="00551917">
      <w:pPr>
        <w:keepNext/>
        <w:keepLines/>
        <w:rPr>
          <w:rFonts w:ascii="Arial" w:hAnsi="Arial" w:cs="Arial"/>
          <w:sz w:val="22"/>
          <w:szCs w:val="22"/>
        </w:rPr>
      </w:pPr>
    </w:p>
    <w:p w14:paraId="3CCA8C37" w14:textId="24857066" w:rsidR="00DF3C19" w:rsidRPr="00C96C63" w:rsidRDefault="00DF3C19" w:rsidP="00551917">
      <w:pPr>
        <w:keepNext/>
        <w:keepLines/>
        <w:rPr>
          <w:rFonts w:ascii="Arial" w:hAnsi="Arial" w:cs="Arial"/>
          <w:sz w:val="22"/>
          <w:szCs w:val="22"/>
          <w:lang w:val="en-US"/>
        </w:rPr>
      </w:pPr>
      <w:r w:rsidRPr="00C96C63">
        <w:rPr>
          <w:rFonts w:ascii="Arial" w:hAnsi="Arial" w:cs="Arial"/>
          <w:b/>
          <w:bCs/>
          <w:sz w:val="22"/>
          <w:szCs w:val="22"/>
          <w:lang w:val="en-US"/>
        </w:rPr>
        <w:t xml:space="preserve">Mandatory qualification </w:t>
      </w:r>
      <w:r w:rsidRPr="00C96C63">
        <w:rPr>
          <w:rFonts w:ascii="Arial" w:hAnsi="Arial" w:cs="Arial"/>
          <w:sz w:val="22"/>
          <w:szCs w:val="22"/>
          <w:lang w:val="en-US"/>
        </w:rPr>
        <w:t>means a qualification that is essential for the occupant of a role to hold in order to comply with an industrial instrument or to satisfy legal, accreditation or registration requirements or where a chief executive determination has been made. A chief executive may make a determination in relation to any role within their agency, provided that before making a determination (and where applicable) the chief executive consults with any agencies that have roles identical or substantially similar to that proposed to have mandatory qualifications attached and with the CCE.</w:t>
      </w:r>
    </w:p>
    <w:p w14:paraId="4171F7B7" w14:textId="77777777" w:rsidR="00DF3C19" w:rsidRPr="00C96C63" w:rsidRDefault="00DF3C19" w:rsidP="00551917">
      <w:pPr>
        <w:keepNext/>
        <w:keepLines/>
        <w:rPr>
          <w:rFonts w:ascii="Arial" w:hAnsi="Arial" w:cs="Arial"/>
          <w:sz w:val="22"/>
          <w:szCs w:val="22"/>
          <w:lang w:val="en-US"/>
        </w:rPr>
      </w:pPr>
    </w:p>
    <w:p w14:paraId="4C390A3C" w14:textId="77777777" w:rsidR="00DF3C19" w:rsidRPr="00C96C63" w:rsidRDefault="00DF3C19" w:rsidP="00551917">
      <w:pPr>
        <w:keepNext/>
        <w:keepLines/>
        <w:rPr>
          <w:rFonts w:ascii="Arial" w:hAnsi="Arial" w:cs="Arial"/>
          <w:sz w:val="22"/>
          <w:szCs w:val="22"/>
          <w:lang w:val="en-US"/>
        </w:rPr>
      </w:pPr>
      <w:r w:rsidRPr="00C96C63">
        <w:rPr>
          <w:rFonts w:ascii="Arial" w:hAnsi="Arial" w:cs="Arial"/>
          <w:b/>
          <w:bCs/>
          <w:sz w:val="22"/>
          <w:szCs w:val="22"/>
          <w:lang w:val="en-US"/>
        </w:rPr>
        <w:t>Recurring vacancy</w:t>
      </w:r>
      <w:bookmarkStart w:id="10" w:name="recvac"/>
      <w:bookmarkEnd w:id="10"/>
      <w:r w:rsidRPr="00C96C63">
        <w:rPr>
          <w:rFonts w:ascii="Arial" w:hAnsi="Arial" w:cs="Arial"/>
          <w:b/>
          <w:bCs/>
          <w:sz w:val="22"/>
          <w:szCs w:val="22"/>
          <w:lang w:val="en-US"/>
        </w:rPr>
        <w:t xml:space="preserve"> </w:t>
      </w:r>
      <w:r w:rsidRPr="00C96C63">
        <w:rPr>
          <w:rFonts w:ascii="Arial" w:hAnsi="Arial" w:cs="Arial"/>
          <w:sz w:val="22"/>
          <w:szCs w:val="22"/>
          <w:lang w:val="en-US"/>
        </w:rPr>
        <w:t>means a vacancy that is identical to the original vacancy in terms of title, remuneration, classification level and role description, provided the appointment is made within 12 months of the closing date of the original vacancy.</w:t>
      </w:r>
    </w:p>
    <w:p w14:paraId="1D79593F" w14:textId="77777777" w:rsidR="00DF3C19" w:rsidRPr="00C96C63" w:rsidRDefault="00DF3C19" w:rsidP="00551917">
      <w:pPr>
        <w:keepNext/>
        <w:keepLines/>
        <w:rPr>
          <w:rFonts w:ascii="Arial" w:hAnsi="Arial" w:cs="Arial"/>
          <w:sz w:val="22"/>
          <w:szCs w:val="22"/>
          <w:lang w:val="en-US"/>
        </w:rPr>
      </w:pPr>
      <w:r w:rsidRPr="00C96C63">
        <w:rPr>
          <w:rFonts w:ascii="Arial" w:hAnsi="Arial" w:cs="Arial"/>
          <w:sz w:val="22"/>
          <w:szCs w:val="22"/>
          <w:lang w:val="en-US"/>
        </w:rPr>
        <w:t>A recurring vacancy also means a similar vacancy provided that the classification level, remuneration and key capabilities are the same as the original vacancy and the role requirements are similar and the advertisement included a note that applications may be used to appoint to similar vacancies for a specified period up to 12 months after the closing date of the initial vacancy.</w:t>
      </w:r>
    </w:p>
    <w:p w14:paraId="53619A54" w14:textId="77777777" w:rsidR="00DF3C19" w:rsidRPr="00C96C63" w:rsidRDefault="00DF3C19" w:rsidP="00551917">
      <w:pPr>
        <w:keepNext/>
        <w:keepLines/>
        <w:rPr>
          <w:rFonts w:ascii="Arial" w:hAnsi="Arial" w:cs="Arial"/>
          <w:sz w:val="22"/>
          <w:szCs w:val="22"/>
          <w:lang w:val="en-US"/>
        </w:rPr>
      </w:pPr>
    </w:p>
    <w:p w14:paraId="2A5F7FC9" w14:textId="7B65D8B6" w:rsidR="00DF3C19" w:rsidRPr="00C96C63" w:rsidRDefault="00DF3C19" w:rsidP="00551917">
      <w:pPr>
        <w:keepNext/>
        <w:keepLines/>
        <w:rPr>
          <w:rFonts w:ascii="Arial" w:hAnsi="Arial" w:cs="Arial"/>
          <w:sz w:val="22"/>
          <w:szCs w:val="22"/>
          <w:lang w:val="en-US"/>
        </w:rPr>
      </w:pPr>
      <w:r w:rsidRPr="00C96C63">
        <w:rPr>
          <w:rFonts w:ascii="Arial" w:hAnsi="Arial" w:cs="Arial"/>
          <w:sz w:val="22"/>
          <w:szCs w:val="22"/>
          <w:lang w:val="en-US"/>
        </w:rPr>
        <w:t xml:space="preserve">In applying the recurring vacancy provision, a </w:t>
      </w:r>
      <w:r w:rsidR="003456FD" w:rsidRPr="00C96C63">
        <w:rPr>
          <w:rFonts w:ascii="Arial" w:hAnsi="Arial" w:cs="Arial"/>
          <w:sz w:val="22"/>
          <w:szCs w:val="22"/>
          <w:lang w:val="en-US"/>
        </w:rPr>
        <w:t xml:space="preserve">fixed term </w:t>
      </w:r>
      <w:r w:rsidR="00213782">
        <w:rPr>
          <w:rFonts w:ascii="Arial" w:hAnsi="Arial" w:cs="Arial"/>
          <w:sz w:val="22"/>
          <w:szCs w:val="22"/>
          <w:lang w:val="en-US"/>
        </w:rPr>
        <w:t xml:space="preserve">temporary </w:t>
      </w:r>
      <w:r w:rsidRPr="00C96C63">
        <w:rPr>
          <w:rFonts w:ascii="Arial" w:hAnsi="Arial" w:cs="Arial"/>
          <w:sz w:val="22"/>
          <w:szCs w:val="22"/>
          <w:lang w:val="en-US"/>
        </w:rPr>
        <w:t xml:space="preserve">appointment may be made from a vacancy advertised as </w:t>
      </w:r>
      <w:r w:rsidR="004B0E9F" w:rsidRPr="00C96C63">
        <w:rPr>
          <w:rFonts w:ascii="Arial" w:hAnsi="Arial" w:cs="Arial"/>
          <w:sz w:val="22"/>
          <w:szCs w:val="22"/>
          <w:lang w:val="en-US"/>
        </w:rPr>
        <w:t>p</w:t>
      </w:r>
      <w:r w:rsidRPr="00C96C63">
        <w:rPr>
          <w:rFonts w:ascii="Arial" w:hAnsi="Arial" w:cs="Arial"/>
          <w:sz w:val="22"/>
          <w:szCs w:val="22"/>
          <w:lang w:val="en-US"/>
        </w:rPr>
        <w:t>ermanent however a permanent appointment cannot be made from a vacancy advertised</w:t>
      </w:r>
      <w:r w:rsidR="004B0E9F" w:rsidRPr="00C96C63">
        <w:rPr>
          <w:rFonts w:ascii="Arial" w:hAnsi="Arial" w:cs="Arial"/>
          <w:sz w:val="22"/>
          <w:szCs w:val="22"/>
          <w:lang w:val="en-US"/>
        </w:rPr>
        <w:t xml:space="preserve"> </w:t>
      </w:r>
      <w:r w:rsidRPr="00C96C63">
        <w:rPr>
          <w:rFonts w:ascii="Arial" w:hAnsi="Arial" w:cs="Arial"/>
          <w:sz w:val="22"/>
          <w:szCs w:val="22"/>
          <w:lang w:val="en-US"/>
        </w:rPr>
        <w:t xml:space="preserve">as </w:t>
      </w:r>
      <w:r w:rsidR="003456FD" w:rsidRPr="00C96C63">
        <w:rPr>
          <w:rFonts w:ascii="Arial" w:hAnsi="Arial" w:cs="Arial"/>
          <w:sz w:val="22"/>
          <w:szCs w:val="22"/>
          <w:lang w:val="en-US"/>
        </w:rPr>
        <w:t>fixed term</w:t>
      </w:r>
      <w:r w:rsidRPr="00C96C63">
        <w:rPr>
          <w:rFonts w:ascii="Arial" w:hAnsi="Arial" w:cs="Arial"/>
          <w:sz w:val="22"/>
          <w:szCs w:val="22"/>
          <w:lang w:val="en-US"/>
        </w:rPr>
        <w:t>.</w:t>
      </w:r>
    </w:p>
    <w:p w14:paraId="280C8394" w14:textId="75B3C415" w:rsidR="00DF3C19" w:rsidRPr="00C96C63" w:rsidRDefault="00DF3C19" w:rsidP="00551917">
      <w:pPr>
        <w:keepNext/>
        <w:keepLines/>
        <w:rPr>
          <w:rFonts w:ascii="Arial" w:hAnsi="Arial" w:cs="Arial"/>
          <w:sz w:val="22"/>
          <w:szCs w:val="22"/>
        </w:rPr>
      </w:pPr>
    </w:p>
    <w:p w14:paraId="583723A7" w14:textId="6BEA24D4" w:rsidR="00E67B0D" w:rsidRPr="00C96C63" w:rsidRDefault="00E67B0D" w:rsidP="00551917">
      <w:pPr>
        <w:keepNext/>
        <w:keepLines/>
        <w:autoSpaceDE w:val="0"/>
        <w:autoSpaceDN w:val="0"/>
        <w:adjustRightInd w:val="0"/>
        <w:rPr>
          <w:rFonts w:ascii="Arial" w:hAnsi="Arial" w:cs="Arial"/>
          <w:sz w:val="22"/>
          <w:szCs w:val="22"/>
          <w:lang w:val="en-US"/>
        </w:rPr>
      </w:pPr>
      <w:bookmarkStart w:id="11" w:name="selpanel"/>
      <w:r w:rsidRPr="00C96C63">
        <w:rPr>
          <w:rFonts w:ascii="Arial" w:hAnsi="Arial" w:cs="Arial"/>
          <w:b/>
          <w:bCs/>
          <w:sz w:val="22"/>
          <w:szCs w:val="22"/>
          <w:lang w:val="en-US"/>
        </w:rPr>
        <w:t xml:space="preserve">Selection panel </w:t>
      </w:r>
      <w:bookmarkEnd w:id="11"/>
      <w:r w:rsidRPr="00C96C63">
        <w:rPr>
          <w:rFonts w:ascii="Arial" w:hAnsi="Arial" w:cs="Arial"/>
          <w:sz w:val="22"/>
          <w:szCs w:val="22"/>
          <w:lang w:val="en-US"/>
        </w:rPr>
        <w:t>means the person or persons responsible for conducting the assessment of applicants</w:t>
      </w:r>
      <w:r w:rsidR="004B0E9F" w:rsidRPr="00C96C63">
        <w:rPr>
          <w:rFonts w:ascii="Arial" w:hAnsi="Arial" w:cs="Arial"/>
          <w:sz w:val="22"/>
          <w:szCs w:val="22"/>
          <w:lang w:val="en-US"/>
        </w:rPr>
        <w:t xml:space="preserve"> </w:t>
      </w:r>
      <w:r w:rsidRPr="00C96C63">
        <w:rPr>
          <w:rFonts w:ascii="Arial" w:hAnsi="Arial" w:cs="Arial"/>
          <w:sz w:val="22"/>
          <w:szCs w:val="22"/>
          <w:lang w:val="en-US"/>
        </w:rPr>
        <w:t>and making a recommendation about appointment to the decision maker. For SES vacancies,</w:t>
      </w:r>
      <w:r w:rsidR="004B0E9F" w:rsidRPr="00C96C63">
        <w:rPr>
          <w:rFonts w:ascii="Arial" w:hAnsi="Arial" w:cs="Arial"/>
          <w:sz w:val="22"/>
          <w:szCs w:val="22"/>
          <w:lang w:val="en-US"/>
        </w:rPr>
        <w:t xml:space="preserve"> </w:t>
      </w:r>
      <w:r w:rsidRPr="00C96C63">
        <w:rPr>
          <w:rFonts w:ascii="Arial" w:hAnsi="Arial" w:cs="Arial"/>
          <w:sz w:val="22"/>
          <w:szCs w:val="22"/>
          <w:lang w:val="en-US"/>
        </w:rPr>
        <w:t>the panel must include one member from outside the Ministerial portfolio. While it is not prohibited, the</w:t>
      </w:r>
      <w:r w:rsidR="004B0E9F" w:rsidRPr="00C96C63">
        <w:rPr>
          <w:rFonts w:ascii="Arial" w:hAnsi="Arial" w:cs="Arial"/>
          <w:sz w:val="22"/>
          <w:szCs w:val="22"/>
          <w:lang w:val="en-US"/>
        </w:rPr>
        <w:t xml:space="preserve"> </w:t>
      </w:r>
      <w:r w:rsidRPr="00C96C63">
        <w:rPr>
          <w:rFonts w:ascii="Arial" w:hAnsi="Arial" w:cs="Arial"/>
          <w:sz w:val="22"/>
          <w:szCs w:val="22"/>
          <w:lang w:val="en-US"/>
        </w:rPr>
        <w:t>decision maker should generally not be a member of the selection panel.</w:t>
      </w:r>
    </w:p>
    <w:p w14:paraId="4A414061" w14:textId="77777777" w:rsidR="004B0E9F" w:rsidRPr="00C96C63" w:rsidRDefault="004B0E9F" w:rsidP="00551917">
      <w:pPr>
        <w:keepNext/>
        <w:keepLines/>
        <w:autoSpaceDE w:val="0"/>
        <w:autoSpaceDN w:val="0"/>
        <w:adjustRightInd w:val="0"/>
        <w:rPr>
          <w:rFonts w:ascii="Arial" w:hAnsi="Arial" w:cs="Arial"/>
          <w:sz w:val="22"/>
          <w:szCs w:val="22"/>
          <w:lang w:val="en-US"/>
        </w:rPr>
      </w:pPr>
    </w:p>
    <w:p w14:paraId="0C765C3B" w14:textId="75327194" w:rsidR="00DF3C19" w:rsidRDefault="00E67B0D" w:rsidP="007638F2">
      <w:pPr>
        <w:keepNext/>
        <w:keepLines/>
        <w:rPr>
          <w:rFonts w:ascii="Arial" w:hAnsi="Arial" w:cs="Arial"/>
          <w:sz w:val="22"/>
          <w:szCs w:val="22"/>
          <w:lang w:val="en-US"/>
        </w:rPr>
      </w:pPr>
      <w:bookmarkStart w:id="12" w:name="serdisc"/>
      <w:r w:rsidRPr="00C96C63">
        <w:rPr>
          <w:rFonts w:ascii="Arial" w:hAnsi="Arial" w:cs="Arial"/>
          <w:b/>
          <w:bCs/>
          <w:sz w:val="22"/>
          <w:szCs w:val="22"/>
          <w:lang w:val="en-US"/>
        </w:rPr>
        <w:t xml:space="preserve">Serious disciplinary action </w:t>
      </w:r>
      <w:bookmarkEnd w:id="12"/>
      <w:r w:rsidRPr="00C96C63">
        <w:rPr>
          <w:rFonts w:ascii="Arial" w:hAnsi="Arial" w:cs="Arial"/>
          <w:sz w:val="22"/>
          <w:szCs w:val="22"/>
          <w:lang w:val="en-US"/>
        </w:rPr>
        <w:t>has the meaning set out in s179A of the PS</w:t>
      </w:r>
      <w:r w:rsidR="00A700FD" w:rsidRPr="00C96C63">
        <w:rPr>
          <w:rFonts w:ascii="Arial" w:hAnsi="Arial" w:cs="Arial"/>
          <w:sz w:val="22"/>
          <w:szCs w:val="22"/>
          <w:lang w:val="en-US"/>
        </w:rPr>
        <w:t xml:space="preserve"> </w:t>
      </w:r>
      <w:r w:rsidRPr="00C96C63">
        <w:rPr>
          <w:rFonts w:ascii="Arial" w:hAnsi="Arial" w:cs="Arial"/>
          <w:sz w:val="22"/>
          <w:szCs w:val="22"/>
          <w:lang w:val="en-US"/>
        </w:rPr>
        <w:t>A</w:t>
      </w:r>
      <w:r w:rsidR="00A700FD" w:rsidRPr="00C96C63">
        <w:rPr>
          <w:rFonts w:ascii="Arial" w:hAnsi="Arial" w:cs="Arial"/>
          <w:sz w:val="22"/>
          <w:szCs w:val="22"/>
          <w:lang w:val="en-US"/>
        </w:rPr>
        <w:t>ct</w:t>
      </w:r>
      <w:r w:rsidRPr="00C96C63">
        <w:rPr>
          <w:rFonts w:ascii="Arial" w:hAnsi="Arial" w:cs="Arial"/>
          <w:sz w:val="22"/>
          <w:szCs w:val="22"/>
          <w:lang w:val="en-US"/>
        </w:rPr>
        <w:t>.</w:t>
      </w:r>
    </w:p>
    <w:p w14:paraId="2B3C2564" w14:textId="3D733316" w:rsidR="00827D1B" w:rsidRDefault="00827D1B" w:rsidP="00551917">
      <w:pPr>
        <w:keepNext/>
        <w:keepLines/>
        <w:rPr>
          <w:rFonts w:ascii="Arial" w:hAnsi="Arial" w:cs="Arial"/>
          <w:sz w:val="22"/>
          <w:szCs w:val="22"/>
        </w:rPr>
      </w:pPr>
    </w:p>
    <w:p w14:paraId="19A88D44" w14:textId="1B15ED2B" w:rsidR="00827D1B" w:rsidRDefault="00827D1B" w:rsidP="00CA555F">
      <w:pPr>
        <w:pStyle w:val="Heading2"/>
        <w:numPr>
          <w:ilvl w:val="0"/>
          <w:numId w:val="5"/>
        </w:numPr>
        <w:ind w:left="426" w:hanging="426"/>
      </w:pPr>
      <w:r w:rsidRPr="00CA555F">
        <w:lastRenderedPageBreak/>
        <w:t xml:space="preserve">Related </w:t>
      </w:r>
      <w:r w:rsidR="006A10B8">
        <w:t>resources and reference materials</w:t>
      </w:r>
    </w:p>
    <w:p w14:paraId="530D6F87" w14:textId="6F29C060" w:rsidR="00290AA5" w:rsidRDefault="00290AA5" w:rsidP="003423BD">
      <w:pPr>
        <w:pStyle w:val="Numberedlist2"/>
        <w:keepLines w:val="0"/>
        <w:numPr>
          <w:ilvl w:val="0"/>
          <w:numId w:val="0"/>
        </w:numPr>
        <w:spacing w:after="0" w:line="240" w:lineRule="auto"/>
        <w:ind w:left="426"/>
        <w:outlineLvl w:val="9"/>
        <w:rPr>
          <w:lang w:val="en-US"/>
        </w:rPr>
      </w:pPr>
      <w:r>
        <w:rPr>
          <w:lang w:val="en-US"/>
        </w:rPr>
        <w:t>This material does not form part of the directive but may assist in the interpretation and application of the directive and should be considered by decision makers:</w:t>
      </w:r>
    </w:p>
    <w:p w14:paraId="33383A94" w14:textId="77777777" w:rsidR="00290AA5" w:rsidRPr="00290AA5" w:rsidRDefault="00290AA5" w:rsidP="00AF2601"/>
    <w:p w14:paraId="4CBDBC7D" w14:textId="454CCB7F" w:rsidR="00551917" w:rsidRPr="00CA555F" w:rsidRDefault="006F4515" w:rsidP="007333C9">
      <w:pPr>
        <w:pStyle w:val="Bullets1"/>
        <w:ind w:left="851" w:hanging="425"/>
        <w:rPr>
          <w:lang w:val="en-US"/>
        </w:rPr>
      </w:pPr>
      <w:hyperlink r:id="rId12" w:history="1">
        <w:r w:rsidR="00551917" w:rsidRPr="009C0588">
          <w:rPr>
            <w:rStyle w:val="Hyperlink"/>
            <w:rFonts w:eastAsiaTheme="minorHAnsi" w:cs="Arial"/>
            <w:b w:val="0"/>
            <w:color w:val="0563C1" w:themeColor="hyperlink"/>
            <w:szCs w:val="22"/>
          </w:rPr>
          <w:t>Directives relating to</w:t>
        </w:r>
      </w:hyperlink>
      <w:r w:rsidR="00551917" w:rsidRPr="00CA555F">
        <w:rPr>
          <w:lang w:val="en-US"/>
        </w:rPr>
        <w:t>:</w:t>
      </w:r>
    </w:p>
    <w:p w14:paraId="5BD4B634" w14:textId="66F2F4C8" w:rsidR="00551917" w:rsidRDefault="00551917" w:rsidP="00AF2601">
      <w:pPr>
        <w:pStyle w:val="PSC-Bullets3"/>
        <w:tabs>
          <w:tab w:val="clear" w:pos="1418"/>
        </w:tabs>
        <w:ind w:left="1276" w:hanging="425"/>
        <w:rPr>
          <w:lang w:val="en-US"/>
        </w:rPr>
      </w:pPr>
      <w:r>
        <w:rPr>
          <w:lang w:val="en-US"/>
        </w:rPr>
        <w:t xml:space="preserve">supporting </w:t>
      </w:r>
      <w:r w:rsidRPr="00CA555F">
        <w:rPr>
          <w:lang w:val="en-US"/>
        </w:rPr>
        <w:t xml:space="preserve">employees </w:t>
      </w:r>
      <w:r>
        <w:rPr>
          <w:lang w:val="en-US"/>
        </w:rPr>
        <w:t>affected by workplace change</w:t>
      </w:r>
    </w:p>
    <w:p w14:paraId="61DC8566" w14:textId="69F0FA20" w:rsidR="00551917" w:rsidRDefault="00551917" w:rsidP="00AF2601">
      <w:pPr>
        <w:pStyle w:val="PSC-Bullets3"/>
        <w:tabs>
          <w:tab w:val="clear" w:pos="1418"/>
        </w:tabs>
        <w:ind w:left="1276" w:hanging="425"/>
        <w:rPr>
          <w:lang w:val="en-US"/>
        </w:rPr>
      </w:pPr>
      <w:r>
        <w:rPr>
          <w:lang w:val="en-US"/>
        </w:rPr>
        <w:t>fixed term</w:t>
      </w:r>
      <w:r w:rsidRPr="00CA555F">
        <w:rPr>
          <w:lang w:val="en-US"/>
        </w:rPr>
        <w:t xml:space="preserve"> temporary employment</w:t>
      </w:r>
    </w:p>
    <w:p w14:paraId="5CB8882C" w14:textId="62558130" w:rsidR="00551917" w:rsidRDefault="00551917" w:rsidP="00AF2601">
      <w:pPr>
        <w:pStyle w:val="PSC-Bullets3"/>
        <w:tabs>
          <w:tab w:val="clear" w:pos="1418"/>
        </w:tabs>
        <w:ind w:left="1276" w:hanging="425"/>
        <w:rPr>
          <w:lang w:val="en-US"/>
        </w:rPr>
      </w:pPr>
      <w:r>
        <w:rPr>
          <w:lang w:val="en-US"/>
        </w:rPr>
        <w:t>casual employment</w:t>
      </w:r>
    </w:p>
    <w:p w14:paraId="054A0C8C" w14:textId="3EBFB21D" w:rsidR="00CA555F" w:rsidRDefault="00CA555F" w:rsidP="00AF2601">
      <w:pPr>
        <w:pStyle w:val="PSC-Bullets3"/>
        <w:tabs>
          <w:tab w:val="clear" w:pos="1418"/>
        </w:tabs>
        <w:ind w:left="1276" w:hanging="425"/>
        <w:rPr>
          <w:lang w:val="en-US"/>
        </w:rPr>
      </w:pPr>
      <w:r>
        <w:rPr>
          <w:lang w:val="en-US"/>
        </w:rPr>
        <w:t>a</w:t>
      </w:r>
      <w:r w:rsidRPr="00CA555F">
        <w:rPr>
          <w:lang w:val="en-US"/>
        </w:rPr>
        <w:t>ppointing a public service employee to a higher classification level</w:t>
      </w:r>
    </w:p>
    <w:p w14:paraId="0A01859C" w14:textId="77777777" w:rsidR="009C0588" w:rsidRPr="0091668B" w:rsidRDefault="006F4515" w:rsidP="009C0588">
      <w:pPr>
        <w:pStyle w:val="Bullets1"/>
        <w:ind w:left="851" w:hanging="426"/>
      </w:pPr>
      <w:hyperlink r:id="rId13" w:history="1">
        <w:r w:rsidR="009C0588" w:rsidRPr="009C0588">
          <w:rPr>
            <w:rStyle w:val="Hyperlink"/>
            <w:rFonts w:eastAsiaTheme="minorHAnsi" w:cs="Arial"/>
            <w:b w:val="0"/>
            <w:color w:val="0563C1" w:themeColor="hyperlink"/>
            <w:szCs w:val="22"/>
          </w:rPr>
          <w:t>Find resources about managing employees</w:t>
        </w:r>
      </w:hyperlink>
      <w:r w:rsidR="009C0588" w:rsidRPr="0091668B">
        <w:t xml:space="preserve"> </w:t>
      </w:r>
      <w:r w:rsidR="009C0588">
        <w:t>in the Queensland Government:</w:t>
      </w:r>
    </w:p>
    <w:p w14:paraId="776F65F8" w14:textId="77777777" w:rsidR="009C0588" w:rsidRPr="00CA555F" w:rsidRDefault="009C0588" w:rsidP="009C0588">
      <w:pPr>
        <w:pStyle w:val="PSC-Bullets3"/>
        <w:tabs>
          <w:tab w:val="clear" w:pos="1418"/>
        </w:tabs>
        <w:ind w:left="1276" w:hanging="425"/>
        <w:rPr>
          <w:lang w:val="en-US"/>
        </w:rPr>
      </w:pPr>
      <w:r w:rsidRPr="00CA555F">
        <w:rPr>
          <w:lang w:val="en-US"/>
        </w:rPr>
        <w:t>PSC recruitment and selection templates</w:t>
      </w:r>
    </w:p>
    <w:p w14:paraId="63F68679" w14:textId="4AA9F25B" w:rsidR="00551917" w:rsidRPr="00BE7613" w:rsidRDefault="00551917" w:rsidP="009C0588">
      <w:pPr>
        <w:pStyle w:val="PSC-Bullets3"/>
        <w:tabs>
          <w:tab w:val="clear" w:pos="1418"/>
        </w:tabs>
        <w:ind w:left="1276" w:hanging="425"/>
        <w:rPr>
          <w:lang w:val="en-US"/>
        </w:rPr>
      </w:pPr>
      <w:r w:rsidRPr="00BE7613">
        <w:rPr>
          <w:lang w:val="en-US"/>
        </w:rPr>
        <w:t>PSC best practice guide for senior executive service recruitment and selection</w:t>
      </w:r>
    </w:p>
    <w:p w14:paraId="0391C9CB" w14:textId="5CEEB9AF" w:rsidR="00551917" w:rsidRPr="00BE7613" w:rsidRDefault="00551917" w:rsidP="009C0588">
      <w:pPr>
        <w:pStyle w:val="PSC-Bullets3"/>
        <w:tabs>
          <w:tab w:val="clear" w:pos="1418"/>
        </w:tabs>
        <w:ind w:left="1276" w:hanging="425"/>
        <w:rPr>
          <w:lang w:val="en-US"/>
        </w:rPr>
      </w:pPr>
      <w:r w:rsidRPr="00BE7613">
        <w:rPr>
          <w:lang w:val="en-US"/>
        </w:rPr>
        <w:t>Guideline on appointment to senior executive service positions</w:t>
      </w:r>
    </w:p>
    <w:p w14:paraId="1B218FEB" w14:textId="61026177" w:rsidR="00551917" w:rsidRDefault="00551917" w:rsidP="009C0588">
      <w:pPr>
        <w:pStyle w:val="PSC-Bullets3"/>
        <w:tabs>
          <w:tab w:val="clear" w:pos="1418"/>
        </w:tabs>
        <w:ind w:left="1276" w:hanging="425"/>
      </w:pPr>
      <w:r>
        <w:t>Policy on disclosure of previous employment as a lobbyist</w:t>
      </w:r>
    </w:p>
    <w:p w14:paraId="33620579" w14:textId="60D3B3EC" w:rsidR="00CA555F" w:rsidRDefault="00CA555F" w:rsidP="009C0588">
      <w:pPr>
        <w:pStyle w:val="PSC-Bullets3"/>
        <w:tabs>
          <w:tab w:val="clear" w:pos="1418"/>
        </w:tabs>
        <w:ind w:left="1276" w:hanging="425"/>
      </w:pPr>
      <w:r>
        <w:t xml:space="preserve">Code of Conduct for the Queensland </w:t>
      </w:r>
      <w:r w:rsidR="001957CA">
        <w:t>p</w:t>
      </w:r>
      <w:r>
        <w:t xml:space="preserve">ublic </w:t>
      </w:r>
      <w:r w:rsidR="001957CA">
        <w:t>s</w:t>
      </w:r>
      <w:r>
        <w:t>ervice</w:t>
      </w:r>
    </w:p>
    <w:p w14:paraId="71DE3045" w14:textId="4652017C" w:rsidR="00CA555F" w:rsidRPr="00BE7613" w:rsidRDefault="00CA555F" w:rsidP="007333C9">
      <w:pPr>
        <w:pStyle w:val="Bullets1"/>
        <w:ind w:left="851" w:hanging="425"/>
        <w:rPr>
          <w:i/>
        </w:rPr>
      </w:pPr>
      <w:r>
        <w:rPr>
          <w:i/>
        </w:rPr>
        <w:t>Public Sector Ethics Act 1994</w:t>
      </w:r>
    </w:p>
    <w:p w14:paraId="077BB0F5" w14:textId="77777777" w:rsidR="00827D1B" w:rsidRPr="00C96C63" w:rsidRDefault="00827D1B" w:rsidP="00551917">
      <w:pPr>
        <w:keepNext/>
        <w:keepLines/>
        <w:rPr>
          <w:rFonts w:ascii="Arial" w:hAnsi="Arial" w:cs="Arial"/>
          <w:sz w:val="22"/>
          <w:szCs w:val="22"/>
        </w:rPr>
      </w:pPr>
    </w:p>
    <w:sectPr w:rsidR="00827D1B" w:rsidRPr="00C96C63" w:rsidSect="009C0588">
      <w:headerReference w:type="default" r:id="rId14"/>
      <w:footerReference w:type="even" r:id="rId15"/>
      <w:footerReference w:type="default" r:id="rId16"/>
      <w:headerReference w:type="first" r:id="rId17"/>
      <w:footerReference w:type="first" r:id="rId18"/>
      <w:pgSz w:w="11900" w:h="16840"/>
      <w:pgMar w:top="1440" w:right="1268" w:bottom="1260" w:left="1560"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6B8E3" w14:textId="77777777" w:rsidR="002C52F7" w:rsidRDefault="002C52F7">
      <w:r>
        <w:separator/>
      </w:r>
    </w:p>
  </w:endnote>
  <w:endnote w:type="continuationSeparator" w:id="0">
    <w:p w14:paraId="1FB9F928" w14:textId="77777777" w:rsidR="002C52F7" w:rsidRDefault="002C52F7">
      <w:r>
        <w:continuationSeparator/>
      </w:r>
    </w:p>
  </w:endnote>
  <w:endnote w:type="continuationNotice" w:id="1">
    <w:p w14:paraId="35CF55DF" w14:textId="77777777" w:rsidR="002C52F7" w:rsidRDefault="002C5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8000499"/>
      <w:docPartObj>
        <w:docPartGallery w:val="Page Numbers (Bottom of Page)"/>
        <w:docPartUnique/>
      </w:docPartObj>
    </w:sdtPr>
    <w:sdtEndPr>
      <w:rPr>
        <w:rStyle w:val="PageNumber"/>
      </w:rPr>
    </w:sdtEndPr>
    <w:sdtContent>
      <w:p w14:paraId="55CE5051" w14:textId="77777777" w:rsidR="00AE065F" w:rsidRDefault="00875901" w:rsidP="00AE065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53283572"/>
      <w:docPartObj>
        <w:docPartGallery w:val="Page Numbers (Bottom of Page)"/>
        <w:docPartUnique/>
      </w:docPartObj>
    </w:sdtPr>
    <w:sdtEndPr>
      <w:rPr>
        <w:rStyle w:val="PageNumber"/>
      </w:rPr>
    </w:sdtEndPr>
    <w:sdtContent>
      <w:p w14:paraId="66EC204B" w14:textId="77777777" w:rsidR="00AE065F" w:rsidRDefault="00875901" w:rsidP="00AE065F">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9FDA88" w14:textId="77777777" w:rsidR="00AE065F" w:rsidRDefault="00AE065F" w:rsidP="00AE06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037A6C"/>
        <w:sz w:val="20"/>
        <w:szCs w:val="20"/>
      </w:rPr>
      <w:id w:val="-1299680281"/>
      <w:docPartObj>
        <w:docPartGallery w:val="Page Numbers (Bottom of Page)"/>
        <w:docPartUnique/>
      </w:docPartObj>
    </w:sdtPr>
    <w:sdtEndPr>
      <w:rPr>
        <w:b w:val="0"/>
        <w:color w:val="auto"/>
      </w:rPr>
    </w:sdtEndPr>
    <w:sdtContent>
      <w:p w14:paraId="5E772EF0" w14:textId="08282B5F" w:rsidR="00AE065F" w:rsidRPr="00C96C63" w:rsidRDefault="00F363E9" w:rsidP="00C96C63">
        <w:pPr>
          <w:pStyle w:val="Footer"/>
          <w:spacing w:after="120"/>
          <w:rPr>
            <w:rFonts w:ascii="Arial" w:hAnsi="Arial" w:cs="Arial"/>
            <w:sz w:val="20"/>
            <w:szCs w:val="20"/>
          </w:rPr>
        </w:pPr>
        <w:r w:rsidRPr="00625C44">
          <w:rPr>
            <w:rFonts w:ascii="Arial" w:hAnsi="Arial" w:cs="Arial"/>
            <w:b/>
            <w:color w:val="037A6C"/>
            <w:sz w:val="20"/>
            <w:szCs w:val="20"/>
          </w:rPr>
          <w:fldChar w:fldCharType="begin"/>
        </w:r>
        <w:r w:rsidRPr="00625C44">
          <w:rPr>
            <w:rFonts w:ascii="Arial" w:hAnsi="Arial" w:cs="Arial"/>
            <w:b/>
            <w:color w:val="037A6C"/>
            <w:sz w:val="20"/>
            <w:szCs w:val="20"/>
          </w:rPr>
          <w:instrText xml:space="preserve"> PAGE   \* MERGEFORMAT </w:instrText>
        </w:r>
        <w:r w:rsidRPr="00625C44">
          <w:rPr>
            <w:rFonts w:ascii="Arial" w:hAnsi="Arial" w:cs="Arial"/>
            <w:b/>
            <w:color w:val="037A6C"/>
            <w:sz w:val="20"/>
            <w:szCs w:val="20"/>
          </w:rPr>
          <w:fldChar w:fldCharType="separate"/>
        </w:r>
        <w:r>
          <w:rPr>
            <w:rFonts w:ascii="Arial" w:hAnsi="Arial" w:cs="Arial"/>
            <w:b/>
            <w:color w:val="037A6C"/>
            <w:sz w:val="20"/>
            <w:szCs w:val="20"/>
          </w:rPr>
          <w:t>1</w:t>
        </w:r>
        <w:r w:rsidRPr="00625C44">
          <w:rPr>
            <w:rFonts w:ascii="Arial" w:hAnsi="Arial" w:cs="Arial"/>
            <w:b/>
            <w:noProof/>
            <w:color w:val="037A6C"/>
            <w:sz w:val="20"/>
            <w:szCs w:val="20"/>
          </w:rPr>
          <w:fldChar w:fldCharType="end"/>
        </w:r>
        <w:r>
          <w:rPr>
            <w:rFonts w:ascii="Arial" w:hAnsi="Arial" w:cs="Arial"/>
            <w:sz w:val="20"/>
            <w:szCs w:val="20"/>
          </w:rPr>
          <w:t xml:space="preserve">  </w:t>
        </w:r>
        <w:r w:rsidRPr="00625C44">
          <w:rPr>
            <w:rFonts w:ascii="Arial" w:hAnsi="Arial" w:cs="Arial"/>
            <w:b/>
            <w:color w:val="037A6C"/>
            <w:sz w:val="20"/>
            <w:szCs w:val="20"/>
          </w:rPr>
          <w:t xml:space="preserve">|  </w:t>
        </w:r>
        <w:r w:rsidRPr="00204406">
          <w:rPr>
            <w:rFonts w:ascii="Arial" w:hAnsi="Arial" w:cs="Arial"/>
            <w:bCs/>
            <w:color w:val="037A6C"/>
            <w:sz w:val="20"/>
            <w:szCs w:val="20"/>
          </w:rPr>
          <w:t xml:space="preserve">Directive </w:t>
        </w:r>
        <w:r w:rsidR="00204406" w:rsidRPr="00204406">
          <w:rPr>
            <w:rFonts w:ascii="Arial" w:hAnsi="Arial" w:cs="Arial"/>
            <w:bCs/>
            <w:color w:val="037A6C"/>
            <w:sz w:val="20"/>
            <w:szCs w:val="20"/>
          </w:rPr>
          <w:t>12</w:t>
        </w:r>
        <w:r w:rsidRPr="00204406">
          <w:rPr>
            <w:rFonts w:ascii="Arial" w:hAnsi="Arial" w:cs="Arial"/>
            <w:bCs/>
            <w:color w:val="037A6C"/>
            <w:sz w:val="20"/>
            <w:szCs w:val="20"/>
          </w:rPr>
          <w:t>/20</w:t>
        </w:r>
        <w:r w:rsidRPr="00625C44">
          <w:rPr>
            <w:rFonts w:ascii="Arial" w:hAnsi="Arial" w:cs="Arial"/>
            <w:color w:val="037A6C"/>
            <w:sz w:val="20"/>
            <w:szCs w:val="20"/>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037A6C"/>
        <w:sz w:val="20"/>
        <w:szCs w:val="20"/>
      </w:rPr>
      <w:id w:val="-799376194"/>
      <w:docPartObj>
        <w:docPartGallery w:val="Page Numbers (Bottom of Page)"/>
        <w:docPartUnique/>
      </w:docPartObj>
    </w:sdtPr>
    <w:sdtEndPr>
      <w:rPr>
        <w:b w:val="0"/>
        <w:bCs/>
        <w:color w:val="auto"/>
      </w:rPr>
    </w:sdtEndPr>
    <w:sdtContent>
      <w:p w14:paraId="54420FA2" w14:textId="2036F4C9" w:rsidR="00AE065F" w:rsidRPr="00C96C63" w:rsidRDefault="00C96C63" w:rsidP="00C96C63">
        <w:pPr>
          <w:pStyle w:val="Footer"/>
          <w:spacing w:after="120"/>
          <w:rPr>
            <w:rFonts w:ascii="Arial" w:hAnsi="Arial" w:cs="Arial"/>
            <w:sz w:val="20"/>
            <w:szCs w:val="20"/>
          </w:rPr>
        </w:pPr>
        <w:r w:rsidRPr="00625C44">
          <w:rPr>
            <w:rFonts w:ascii="Arial" w:hAnsi="Arial" w:cs="Arial"/>
            <w:b/>
            <w:color w:val="037A6C"/>
            <w:sz w:val="20"/>
            <w:szCs w:val="20"/>
          </w:rPr>
          <w:fldChar w:fldCharType="begin"/>
        </w:r>
        <w:r w:rsidRPr="00625C44">
          <w:rPr>
            <w:rFonts w:ascii="Arial" w:hAnsi="Arial" w:cs="Arial"/>
            <w:b/>
            <w:color w:val="037A6C"/>
            <w:sz w:val="20"/>
            <w:szCs w:val="20"/>
          </w:rPr>
          <w:instrText xml:space="preserve"> PAGE   \* MERGEFORMAT </w:instrText>
        </w:r>
        <w:r w:rsidRPr="00625C44">
          <w:rPr>
            <w:rFonts w:ascii="Arial" w:hAnsi="Arial" w:cs="Arial"/>
            <w:b/>
            <w:color w:val="037A6C"/>
            <w:sz w:val="20"/>
            <w:szCs w:val="20"/>
          </w:rPr>
          <w:fldChar w:fldCharType="separate"/>
        </w:r>
        <w:r>
          <w:rPr>
            <w:rFonts w:ascii="Arial" w:hAnsi="Arial" w:cs="Arial"/>
            <w:b/>
            <w:color w:val="037A6C"/>
            <w:sz w:val="20"/>
            <w:szCs w:val="20"/>
          </w:rPr>
          <w:t>1</w:t>
        </w:r>
        <w:r w:rsidRPr="00625C44">
          <w:rPr>
            <w:rFonts w:ascii="Arial" w:hAnsi="Arial" w:cs="Arial"/>
            <w:b/>
            <w:noProof/>
            <w:color w:val="037A6C"/>
            <w:sz w:val="20"/>
            <w:szCs w:val="20"/>
          </w:rPr>
          <w:fldChar w:fldCharType="end"/>
        </w:r>
        <w:r>
          <w:rPr>
            <w:rFonts w:ascii="Arial" w:hAnsi="Arial" w:cs="Arial"/>
            <w:sz w:val="20"/>
            <w:szCs w:val="20"/>
          </w:rPr>
          <w:t xml:space="preserve">  </w:t>
        </w:r>
        <w:r w:rsidRPr="00625C44">
          <w:rPr>
            <w:rFonts w:ascii="Arial" w:hAnsi="Arial" w:cs="Arial"/>
            <w:b/>
            <w:color w:val="037A6C"/>
            <w:sz w:val="20"/>
            <w:szCs w:val="20"/>
          </w:rPr>
          <w:t xml:space="preserve">|  </w:t>
        </w:r>
        <w:r w:rsidRPr="00204406">
          <w:rPr>
            <w:rFonts w:ascii="Arial" w:hAnsi="Arial" w:cs="Arial"/>
            <w:bCs/>
            <w:color w:val="037A6C"/>
            <w:sz w:val="20"/>
            <w:szCs w:val="20"/>
          </w:rPr>
          <w:t xml:space="preserve">Directive </w:t>
        </w:r>
        <w:r w:rsidR="00204406" w:rsidRPr="00204406">
          <w:rPr>
            <w:rFonts w:ascii="Arial" w:hAnsi="Arial" w:cs="Arial"/>
            <w:bCs/>
            <w:color w:val="037A6C"/>
            <w:sz w:val="20"/>
            <w:szCs w:val="20"/>
          </w:rPr>
          <w:t>12</w:t>
        </w:r>
        <w:r w:rsidRPr="00204406">
          <w:rPr>
            <w:rFonts w:ascii="Arial" w:hAnsi="Arial" w:cs="Arial"/>
            <w:bCs/>
            <w:color w:val="037A6C"/>
            <w:sz w:val="20"/>
            <w:szCs w:val="20"/>
          </w:rPr>
          <w:t xml:space="preserve">/20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D3354" w14:textId="77777777" w:rsidR="002C52F7" w:rsidRDefault="002C52F7">
      <w:r>
        <w:separator/>
      </w:r>
    </w:p>
  </w:footnote>
  <w:footnote w:type="continuationSeparator" w:id="0">
    <w:p w14:paraId="790E1CFE" w14:textId="77777777" w:rsidR="002C52F7" w:rsidRDefault="002C52F7">
      <w:r>
        <w:continuationSeparator/>
      </w:r>
    </w:p>
  </w:footnote>
  <w:footnote w:type="continuationNotice" w:id="1">
    <w:p w14:paraId="696A817B" w14:textId="77777777" w:rsidR="002C52F7" w:rsidRDefault="002C52F7"/>
  </w:footnote>
  <w:footnote w:id="2">
    <w:p w14:paraId="6887B9A1" w14:textId="7DC6B7E4" w:rsidR="004B3109" w:rsidRPr="003B111B" w:rsidRDefault="004B3109" w:rsidP="00A9131B">
      <w:pPr>
        <w:pStyle w:val="FootnoteText"/>
        <w:rPr>
          <w:rFonts w:ascii="Arial" w:hAnsi="Arial" w:cs="Arial"/>
          <w:sz w:val="16"/>
          <w:szCs w:val="16"/>
          <w:lang w:val="en-US"/>
        </w:rPr>
      </w:pPr>
      <w:r w:rsidRPr="003B111B">
        <w:rPr>
          <w:rStyle w:val="FootnoteReference"/>
          <w:rFonts w:ascii="Arial" w:hAnsi="Arial" w:cs="Arial"/>
          <w:sz w:val="16"/>
          <w:szCs w:val="16"/>
        </w:rPr>
        <w:footnoteRef/>
      </w:r>
      <w:r w:rsidRPr="003B111B">
        <w:rPr>
          <w:rFonts w:ascii="Arial" w:hAnsi="Arial" w:cs="Arial"/>
          <w:sz w:val="16"/>
          <w:szCs w:val="16"/>
        </w:rPr>
        <w:t xml:space="preserve"> </w:t>
      </w:r>
      <w:r w:rsidR="005036FB" w:rsidRPr="003B111B">
        <w:rPr>
          <w:rFonts w:ascii="Arial" w:hAnsi="Arial" w:cs="Arial"/>
          <w:sz w:val="16"/>
          <w:szCs w:val="16"/>
        </w:rPr>
        <w:t>Chief executives are responsible for determining whether this information is included on the ad itself or in provided material</w:t>
      </w:r>
      <w:r w:rsidR="00A9131B" w:rsidRPr="003B111B">
        <w:rPr>
          <w:rFonts w:ascii="Arial" w:hAnsi="Arial" w:cs="Arial"/>
          <w:sz w:val="16"/>
          <w:szCs w:val="16"/>
        </w:rPr>
        <w:t>,</w:t>
      </w:r>
      <w:r w:rsidR="005036FB" w:rsidRPr="003B111B">
        <w:rPr>
          <w:rFonts w:ascii="Arial" w:hAnsi="Arial" w:cs="Arial"/>
          <w:sz w:val="16"/>
          <w:szCs w:val="16"/>
        </w:rPr>
        <w:t xml:space="preserve"> such as a role description.</w:t>
      </w:r>
    </w:p>
  </w:footnote>
  <w:footnote w:id="3">
    <w:p w14:paraId="3F296CB0" w14:textId="3EBC92D7" w:rsidR="0071227B" w:rsidRPr="003B111B" w:rsidRDefault="0071227B" w:rsidP="00A9131B">
      <w:pPr>
        <w:pStyle w:val="FootnoteText"/>
        <w:rPr>
          <w:sz w:val="16"/>
          <w:szCs w:val="16"/>
          <w:lang w:val="en-US"/>
        </w:rPr>
      </w:pPr>
      <w:r w:rsidRPr="003B111B">
        <w:rPr>
          <w:rStyle w:val="FootnoteReference"/>
          <w:rFonts w:ascii="Arial" w:hAnsi="Arial" w:cs="Arial"/>
          <w:sz w:val="16"/>
          <w:szCs w:val="16"/>
        </w:rPr>
        <w:footnoteRef/>
      </w:r>
      <w:r w:rsidRPr="003B111B">
        <w:rPr>
          <w:rFonts w:ascii="Arial" w:hAnsi="Arial" w:cs="Arial"/>
          <w:sz w:val="16"/>
          <w:szCs w:val="16"/>
        </w:rPr>
        <w:t xml:space="preserve"> </w:t>
      </w:r>
      <w:r w:rsidR="00CC456C" w:rsidRPr="003B111B">
        <w:rPr>
          <w:rFonts w:ascii="Arial" w:hAnsi="Arial" w:cs="Arial"/>
          <w:sz w:val="16"/>
          <w:szCs w:val="16"/>
          <w:lang w:val="en-US"/>
        </w:rPr>
        <w:t xml:space="preserve">For executive roles, capabilities should align with the </w:t>
      </w:r>
      <w:hyperlink r:id="rId1" w:history="1">
        <w:r w:rsidR="00CC456C" w:rsidRPr="003B111B">
          <w:rPr>
            <w:rStyle w:val="Hyperlink"/>
            <w:rFonts w:ascii="Arial" w:hAnsi="Arial" w:cs="Arial"/>
            <w:b w:val="0"/>
            <w:color w:val="auto"/>
            <w:sz w:val="16"/>
            <w:szCs w:val="16"/>
          </w:rPr>
          <w:t xml:space="preserve">Leadership </w:t>
        </w:r>
        <w:r w:rsidR="002D41E1" w:rsidRPr="003B111B">
          <w:rPr>
            <w:rStyle w:val="Hyperlink"/>
            <w:rFonts w:ascii="Arial" w:hAnsi="Arial" w:cs="Arial"/>
            <w:b w:val="0"/>
            <w:color w:val="auto"/>
            <w:sz w:val="16"/>
            <w:szCs w:val="16"/>
          </w:rPr>
          <w:t>competencies for Queensland</w:t>
        </w:r>
      </w:hyperlink>
      <w:r w:rsidR="00CC456C" w:rsidRPr="003B111B">
        <w:rPr>
          <w:rFonts w:ascii="Arial" w:hAnsi="Arial" w:cs="Arial"/>
          <w:sz w:val="16"/>
          <w:szCs w:val="16"/>
          <w:lang w:val="en-US"/>
        </w:rPr>
        <w:t>.</w:t>
      </w:r>
      <w:r w:rsidR="00A476BA">
        <w:rPr>
          <w:rFonts w:ascii="Arial" w:hAnsi="Arial" w:cs="Arial"/>
          <w:sz w:val="16"/>
          <w:szCs w:val="16"/>
          <w:lang w:val="en-US"/>
        </w:rPr>
        <w:t xml:space="preserve"> </w:t>
      </w:r>
    </w:p>
  </w:footnote>
  <w:footnote w:id="4">
    <w:p w14:paraId="138FDD59" w14:textId="189299EF" w:rsidR="00A476BA" w:rsidRPr="00A476BA" w:rsidRDefault="00A476BA">
      <w:pPr>
        <w:pStyle w:val="FootnoteText"/>
        <w:rPr>
          <w:lang w:val="en-US"/>
        </w:rPr>
      </w:pPr>
      <w:r>
        <w:rPr>
          <w:rStyle w:val="FootnoteReference"/>
        </w:rPr>
        <w:footnoteRef/>
      </w:r>
      <w:r>
        <w:t xml:space="preserve"> </w:t>
      </w:r>
      <w:r w:rsidRPr="0060462A">
        <w:rPr>
          <w:rFonts w:ascii="Arial" w:hAnsi="Arial" w:cs="Arial"/>
          <w:sz w:val="16"/>
          <w:szCs w:val="16"/>
        </w:rPr>
        <w:t xml:space="preserve">Job </w:t>
      </w:r>
      <w:bookmarkStart w:id="1" w:name="_Hlk48831789"/>
      <w:r w:rsidRPr="0060462A">
        <w:rPr>
          <w:rFonts w:ascii="Arial" w:hAnsi="Arial" w:cs="Arial"/>
          <w:sz w:val="16"/>
          <w:szCs w:val="16"/>
        </w:rPr>
        <w:t>requirements must not disadvantage external applicants unless they are inherent requirements of a role.</w:t>
      </w:r>
      <w:bookmarkEnd w:id="1"/>
    </w:p>
  </w:footnote>
  <w:footnote w:id="5">
    <w:p w14:paraId="7AE98840" w14:textId="249074B8" w:rsidR="000C668A" w:rsidRPr="003B111B" w:rsidRDefault="000C668A">
      <w:pPr>
        <w:pStyle w:val="FootnoteText"/>
        <w:rPr>
          <w:rFonts w:ascii="Arial" w:hAnsi="Arial" w:cs="Arial"/>
          <w:lang w:val="en-US"/>
        </w:rPr>
      </w:pPr>
      <w:r w:rsidRPr="003B111B">
        <w:rPr>
          <w:rStyle w:val="FootnoteReference"/>
          <w:rFonts w:ascii="Arial" w:hAnsi="Arial" w:cs="Arial"/>
          <w:sz w:val="16"/>
          <w:szCs w:val="16"/>
        </w:rPr>
        <w:footnoteRef/>
      </w:r>
      <w:r w:rsidRPr="003B111B">
        <w:rPr>
          <w:rFonts w:ascii="Arial" w:hAnsi="Arial" w:cs="Arial"/>
          <w:sz w:val="16"/>
          <w:szCs w:val="16"/>
        </w:rPr>
        <w:t xml:space="preserve"> </w:t>
      </w:r>
      <w:r w:rsidR="003903BA" w:rsidRPr="003B111B">
        <w:rPr>
          <w:rFonts w:ascii="Arial" w:hAnsi="Arial" w:cs="Arial"/>
          <w:sz w:val="16"/>
          <w:szCs w:val="16"/>
        </w:rPr>
        <w:t>E.g. if a role becomes vacant again within a few months of a previous process</w:t>
      </w:r>
      <w:r w:rsidR="00F363E9" w:rsidRPr="003B111B">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8E4F" w14:textId="04844E50" w:rsidR="00AE065F" w:rsidRDefault="00875901">
    <w:pPr>
      <w:pStyle w:val="Header"/>
    </w:pPr>
    <w:r>
      <w:rPr>
        <w:noProof/>
      </w:rPr>
      <w:drawing>
        <wp:anchor distT="0" distB="0" distL="114300" distR="114300" simplePos="0" relativeHeight="251658240" behindDoc="1" locked="1" layoutInCell="1" allowOverlap="1" wp14:anchorId="33630A99" wp14:editId="365D191F">
          <wp:simplePos x="0" y="0"/>
          <wp:positionH relativeFrom="page">
            <wp:posOffset>6350</wp:posOffset>
          </wp:positionH>
          <wp:positionV relativeFrom="page">
            <wp:posOffset>-23495</wp:posOffset>
          </wp:positionV>
          <wp:extent cx="7559675" cy="10695305"/>
          <wp:effectExtent l="0" t="0" r="0" b="0"/>
          <wp:wrapNone/>
          <wp:docPr id="9" name="Picture 9"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0---PSC-Position-Description-Word-Template-Alteration---V0-05-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5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3B1F" w14:textId="74D6214C" w:rsidR="00AE065F" w:rsidRDefault="00875901" w:rsidP="00AE065F">
    <w:pPr>
      <w:pStyle w:val="Header"/>
    </w:pPr>
    <w:r>
      <w:rPr>
        <w:noProof/>
      </w:rPr>
      <w:drawing>
        <wp:anchor distT="0" distB="0" distL="114300" distR="114300" simplePos="0" relativeHeight="251658241" behindDoc="1" locked="1" layoutInCell="1" allowOverlap="1" wp14:anchorId="34BF7AEA" wp14:editId="3ADAF3C8">
          <wp:simplePos x="0" y="0"/>
          <wp:positionH relativeFrom="page">
            <wp:align>center</wp:align>
          </wp:positionH>
          <wp:positionV relativeFrom="page">
            <wp:align>top</wp:align>
          </wp:positionV>
          <wp:extent cx="7560000" cy="10695600"/>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20---PSC-Position-Description-Word-Template-Alteration---V0-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55063090"/>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1" w15:restartNumberingAfterBreak="0">
    <w:nsid w:val="03EF0B2F"/>
    <w:multiLevelType w:val="multilevel"/>
    <w:tmpl w:val="A2B0A2D6"/>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2" w15:restartNumberingAfterBreak="0">
    <w:nsid w:val="07E63E79"/>
    <w:multiLevelType w:val="hybridMultilevel"/>
    <w:tmpl w:val="ABE63CCE"/>
    <w:lvl w:ilvl="0" w:tplc="E8D86E5E">
      <w:start w:val="1"/>
      <w:numFmt w:val="bullet"/>
      <w:pStyle w:val="Bullets1"/>
      <w:lvlText w:val=""/>
      <w:lvlJc w:val="left"/>
      <w:pPr>
        <w:ind w:left="862" w:hanging="720"/>
      </w:pPr>
      <w:rPr>
        <w:rFonts w:ascii="Symbol" w:hAnsi="Symbol" w:hint="default"/>
        <w:color w:val="60C3AD"/>
      </w:rPr>
    </w:lvl>
    <w:lvl w:ilvl="1" w:tplc="19C2AA84">
      <w:start w:val="1"/>
      <w:numFmt w:val="bullet"/>
      <w:pStyle w:val="Bullets2"/>
      <w:lvlText w:val="―"/>
      <w:lvlJc w:val="left"/>
      <w:pPr>
        <w:ind w:left="1080" w:hanging="360"/>
      </w:pPr>
      <w:rPr>
        <w:rFonts w:ascii="Arial Black" w:hAnsi="Arial Black" w:hint="default"/>
        <w:color w:val="4472C4"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402CF5"/>
    <w:multiLevelType w:val="multilevel"/>
    <w:tmpl w:val="CD246B96"/>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4" w15:restartNumberingAfterBreak="0">
    <w:nsid w:val="0CCC1FF7"/>
    <w:multiLevelType w:val="multilevel"/>
    <w:tmpl w:val="7DD850FE"/>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5" w15:restartNumberingAfterBreak="0">
    <w:nsid w:val="15D9630E"/>
    <w:multiLevelType w:val="multilevel"/>
    <w:tmpl w:val="0BC49AC6"/>
    <w:lvl w:ilvl="0">
      <w:start w:val="1"/>
      <w:numFmt w:val="decimal"/>
      <w:pStyle w:val="PSC-Heading2"/>
      <w:lvlText w:val="%1."/>
      <w:lvlJc w:val="left"/>
      <w:pPr>
        <w:ind w:left="0" w:firstLine="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1AC125F2"/>
    <w:multiLevelType w:val="multilevel"/>
    <w:tmpl w:val="5A0E21F6"/>
    <w:lvl w:ilvl="0">
      <w:start w:val="1"/>
      <w:numFmt w:val="decimal"/>
      <w:pStyle w:val="PSCBodycopynumbered"/>
      <w:lvlText w:val="%1.1"/>
      <w:lvlJc w:val="left"/>
      <w:pPr>
        <w:ind w:left="1149" w:hanging="432"/>
      </w:pPr>
      <w:rPr>
        <w:rFonts w:hint="default"/>
      </w:rPr>
    </w:lvl>
    <w:lvl w:ilvl="1">
      <w:start w:val="1"/>
      <w:numFmt w:val="decimal"/>
      <w:lvlText w:val="%1.%2"/>
      <w:lvlJc w:val="left"/>
      <w:pPr>
        <w:ind w:left="1293" w:hanging="576"/>
      </w:pPr>
    </w:lvl>
    <w:lvl w:ilvl="2">
      <w:start w:val="1"/>
      <w:numFmt w:val="decimal"/>
      <w:pStyle w:val="Heading3"/>
      <w:lvlText w:val="%1.%2.%3"/>
      <w:lvlJc w:val="left"/>
      <w:pPr>
        <w:ind w:left="1437" w:hanging="720"/>
      </w:pPr>
      <w:rPr>
        <w:rFonts w:hint="default"/>
      </w:rPr>
    </w:lvl>
    <w:lvl w:ilvl="3">
      <w:start w:val="1"/>
      <w:numFmt w:val="decimal"/>
      <w:lvlText w:val="%1.%2.%3.%4"/>
      <w:lvlJc w:val="left"/>
      <w:pPr>
        <w:ind w:left="1581" w:hanging="864"/>
      </w:pPr>
      <w:rPr>
        <w:rFonts w:hint="default"/>
      </w:rPr>
    </w:lvl>
    <w:lvl w:ilvl="4">
      <w:start w:val="1"/>
      <w:numFmt w:val="decimal"/>
      <w:pStyle w:val="Heading5"/>
      <w:lvlText w:val="%1.%2.%3.%4.%5"/>
      <w:lvlJc w:val="left"/>
      <w:pPr>
        <w:ind w:left="1725" w:hanging="1008"/>
      </w:pPr>
      <w:rPr>
        <w:rFonts w:hint="default"/>
      </w:rPr>
    </w:lvl>
    <w:lvl w:ilvl="5">
      <w:start w:val="1"/>
      <w:numFmt w:val="decimal"/>
      <w:lvlText w:val="%1.%2.%3.%4.%5.%6"/>
      <w:lvlJc w:val="left"/>
      <w:pPr>
        <w:ind w:left="1869" w:hanging="1152"/>
      </w:pPr>
      <w:rPr>
        <w:rFonts w:hint="default"/>
      </w:rPr>
    </w:lvl>
    <w:lvl w:ilvl="6">
      <w:start w:val="1"/>
      <w:numFmt w:val="decimal"/>
      <w:pStyle w:val="Heading7"/>
      <w:lvlText w:val="%1.%2.%3.%4.%5.%6.%7"/>
      <w:lvlJc w:val="left"/>
      <w:pPr>
        <w:ind w:left="2013" w:hanging="1296"/>
      </w:pPr>
      <w:rPr>
        <w:rFonts w:hint="default"/>
      </w:rPr>
    </w:lvl>
    <w:lvl w:ilvl="7">
      <w:start w:val="1"/>
      <w:numFmt w:val="decimal"/>
      <w:pStyle w:val="Heading8"/>
      <w:lvlText w:val="%1.%2.%3.%4.%5.%6.%7.%8"/>
      <w:lvlJc w:val="left"/>
      <w:pPr>
        <w:ind w:left="2157" w:hanging="1440"/>
      </w:pPr>
      <w:rPr>
        <w:rFonts w:hint="default"/>
      </w:rPr>
    </w:lvl>
    <w:lvl w:ilvl="8">
      <w:start w:val="1"/>
      <w:numFmt w:val="decimal"/>
      <w:pStyle w:val="Heading9"/>
      <w:lvlText w:val="%1.%2.%3.%4.%5.%6.%7.%8.%9"/>
      <w:lvlJc w:val="left"/>
      <w:pPr>
        <w:ind w:left="2301" w:hanging="1584"/>
      </w:pPr>
      <w:rPr>
        <w:rFonts w:hint="default"/>
      </w:rPr>
    </w:lvl>
  </w:abstractNum>
  <w:abstractNum w:abstractNumId="7" w15:restartNumberingAfterBreak="0">
    <w:nsid w:val="1BF77C7A"/>
    <w:multiLevelType w:val="hybridMultilevel"/>
    <w:tmpl w:val="CEC291B0"/>
    <w:lvl w:ilvl="0" w:tplc="7518835C">
      <w:start w:val="1"/>
      <w:numFmt w:val="bullet"/>
      <w:pStyle w:val="PSC-Bullets2"/>
      <w:lvlText w:val="·"/>
      <w:lvlJc w:val="left"/>
      <w:pPr>
        <w:ind w:left="720" w:hanging="360"/>
      </w:pPr>
      <w:rPr>
        <w:rFonts w:ascii="Symbol" w:hAnsi="Symbol" w:cs="Symbol" w:hint="default"/>
        <w:b/>
        <w:i w:val="0"/>
        <w:color w:val="60C3A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DC55611"/>
    <w:multiLevelType w:val="hybridMultilevel"/>
    <w:tmpl w:val="4150F934"/>
    <w:lvl w:ilvl="0" w:tplc="EF043388">
      <w:start w:val="1"/>
      <w:numFmt w:val="bullet"/>
      <w:pStyle w:val="PSC-Bullets3"/>
      <w:lvlText w:val="–"/>
      <w:lvlJc w:val="left"/>
      <w:pPr>
        <w:tabs>
          <w:tab w:val="num" w:pos="1418"/>
        </w:tabs>
        <w:ind w:left="1077" w:hanging="357"/>
      </w:pPr>
      <w:rPr>
        <w:rFonts w:ascii="Arial Black" w:hAnsi="Arial Black" w:cs="Symbol" w:hint="default"/>
        <w:b/>
        <w:i w:val="0"/>
        <w:color w:val="60C3AD"/>
        <w:w w:val="100"/>
        <w:kern w:val="0"/>
        <w14:cntxtAlts w14:val="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cs="Wingdings" w:hint="default"/>
      </w:rPr>
    </w:lvl>
    <w:lvl w:ilvl="3" w:tplc="08090001" w:tentative="1">
      <w:start w:val="1"/>
      <w:numFmt w:val="bullet"/>
      <w:lvlText w:val=""/>
      <w:lvlJc w:val="left"/>
      <w:pPr>
        <w:ind w:left="3234" w:hanging="360"/>
      </w:pPr>
      <w:rPr>
        <w:rFonts w:ascii="Symbol" w:hAnsi="Symbol" w:cs="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cs="Wingdings" w:hint="default"/>
      </w:rPr>
    </w:lvl>
    <w:lvl w:ilvl="6" w:tplc="08090001" w:tentative="1">
      <w:start w:val="1"/>
      <w:numFmt w:val="bullet"/>
      <w:lvlText w:val=""/>
      <w:lvlJc w:val="left"/>
      <w:pPr>
        <w:ind w:left="5394" w:hanging="360"/>
      </w:pPr>
      <w:rPr>
        <w:rFonts w:ascii="Symbol" w:hAnsi="Symbol" w:cs="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cs="Wingdings" w:hint="default"/>
      </w:rPr>
    </w:lvl>
  </w:abstractNum>
  <w:abstractNum w:abstractNumId="9" w15:restartNumberingAfterBreak="0">
    <w:nsid w:val="258C272E"/>
    <w:multiLevelType w:val="multilevel"/>
    <w:tmpl w:val="7DD850FE"/>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10" w15:restartNumberingAfterBreak="0">
    <w:nsid w:val="25F55C46"/>
    <w:multiLevelType w:val="multilevel"/>
    <w:tmpl w:val="A2B0A2D6"/>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11" w15:restartNumberingAfterBreak="0">
    <w:nsid w:val="27535B4B"/>
    <w:multiLevelType w:val="multilevel"/>
    <w:tmpl w:val="7B469ED0"/>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12" w15:restartNumberingAfterBreak="0">
    <w:nsid w:val="29985C01"/>
    <w:multiLevelType w:val="hybridMultilevel"/>
    <w:tmpl w:val="8E909D48"/>
    <w:lvl w:ilvl="0" w:tplc="04090001">
      <w:start w:val="1"/>
      <w:numFmt w:val="bullet"/>
      <w:lvlText w:val=""/>
      <w:lvlJc w:val="left"/>
      <w:pPr>
        <w:ind w:left="745" w:hanging="360"/>
      </w:pPr>
      <w:rPr>
        <w:rFonts w:ascii="Symbol" w:hAnsi="Symbol" w:hint="default"/>
      </w:rPr>
    </w:lvl>
    <w:lvl w:ilvl="1" w:tplc="475CF730">
      <w:start w:val="1"/>
      <w:numFmt w:val="bullet"/>
      <w:lvlText w:val=""/>
      <w:lvlJc w:val="left"/>
      <w:pPr>
        <w:ind w:left="1465" w:hanging="360"/>
      </w:pPr>
      <w:rPr>
        <w:rFonts w:ascii="Symbol" w:hAnsi="Symbol" w:hint="default"/>
      </w:rPr>
    </w:lvl>
    <w:lvl w:ilvl="2" w:tplc="04090005">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3" w15:restartNumberingAfterBreak="0">
    <w:nsid w:val="2E3C7297"/>
    <w:multiLevelType w:val="hybridMultilevel"/>
    <w:tmpl w:val="7A8816EE"/>
    <w:lvl w:ilvl="0" w:tplc="145EDA54">
      <w:start w:val="1"/>
      <w:numFmt w:val="lowerLetter"/>
      <w:lvlText w:val="(%1)"/>
      <w:lvlJc w:val="left"/>
      <w:pPr>
        <w:ind w:left="720" w:hanging="360"/>
      </w:pPr>
      <w:rPr>
        <w:rFonts w:asciiTheme="minorHAnsi" w:eastAsia="Times New Roman" w:hAnsiTheme="minorHAnsi" w:cstheme="minorBid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6F47A92"/>
    <w:multiLevelType w:val="multilevel"/>
    <w:tmpl w:val="1624EACA"/>
    <w:lvl w:ilvl="0">
      <w:start w:val="1"/>
      <w:numFmt w:val="decimal"/>
      <w:lvlText w:val="%1."/>
      <w:lvlJc w:val="left"/>
      <w:pPr>
        <w:ind w:left="720" w:hanging="360"/>
      </w:pPr>
      <w:rPr>
        <w:rFonts w:hint="default"/>
      </w:rPr>
    </w:lvl>
    <w:lvl w:ilvl="1">
      <w:start w:val="1"/>
      <w:numFmt w:val="decimal"/>
      <w:pStyle w:val="Numberedlist2"/>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5" w15:restartNumberingAfterBreak="0">
    <w:nsid w:val="41563C18"/>
    <w:multiLevelType w:val="multilevel"/>
    <w:tmpl w:val="0809001D"/>
    <w:styleLink w:val="Heading2Ind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0A7033"/>
    <w:multiLevelType w:val="hybridMultilevel"/>
    <w:tmpl w:val="0218D1EC"/>
    <w:lvl w:ilvl="0" w:tplc="0A6C20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C31C9"/>
    <w:multiLevelType w:val="hybridMultilevel"/>
    <w:tmpl w:val="04CA2E36"/>
    <w:lvl w:ilvl="0" w:tplc="461614CC">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714A48"/>
    <w:multiLevelType w:val="multilevel"/>
    <w:tmpl w:val="7DD850FE"/>
    <w:lvl w:ilvl="0">
      <w:start w:val="1"/>
      <w:numFmt w:val="lowerLetter"/>
      <w:lvlText w:val="(%1)"/>
      <w:lvlJc w:val="left"/>
      <w:pPr>
        <w:ind w:left="826" w:hanging="710"/>
      </w:pPr>
      <w:rPr>
        <w:rFonts w:ascii="Arial" w:hAnsi="Arial" w:cs="Arial"/>
        <w:b w:val="0"/>
        <w:bCs w:val="0"/>
        <w:w w:val="99"/>
        <w:sz w:val="22"/>
        <w:szCs w:val="20"/>
      </w:rPr>
    </w:lvl>
    <w:lvl w:ilvl="1">
      <w:numFmt w:val="bullet"/>
      <w:lvlText w:val="•"/>
      <w:lvlJc w:val="left"/>
      <w:pPr>
        <w:ind w:left="1760" w:hanging="710"/>
      </w:pPr>
    </w:lvl>
    <w:lvl w:ilvl="2">
      <w:numFmt w:val="bullet"/>
      <w:lvlText w:val="•"/>
      <w:lvlJc w:val="left"/>
      <w:pPr>
        <w:ind w:left="2700" w:hanging="710"/>
      </w:pPr>
    </w:lvl>
    <w:lvl w:ilvl="3">
      <w:numFmt w:val="bullet"/>
      <w:lvlText w:val="•"/>
      <w:lvlJc w:val="left"/>
      <w:pPr>
        <w:ind w:left="3641" w:hanging="710"/>
      </w:pPr>
    </w:lvl>
    <w:lvl w:ilvl="4">
      <w:numFmt w:val="bullet"/>
      <w:lvlText w:val="•"/>
      <w:lvlJc w:val="left"/>
      <w:pPr>
        <w:ind w:left="4581" w:hanging="710"/>
      </w:pPr>
    </w:lvl>
    <w:lvl w:ilvl="5">
      <w:numFmt w:val="bullet"/>
      <w:lvlText w:val="•"/>
      <w:lvlJc w:val="left"/>
      <w:pPr>
        <w:ind w:left="5522" w:hanging="710"/>
      </w:pPr>
    </w:lvl>
    <w:lvl w:ilvl="6">
      <w:numFmt w:val="bullet"/>
      <w:lvlText w:val="•"/>
      <w:lvlJc w:val="left"/>
      <w:pPr>
        <w:ind w:left="6462" w:hanging="710"/>
      </w:pPr>
    </w:lvl>
    <w:lvl w:ilvl="7">
      <w:numFmt w:val="bullet"/>
      <w:lvlText w:val="•"/>
      <w:lvlJc w:val="left"/>
      <w:pPr>
        <w:ind w:left="7403" w:hanging="710"/>
      </w:pPr>
    </w:lvl>
    <w:lvl w:ilvl="8">
      <w:numFmt w:val="bullet"/>
      <w:lvlText w:val="•"/>
      <w:lvlJc w:val="left"/>
      <w:pPr>
        <w:ind w:left="8343" w:hanging="710"/>
      </w:pPr>
    </w:lvl>
  </w:abstractNum>
  <w:abstractNum w:abstractNumId="19" w15:restartNumberingAfterBreak="0">
    <w:nsid w:val="60E91CC4"/>
    <w:multiLevelType w:val="hybridMultilevel"/>
    <w:tmpl w:val="3A02AF5C"/>
    <w:lvl w:ilvl="0" w:tplc="D66C7820">
      <w:start w:val="1"/>
      <w:numFmt w:val="decimal"/>
      <w:pStyle w:val="PSC-Bullet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225D6F"/>
    <w:multiLevelType w:val="multilevel"/>
    <w:tmpl w:val="4ADE9372"/>
    <w:lvl w:ilvl="0">
      <w:start w:val="1"/>
      <w:numFmt w:val="decimal"/>
      <w:lvlText w:val="%1."/>
      <w:lvlJc w:val="left"/>
      <w:pPr>
        <w:ind w:left="720" w:hanging="360"/>
      </w:pPr>
      <w:rPr>
        <w:rFonts w:hint="default"/>
      </w:rPr>
    </w:lvl>
    <w:lvl w:ilvl="1">
      <w:start w:val="1"/>
      <w:numFmt w:val="decimal"/>
      <w:lvlText w:val="%1.%2"/>
      <w:lvlJc w:val="left"/>
      <w:pPr>
        <w:ind w:left="1080" w:hanging="72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num w:numId="1">
    <w:abstractNumId w:val="19"/>
  </w:num>
  <w:num w:numId="2">
    <w:abstractNumId w:val="7"/>
  </w:num>
  <w:num w:numId="3">
    <w:abstractNumId w:val="8"/>
  </w:num>
  <w:num w:numId="4">
    <w:abstractNumId w:val="2"/>
  </w:num>
  <w:num w:numId="5">
    <w:abstractNumId w:val="20"/>
  </w:num>
  <w:num w:numId="6">
    <w:abstractNumId w:val="6"/>
  </w:num>
  <w:num w:numId="7">
    <w:abstractNumId w:val="15"/>
  </w:num>
  <w:num w:numId="8">
    <w:abstractNumId w:val="17"/>
  </w:num>
  <w:num w:numId="9">
    <w:abstractNumId w:val="5"/>
  </w:num>
  <w:num w:numId="10">
    <w:abstractNumId w:val="14"/>
  </w:num>
  <w:num w:numId="11">
    <w:abstractNumId w:val="14"/>
  </w:num>
  <w:num w:numId="12">
    <w:abstractNumId w:val="14"/>
  </w:num>
  <w:num w:numId="13">
    <w:abstractNumId w:val="14"/>
  </w:num>
  <w:num w:numId="14">
    <w:abstractNumId w:val="14"/>
  </w:num>
  <w:num w:numId="15">
    <w:abstractNumId w:val="0"/>
  </w:num>
  <w:num w:numId="16">
    <w:abstractNumId w:val="14"/>
  </w:num>
  <w:num w:numId="17">
    <w:abstractNumId w:val="14"/>
  </w:num>
  <w:num w:numId="18">
    <w:abstractNumId w:val="14"/>
  </w:num>
  <w:num w:numId="19">
    <w:abstractNumId w:val="14"/>
  </w:num>
  <w:num w:numId="20">
    <w:abstractNumId w:val="14"/>
  </w:num>
  <w:num w:numId="21">
    <w:abstractNumId w:val="3"/>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1"/>
  </w:num>
  <w:num w:numId="32">
    <w:abstractNumId w:val="14"/>
  </w:num>
  <w:num w:numId="33">
    <w:abstractNumId w:val="14"/>
  </w:num>
  <w:num w:numId="34">
    <w:abstractNumId w:val="14"/>
  </w:num>
  <w:num w:numId="35">
    <w:abstractNumId w:val="1"/>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8"/>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4"/>
  </w:num>
  <w:num w:numId="53">
    <w:abstractNumId w:val="14"/>
  </w:num>
  <w:num w:numId="54">
    <w:abstractNumId w:val="14"/>
  </w:num>
  <w:num w:numId="55">
    <w:abstractNumId w:val="10"/>
  </w:num>
  <w:num w:numId="56">
    <w:abstractNumId w:val="14"/>
  </w:num>
  <w:num w:numId="57">
    <w:abstractNumId w:val="9"/>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num>
  <w:num w:numId="61">
    <w:abstractNumId w:val="14"/>
  </w:num>
  <w:num w:numId="62">
    <w:abstractNumId w:val="14"/>
  </w:num>
  <w:num w:numId="63">
    <w:abstractNumId w:val="14"/>
  </w:num>
  <w:num w:numId="64">
    <w:abstractNumId w:val="12"/>
  </w:num>
  <w:num w:numId="65">
    <w:abstractNumId w:val="16"/>
  </w:num>
  <w:num w:numId="66">
    <w:abstractNumId w:val="1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47"/>
    <w:rsid w:val="000008E5"/>
    <w:rsid w:val="000052E3"/>
    <w:rsid w:val="0000553C"/>
    <w:rsid w:val="00022B79"/>
    <w:rsid w:val="0002480A"/>
    <w:rsid w:val="00030AD4"/>
    <w:rsid w:val="00031DB9"/>
    <w:rsid w:val="00033C48"/>
    <w:rsid w:val="00052380"/>
    <w:rsid w:val="000622B3"/>
    <w:rsid w:val="00063CEB"/>
    <w:rsid w:val="00065E23"/>
    <w:rsid w:val="00066CDB"/>
    <w:rsid w:val="00067F9F"/>
    <w:rsid w:val="00081C51"/>
    <w:rsid w:val="000A4036"/>
    <w:rsid w:val="000B0565"/>
    <w:rsid w:val="000C668A"/>
    <w:rsid w:val="000D0D5A"/>
    <w:rsid w:val="000D7865"/>
    <w:rsid w:val="000E1376"/>
    <w:rsid w:val="000E2056"/>
    <w:rsid w:val="000E674B"/>
    <w:rsid w:val="000F033A"/>
    <w:rsid w:val="000F5798"/>
    <w:rsid w:val="00100FA6"/>
    <w:rsid w:val="00103158"/>
    <w:rsid w:val="00104112"/>
    <w:rsid w:val="001075CB"/>
    <w:rsid w:val="00117789"/>
    <w:rsid w:val="0012300C"/>
    <w:rsid w:val="00132DA2"/>
    <w:rsid w:val="00134AA6"/>
    <w:rsid w:val="00137946"/>
    <w:rsid w:val="001409E1"/>
    <w:rsid w:val="00144A79"/>
    <w:rsid w:val="00147B61"/>
    <w:rsid w:val="00152AB8"/>
    <w:rsid w:val="0015587D"/>
    <w:rsid w:val="0015743E"/>
    <w:rsid w:val="00157694"/>
    <w:rsid w:val="00161B40"/>
    <w:rsid w:val="00166D57"/>
    <w:rsid w:val="0018305F"/>
    <w:rsid w:val="0018559B"/>
    <w:rsid w:val="00187BDF"/>
    <w:rsid w:val="001926CC"/>
    <w:rsid w:val="001957CA"/>
    <w:rsid w:val="001A383E"/>
    <w:rsid w:val="001A5265"/>
    <w:rsid w:val="001B0219"/>
    <w:rsid w:val="001C02C4"/>
    <w:rsid w:val="001C160F"/>
    <w:rsid w:val="001C1E76"/>
    <w:rsid w:val="001C1F97"/>
    <w:rsid w:val="001C7B30"/>
    <w:rsid w:val="001D16A7"/>
    <w:rsid w:val="001D4163"/>
    <w:rsid w:val="001D7C34"/>
    <w:rsid w:val="001F00B5"/>
    <w:rsid w:val="00204406"/>
    <w:rsid w:val="00206D29"/>
    <w:rsid w:val="002123A2"/>
    <w:rsid w:val="00213782"/>
    <w:rsid w:val="00217EA8"/>
    <w:rsid w:val="002248CF"/>
    <w:rsid w:val="002249DD"/>
    <w:rsid w:val="00225F8A"/>
    <w:rsid w:val="00226CFE"/>
    <w:rsid w:val="00230193"/>
    <w:rsid w:val="00234DE1"/>
    <w:rsid w:val="00235293"/>
    <w:rsid w:val="00236ED5"/>
    <w:rsid w:val="00245AD7"/>
    <w:rsid w:val="002636D9"/>
    <w:rsid w:val="00266473"/>
    <w:rsid w:val="0026773B"/>
    <w:rsid w:val="002771A3"/>
    <w:rsid w:val="0028326D"/>
    <w:rsid w:val="0029057B"/>
    <w:rsid w:val="00290AA5"/>
    <w:rsid w:val="00290E8C"/>
    <w:rsid w:val="0029485F"/>
    <w:rsid w:val="002C059D"/>
    <w:rsid w:val="002C370D"/>
    <w:rsid w:val="002C3AC3"/>
    <w:rsid w:val="002C4BA5"/>
    <w:rsid w:val="002C52F7"/>
    <w:rsid w:val="002C532E"/>
    <w:rsid w:val="002C7307"/>
    <w:rsid w:val="002D41E1"/>
    <w:rsid w:val="002D6076"/>
    <w:rsid w:val="002E0984"/>
    <w:rsid w:val="002F3D0C"/>
    <w:rsid w:val="00300652"/>
    <w:rsid w:val="003009D1"/>
    <w:rsid w:val="003119B2"/>
    <w:rsid w:val="0031615A"/>
    <w:rsid w:val="00316C4F"/>
    <w:rsid w:val="00320CA5"/>
    <w:rsid w:val="003312AC"/>
    <w:rsid w:val="00332885"/>
    <w:rsid w:val="003423BD"/>
    <w:rsid w:val="003456FD"/>
    <w:rsid w:val="003548A5"/>
    <w:rsid w:val="003657C5"/>
    <w:rsid w:val="003731D1"/>
    <w:rsid w:val="00373814"/>
    <w:rsid w:val="0037658C"/>
    <w:rsid w:val="00376A15"/>
    <w:rsid w:val="003805A3"/>
    <w:rsid w:val="003903BA"/>
    <w:rsid w:val="00396993"/>
    <w:rsid w:val="003A37E0"/>
    <w:rsid w:val="003B111B"/>
    <w:rsid w:val="003B7AD0"/>
    <w:rsid w:val="003C4721"/>
    <w:rsid w:val="003D1F6D"/>
    <w:rsid w:val="003D7BC8"/>
    <w:rsid w:val="003F38AF"/>
    <w:rsid w:val="003F5F4F"/>
    <w:rsid w:val="004113BF"/>
    <w:rsid w:val="00422434"/>
    <w:rsid w:val="004311EE"/>
    <w:rsid w:val="00431DDB"/>
    <w:rsid w:val="00441FD0"/>
    <w:rsid w:val="00447121"/>
    <w:rsid w:val="004503E5"/>
    <w:rsid w:val="0046556E"/>
    <w:rsid w:val="00472727"/>
    <w:rsid w:val="00476704"/>
    <w:rsid w:val="00491232"/>
    <w:rsid w:val="004959EC"/>
    <w:rsid w:val="00495D1B"/>
    <w:rsid w:val="004B0E9F"/>
    <w:rsid w:val="004B2EDD"/>
    <w:rsid w:val="004B3109"/>
    <w:rsid w:val="004B7C99"/>
    <w:rsid w:val="004C12DD"/>
    <w:rsid w:val="004C3DC9"/>
    <w:rsid w:val="004C5B2E"/>
    <w:rsid w:val="004C67F0"/>
    <w:rsid w:val="004D1EAF"/>
    <w:rsid w:val="004E32DF"/>
    <w:rsid w:val="004E6E09"/>
    <w:rsid w:val="004E7443"/>
    <w:rsid w:val="004F09FF"/>
    <w:rsid w:val="004F0DB2"/>
    <w:rsid w:val="005036FB"/>
    <w:rsid w:val="00507A4B"/>
    <w:rsid w:val="005260BF"/>
    <w:rsid w:val="005264B4"/>
    <w:rsid w:val="00527A93"/>
    <w:rsid w:val="005413B8"/>
    <w:rsid w:val="00542002"/>
    <w:rsid w:val="00551917"/>
    <w:rsid w:val="00552106"/>
    <w:rsid w:val="00564023"/>
    <w:rsid w:val="00567A2F"/>
    <w:rsid w:val="00577398"/>
    <w:rsid w:val="00580222"/>
    <w:rsid w:val="00585966"/>
    <w:rsid w:val="00586166"/>
    <w:rsid w:val="005A52BD"/>
    <w:rsid w:val="005B264E"/>
    <w:rsid w:val="005B4F75"/>
    <w:rsid w:val="005C03BB"/>
    <w:rsid w:val="005C0D46"/>
    <w:rsid w:val="005C704C"/>
    <w:rsid w:val="005F04A9"/>
    <w:rsid w:val="005F6A71"/>
    <w:rsid w:val="006038B8"/>
    <w:rsid w:val="00611636"/>
    <w:rsid w:val="006325BB"/>
    <w:rsid w:val="006359CC"/>
    <w:rsid w:val="006360C5"/>
    <w:rsid w:val="006375A8"/>
    <w:rsid w:val="006421A3"/>
    <w:rsid w:val="00650D54"/>
    <w:rsid w:val="00651BF1"/>
    <w:rsid w:val="006524B5"/>
    <w:rsid w:val="00652E99"/>
    <w:rsid w:val="0065362A"/>
    <w:rsid w:val="00657B6D"/>
    <w:rsid w:val="00681ED9"/>
    <w:rsid w:val="0068316D"/>
    <w:rsid w:val="00691E7F"/>
    <w:rsid w:val="00692F8C"/>
    <w:rsid w:val="00693E99"/>
    <w:rsid w:val="00696E87"/>
    <w:rsid w:val="006A10B8"/>
    <w:rsid w:val="006A7C05"/>
    <w:rsid w:val="006B32FE"/>
    <w:rsid w:val="006B382B"/>
    <w:rsid w:val="006B4E04"/>
    <w:rsid w:val="006C1B4F"/>
    <w:rsid w:val="006D0DAB"/>
    <w:rsid w:val="006D3AAA"/>
    <w:rsid w:val="006F3124"/>
    <w:rsid w:val="006F4515"/>
    <w:rsid w:val="006F5B61"/>
    <w:rsid w:val="00700A52"/>
    <w:rsid w:val="00705127"/>
    <w:rsid w:val="007063E6"/>
    <w:rsid w:val="0071227B"/>
    <w:rsid w:val="00715A49"/>
    <w:rsid w:val="00716208"/>
    <w:rsid w:val="0072288D"/>
    <w:rsid w:val="00722DD4"/>
    <w:rsid w:val="00727FC0"/>
    <w:rsid w:val="00731780"/>
    <w:rsid w:val="007333C9"/>
    <w:rsid w:val="00741D51"/>
    <w:rsid w:val="00742F17"/>
    <w:rsid w:val="007462F3"/>
    <w:rsid w:val="00756B96"/>
    <w:rsid w:val="007638F2"/>
    <w:rsid w:val="00781007"/>
    <w:rsid w:val="00781B02"/>
    <w:rsid w:val="00781F58"/>
    <w:rsid w:val="00786334"/>
    <w:rsid w:val="007879FE"/>
    <w:rsid w:val="00795625"/>
    <w:rsid w:val="007A0179"/>
    <w:rsid w:val="007A0BEE"/>
    <w:rsid w:val="007A328D"/>
    <w:rsid w:val="007A7720"/>
    <w:rsid w:val="007C7B75"/>
    <w:rsid w:val="007D04B0"/>
    <w:rsid w:val="007D4C03"/>
    <w:rsid w:val="007D5416"/>
    <w:rsid w:val="007D65E7"/>
    <w:rsid w:val="007D6D88"/>
    <w:rsid w:val="007E0765"/>
    <w:rsid w:val="007F570C"/>
    <w:rsid w:val="008010EF"/>
    <w:rsid w:val="008018CE"/>
    <w:rsid w:val="00801EF0"/>
    <w:rsid w:val="0080653D"/>
    <w:rsid w:val="00821708"/>
    <w:rsid w:val="00821F4F"/>
    <w:rsid w:val="00821F94"/>
    <w:rsid w:val="00827D1B"/>
    <w:rsid w:val="008402F3"/>
    <w:rsid w:val="00846EDE"/>
    <w:rsid w:val="00852526"/>
    <w:rsid w:val="00852905"/>
    <w:rsid w:val="00852F8D"/>
    <w:rsid w:val="00857554"/>
    <w:rsid w:val="00860384"/>
    <w:rsid w:val="00865CDE"/>
    <w:rsid w:val="00872875"/>
    <w:rsid w:val="00875901"/>
    <w:rsid w:val="00880DCD"/>
    <w:rsid w:val="008823D7"/>
    <w:rsid w:val="008850F0"/>
    <w:rsid w:val="008921D3"/>
    <w:rsid w:val="008A1F51"/>
    <w:rsid w:val="008A45E7"/>
    <w:rsid w:val="008B469C"/>
    <w:rsid w:val="008C0084"/>
    <w:rsid w:val="008C3C4F"/>
    <w:rsid w:val="008C6ED6"/>
    <w:rsid w:val="008D1CCC"/>
    <w:rsid w:val="008E01FE"/>
    <w:rsid w:val="008E2524"/>
    <w:rsid w:val="008E28F4"/>
    <w:rsid w:val="008E41D8"/>
    <w:rsid w:val="008F0B53"/>
    <w:rsid w:val="008F1040"/>
    <w:rsid w:val="008F66F2"/>
    <w:rsid w:val="00900506"/>
    <w:rsid w:val="0090607A"/>
    <w:rsid w:val="009130F6"/>
    <w:rsid w:val="00914019"/>
    <w:rsid w:val="009337F6"/>
    <w:rsid w:val="00942EFD"/>
    <w:rsid w:val="009450DF"/>
    <w:rsid w:val="00960F84"/>
    <w:rsid w:val="00971653"/>
    <w:rsid w:val="009723FC"/>
    <w:rsid w:val="00977409"/>
    <w:rsid w:val="00980F5D"/>
    <w:rsid w:val="009850C7"/>
    <w:rsid w:val="0099032F"/>
    <w:rsid w:val="0099484F"/>
    <w:rsid w:val="0099791F"/>
    <w:rsid w:val="009B1CD6"/>
    <w:rsid w:val="009C0588"/>
    <w:rsid w:val="009C37C7"/>
    <w:rsid w:val="009C3AE3"/>
    <w:rsid w:val="009D02D1"/>
    <w:rsid w:val="009D74C8"/>
    <w:rsid w:val="009E1C9A"/>
    <w:rsid w:val="009E5013"/>
    <w:rsid w:val="009F76A1"/>
    <w:rsid w:val="00A013CF"/>
    <w:rsid w:val="00A044C8"/>
    <w:rsid w:val="00A0608B"/>
    <w:rsid w:val="00A13BEF"/>
    <w:rsid w:val="00A145A9"/>
    <w:rsid w:val="00A14649"/>
    <w:rsid w:val="00A14EA8"/>
    <w:rsid w:val="00A173BE"/>
    <w:rsid w:val="00A2011E"/>
    <w:rsid w:val="00A2177D"/>
    <w:rsid w:val="00A22557"/>
    <w:rsid w:val="00A25496"/>
    <w:rsid w:val="00A25CBF"/>
    <w:rsid w:val="00A41CD8"/>
    <w:rsid w:val="00A4422F"/>
    <w:rsid w:val="00A476BA"/>
    <w:rsid w:val="00A50FB0"/>
    <w:rsid w:val="00A553D0"/>
    <w:rsid w:val="00A700FD"/>
    <w:rsid w:val="00A85F0F"/>
    <w:rsid w:val="00A9131B"/>
    <w:rsid w:val="00A94537"/>
    <w:rsid w:val="00AA3089"/>
    <w:rsid w:val="00AA440E"/>
    <w:rsid w:val="00AA49B3"/>
    <w:rsid w:val="00AA5E40"/>
    <w:rsid w:val="00AB1E9F"/>
    <w:rsid w:val="00AD6AC4"/>
    <w:rsid w:val="00AD6F0C"/>
    <w:rsid w:val="00AE065F"/>
    <w:rsid w:val="00AE2997"/>
    <w:rsid w:val="00AE3BD3"/>
    <w:rsid w:val="00AF2601"/>
    <w:rsid w:val="00AF61B1"/>
    <w:rsid w:val="00B00EA8"/>
    <w:rsid w:val="00B069C9"/>
    <w:rsid w:val="00B11704"/>
    <w:rsid w:val="00B14243"/>
    <w:rsid w:val="00B15CC0"/>
    <w:rsid w:val="00B165C5"/>
    <w:rsid w:val="00B37BA4"/>
    <w:rsid w:val="00B40FA0"/>
    <w:rsid w:val="00B43511"/>
    <w:rsid w:val="00B4563F"/>
    <w:rsid w:val="00B45A30"/>
    <w:rsid w:val="00B5030E"/>
    <w:rsid w:val="00B52102"/>
    <w:rsid w:val="00B54587"/>
    <w:rsid w:val="00B54B8E"/>
    <w:rsid w:val="00B55A02"/>
    <w:rsid w:val="00B71664"/>
    <w:rsid w:val="00B7411F"/>
    <w:rsid w:val="00B915FB"/>
    <w:rsid w:val="00B92921"/>
    <w:rsid w:val="00B95B6A"/>
    <w:rsid w:val="00B95E47"/>
    <w:rsid w:val="00BA0A41"/>
    <w:rsid w:val="00BA221B"/>
    <w:rsid w:val="00BA5934"/>
    <w:rsid w:val="00BA6B91"/>
    <w:rsid w:val="00BD3CC9"/>
    <w:rsid w:val="00BD4A42"/>
    <w:rsid w:val="00BD4CC1"/>
    <w:rsid w:val="00BD7C08"/>
    <w:rsid w:val="00BE046E"/>
    <w:rsid w:val="00BE1AA7"/>
    <w:rsid w:val="00BE2E74"/>
    <w:rsid w:val="00BE4D40"/>
    <w:rsid w:val="00BE7613"/>
    <w:rsid w:val="00BF4017"/>
    <w:rsid w:val="00BF6575"/>
    <w:rsid w:val="00C03715"/>
    <w:rsid w:val="00C11FDF"/>
    <w:rsid w:val="00C26CBD"/>
    <w:rsid w:val="00C3146A"/>
    <w:rsid w:val="00C34B0E"/>
    <w:rsid w:val="00C37002"/>
    <w:rsid w:val="00C37D8F"/>
    <w:rsid w:val="00C43B1C"/>
    <w:rsid w:val="00C452B3"/>
    <w:rsid w:val="00C454D3"/>
    <w:rsid w:val="00C45E8D"/>
    <w:rsid w:val="00C50B37"/>
    <w:rsid w:val="00C515BD"/>
    <w:rsid w:val="00C52B6E"/>
    <w:rsid w:val="00C56266"/>
    <w:rsid w:val="00C57E84"/>
    <w:rsid w:val="00C63713"/>
    <w:rsid w:val="00C70162"/>
    <w:rsid w:val="00C722D1"/>
    <w:rsid w:val="00C74F1A"/>
    <w:rsid w:val="00C77471"/>
    <w:rsid w:val="00C810DF"/>
    <w:rsid w:val="00C81462"/>
    <w:rsid w:val="00C94267"/>
    <w:rsid w:val="00C96C63"/>
    <w:rsid w:val="00CA555F"/>
    <w:rsid w:val="00CB466D"/>
    <w:rsid w:val="00CC3D21"/>
    <w:rsid w:val="00CC44BE"/>
    <w:rsid w:val="00CC456C"/>
    <w:rsid w:val="00CC4E1C"/>
    <w:rsid w:val="00CE1AB8"/>
    <w:rsid w:val="00CE42A8"/>
    <w:rsid w:val="00CE5FA6"/>
    <w:rsid w:val="00CE7AF7"/>
    <w:rsid w:val="00CF0E1F"/>
    <w:rsid w:val="00CF2233"/>
    <w:rsid w:val="00CF6E89"/>
    <w:rsid w:val="00D13ACE"/>
    <w:rsid w:val="00D1543D"/>
    <w:rsid w:val="00D31AAE"/>
    <w:rsid w:val="00D31CC6"/>
    <w:rsid w:val="00D372A7"/>
    <w:rsid w:val="00D435C6"/>
    <w:rsid w:val="00D5600B"/>
    <w:rsid w:val="00D63802"/>
    <w:rsid w:val="00D649B8"/>
    <w:rsid w:val="00D67627"/>
    <w:rsid w:val="00D676E3"/>
    <w:rsid w:val="00D7265F"/>
    <w:rsid w:val="00D8217C"/>
    <w:rsid w:val="00D94D19"/>
    <w:rsid w:val="00D95819"/>
    <w:rsid w:val="00DA05D7"/>
    <w:rsid w:val="00DA3242"/>
    <w:rsid w:val="00DA59B9"/>
    <w:rsid w:val="00DC08DC"/>
    <w:rsid w:val="00DC358B"/>
    <w:rsid w:val="00DC5E75"/>
    <w:rsid w:val="00DE3477"/>
    <w:rsid w:val="00DF00CD"/>
    <w:rsid w:val="00DF3C19"/>
    <w:rsid w:val="00E0608D"/>
    <w:rsid w:val="00E07530"/>
    <w:rsid w:val="00E112D7"/>
    <w:rsid w:val="00E122DE"/>
    <w:rsid w:val="00E1251A"/>
    <w:rsid w:val="00E15690"/>
    <w:rsid w:val="00E23EA9"/>
    <w:rsid w:val="00E26646"/>
    <w:rsid w:val="00E269EE"/>
    <w:rsid w:val="00E32C36"/>
    <w:rsid w:val="00E373CD"/>
    <w:rsid w:val="00E37C03"/>
    <w:rsid w:val="00E37D1E"/>
    <w:rsid w:val="00E42B8E"/>
    <w:rsid w:val="00E44D3A"/>
    <w:rsid w:val="00E60C92"/>
    <w:rsid w:val="00E617B9"/>
    <w:rsid w:val="00E67B0D"/>
    <w:rsid w:val="00E8430D"/>
    <w:rsid w:val="00E876C8"/>
    <w:rsid w:val="00EA558B"/>
    <w:rsid w:val="00EB1EEA"/>
    <w:rsid w:val="00EC2BE9"/>
    <w:rsid w:val="00ED0664"/>
    <w:rsid w:val="00ED1EC8"/>
    <w:rsid w:val="00ED5A6A"/>
    <w:rsid w:val="00ED6CFE"/>
    <w:rsid w:val="00ED7833"/>
    <w:rsid w:val="00EF17DD"/>
    <w:rsid w:val="00EF1E9E"/>
    <w:rsid w:val="00EF485D"/>
    <w:rsid w:val="00EF4D28"/>
    <w:rsid w:val="00EF5E00"/>
    <w:rsid w:val="00F023FE"/>
    <w:rsid w:val="00F02D32"/>
    <w:rsid w:val="00F04B82"/>
    <w:rsid w:val="00F05F88"/>
    <w:rsid w:val="00F0686C"/>
    <w:rsid w:val="00F068DD"/>
    <w:rsid w:val="00F15EF7"/>
    <w:rsid w:val="00F236C4"/>
    <w:rsid w:val="00F25AF6"/>
    <w:rsid w:val="00F33205"/>
    <w:rsid w:val="00F35FCB"/>
    <w:rsid w:val="00F363E9"/>
    <w:rsid w:val="00F404D3"/>
    <w:rsid w:val="00F41817"/>
    <w:rsid w:val="00F42780"/>
    <w:rsid w:val="00F43D1F"/>
    <w:rsid w:val="00F56A80"/>
    <w:rsid w:val="00F64927"/>
    <w:rsid w:val="00F66575"/>
    <w:rsid w:val="00F702B1"/>
    <w:rsid w:val="00F703FF"/>
    <w:rsid w:val="00F7318F"/>
    <w:rsid w:val="00F93334"/>
    <w:rsid w:val="00FA5C40"/>
    <w:rsid w:val="00FB4A47"/>
    <w:rsid w:val="00FB7A88"/>
    <w:rsid w:val="00FC316F"/>
    <w:rsid w:val="00FC5DD9"/>
    <w:rsid w:val="00FD018C"/>
    <w:rsid w:val="00FD5726"/>
    <w:rsid w:val="00FD6EE7"/>
    <w:rsid w:val="00FE2688"/>
    <w:rsid w:val="00FE3BB3"/>
    <w:rsid w:val="00FE47AC"/>
    <w:rsid w:val="00FE4854"/>
    <w:rsid w:val="00FF79A3"/>
    <w:rsid w:val="00FF7BF1"/>
    <w:rsid w:val="02ABAA16"/>
    <w:rsid w:val="04320032"/>
    <w:rsid w:val="0523A3A5"/>
    <w:rsid w:val="06E836BF"/>
    <w:rsid w:val="07100DD4"/>
    <w:rsid w:val="07F506E2"/>
    <w:rsid w:val="08A2F200"/>
    <w:rsid w:val="08DCB38B"/>
    <w:rsid w:val="0ADA1A26"/>
    <w:rsid w:val="0CDEB601"/>
    <w:rsid w:val="174ECD62"/>
    <w:rsid w:val="17BFEB56"/>
    <w:rsid w:val="1C769C84"/>
    <w:rsid w:val="1D882F42"/>
    <w:rsid w:val="204B6EB8"/>
    <w:rsid w:val="22B7152A"/>
    <w:rsid w:val="25E83447"/>
    <w:rsid w:val="263D44E7"/>
    <w:rsid w:val="26CFDA9C"/>
    <w:rsid w:val="2D0B9F49"/>
    <w:rsid w:val="2D171D1D"/>
    <w:rsid w:val="2DF62A28"/>
    <w:rsid w:val="2F17D6DC"/>
    <w:rsid w:val="2F38884B"/>
    <w:rsid w:val="2FF9D998"/>
    <w:rsid w:val="3095191A"/>
    <w:rsid w:val="377F8E30"/>
    <w:rsid w:val="3DC84047"/>
    <w:rsid w:val="3E4B82B9"/>
    <w:rsid w:val="410BCB48"/>
    <w:rsid w:val="4204A6D2"/>
    <w:rsid w:val="42DB4CA0"/>
    <w:rsid w:val="44550032"/>
    <w:rsid w:val="44A006DF"/>
    <w:rsid w:val="49E160BB"/>
    <w:rsid w:val="4A7FBBEB"/>
    <w:rsid w:val="4ADA42ED"/>
    <w:rsid w:val="4CB99FF2"/>
    <w:rsid w:val="4D0B501D"/>
    <w:rsid w:val="4F65D643"/>
    <w:rsid w:val="515D12C8"/>
    <w:rsid w:val="52348E75"/>
    <w:rsid w:val="52D902D6"/>
    <w:rsid w:val="5449D23C"/>
    <w:rsid w:val="5977EACD"/>
    <w:rsid w:val="5D273F4D"/>
    <w:rsid w:val="5DDCC013"/>
    <w:rsid w:val="5E5BC78B"/>
    <w:rsid w:val="5EDFFCA1"/>
    <w:rsid w:val="60368DB9"/>
    <w:rsid w:val="6188EA55"/>
    <w:rsid w:val="61B51325"/>
    <w:rsid w:val="6201024A"/>
    <w:rsid w:val="62639ABB"/>
    <w:rsid w:val="66AD8102"/>
    <w:rsid w:val="67986F47"/>
    <w:rsid w:val="68874DD2"/>
    <w:rsid w:val="6A6EC1EA"/>
    <w:rsid w:val="6A931D04"/>
    <w:rsid w:val="6B3520C6"/>
    <w:rsid w:val="6E2B44E6"/>
    <w:rsid w:val="6F34375D"/>
    <w:rsid w:val="71FCBE56"/>
    <w:rsid w:val="742C7BFF"/>
    <w:rsid w:val="74555217"/>
    <w:rsid w:val="7E0C4CEC"/>
    <w:rsid w:val="7EAEC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FCC0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901"/>
  </w:style>
  <w:style w:type="paragraph" w:styleId="Heading1">
    <w:name w:val="heading 1"/>
    <w:basedOn w:val="Normal"/>
    <w:next w:val="Normal"/>
    <w:link w:val="Heading1Char"/>
    <w:uiPriority w:val="9"/>
    <w:qFormat/>
    <w:rsid w:val="00B435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1B40"/>
    <w:pPr>
      <w:keepNext/>
      <w:keepLines/>
      <w:spacing w:before="280" w:after="120"/>
      <w:outlineLvl w:val="1"/>
    </w:pPr>
    <w:rPr>
      <w:rFonts w:ascii="Arial" w:eastAsiaTheme="majorEastAsia" w:hAnsi="Arial" w:cstheme="majorBidi"/>
      <w:color w:val="037A6C"/>
      <w:sz w:val="28"/>
      <w:szCs w:val="28"/>
    </w:rPr>
  </w:style>
  <w:style w:type="paragraph" w:styleId="Heading3">
    <w:name w:val="heading 3"/>
    <w:basedOn w:val="Normal"/>
    <w:next w:val="Normal"/>
    <w:link w:val="Heading3Char"/>
    <w:uiPriority w:val="9"/>
    <w:semiHidden/>
    <w:unhideWhenUsed/>
    <w:qFormat/>
    <w:rsid w:val="00586166"/>
    <w:pPr>
      <w:keepNext/>
      <w:keepLines/>
      <w:numPr>
        <w:ilvl w:val="2"/>
        <w:numId w:val="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8616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86166"/>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8616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86166"/>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8616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616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901"/>
    <w:pPr>
      <w:tabs>
        <w:tab w:val="center" w:pos="4513"/>
        <w:tab w:val="right" w:pos="9026"/>
      </w:tabs>
    </w:pPr>
  </w:style>
  <w:style w:type="character" w:customStyle="1" w:styleId="HeaderChar">
    <w:name w:val="Header Char"/>
    <w:basedOn w:val="DefaultParagraphFont"/>
    <w:link w:val="Header"/>
    <w:uiPriority w:val="99"/>
    <w:rsid w:val="00875901"/>
  </w:style>
  <w:style w:type="paragraph" w:styleId="Footer">
    <w:name w:val="footer"/>
    <w:basedOn w:val="Normal"/>
    <w:link w:val="FooterChar"/>
    <w:uiPriority w:val="99"/>
    <w:unhideWhenUsed/>
    <w:rsid w:val="00875901"/>
    <w:pPr>
      <w:tabs>
        <w:tab w:val="center" w:pos="4513"/>
        <w:tab w:val="right" w:pos="9026"/>
      </w:tabs>
    </w:pPr>
  </w:style>
  <w:style w:type="character" w:customStyle="1" w:styleId="FooterChar">
    <w:name w:val="Footer Char"/>
    <w:basedOn w:val="DefaultParagraphFont"/>
    <w:link w:val="Footer"/>
    <w:uiPriority w:val="99"/>
    <w:rsid w:val="00875901"/>
  </w:style>
  <w:style w:type="paragraph" w:customStyle="1" w:styleId="PSC-Titleofdocument">
    <w:name w:val="PSC - Title of document"/>
    <w:basedOn w:val="Normal"/>
    <w:qFormat/>
    <w:rsid w:val="00C515BD"/>
    <w:pPr>
      <w:pBdr>
        <w:bottom w:val="single" w:sz="36" w:space="6" w:color="60C3AD"/>
      </w:pBdr>
    </w:pPr>
    <w:rPr>
      <w:rFonts w:ascii="Arial" w:hAnsi="Arial" w:cs="Arial"/>
      <w:b/>
      <w:bCs/>
      <w:sz w:val="64"/>
      <w:szCs w:val="64"/>
    </w:rPr>
  </w:style>
  <w:style w:type="character" w:styleId="PageNumber">
    <w:name w:val="page number"/>
    <w:basedOn w:val="DefaultParagraphFont"/>
    <w:uiPriority w:val="99"/>
    <w:semiHidden/>
    <w:unhideWhenUsed/>
    <w:rsid w:val="00875901"/>
  </w:style>
  <w:style w:type="paragraph" w:customStyle="1" w:styleId="PSCSubtitle">
    <w:name w:val="PSC Subtitle"/>
    <w:basedOn w:val="Normal"/>
    <w:qFormat/>
    <w:rsid w:val="00161B40"/>
    <w:pPr>
      <w:spacing w:before="240"/>
    </w:pPr>
    <w:rPr>
      <w:rFonts w:ascii="Arial" w:hAnsi="Arial" w:cs="Arial"/>
      <w:sz w:val="36"/>
      <w:szCs w:val="32"/>
    </w:rPr>
  </w:style>
  <w:style w:type="paragraph" w:customStyle="1" w:styleId="PSC-Heading1">
    <w:name w:val="PSC - Heading 1"/>
    <w:basedOn w:val="Normal"/>
    <w:qFormat/>
    <w:rsid w:val="00875901"/>
    <w:rPr>
      <w:rFonts w:ascii="Arial" w:hAnsi="Arial" w:cs="Arial"/>
      <w:color w:val="007A6D"/>
      <w:sz w:val="36"/>
      <w:szCs w:val="32"/>
    </w:rPr>
  </w:style>
  <w:style w:type="paragraph" w:customStyle="1" w:styleId="PSC-Heading2">
    <w:name w:val="PSC - Heading 2"/>
    <w:basedOn w:val="Normal"/>
    <w:qFormat/>
    <w:rsid w:val="00DC08DC"/>
    <w:pPr>
      <w:numPr>
        <w:numId w:val="9"/>
      </w:numPr>
      <w:spacing w:after="120"/>
    </w:pPr>
    <w:rPr>
      <w:rFonts w:ascii="Arial" w:hAnsi="Arial" w:cs="Arial"/>
      <w:color w:val="037A6C"/>
      <w:sz w:val="32"/>
      <w:szCs w:val="28"/>
    </w:rPr>
  </w:style>
  <w:style w:type="paragraph" w:customStyle="1" w:styleId="PSC-bodycopy">
    <w:name w:val="PSC - body copy"/>
    <w:basedOn w:val="Normal"/>
    <w:qFormat/>
    <w:rsid w:val="00875901"/>
    <w:rPr>
      <w:rFonts w:ascii="Arial" w:hAnsi="Arial" w:cs="Arial"/>
      <w:sz w:val="22"/>
    </w:rPr>
  </w:style>
  <w:style w:type="paragraph" w:customStyle="1" w:styleId="PSC-Heading3">
    <w:name w:val="PSC - Heading 3"/>
    <w:basedOn w:val="Normal"/>
    <w:qFormat/>
    <w:rsid w:val="00875901"/>
    <w:rPr>
      <w:rFonts w:ascii="Arial" w:hAnsi="Arial" w:cs="Arial"/>
      <w:sz w:val="28"/>
    </w:rPr>
  </w:style>
  <w:style w:type="paragraph" w:customStyle="1" w:styleId="PSC-Bullets1">
    <w:name w:val="PSC - Bullets #1"/>
    <w:basedOn w:val="ListParagraph"/>
    <w:qFormat/>
    <w:rsid w:val="004C5B2E"/>
    <w:pPr>
      <w:numPr>
        <w:numId w:val="1"/>
      </w:numPr>
      <w:tabs>
        <w:tab w:val="num" w:pos="360"/>
      </w:tabs>
      <w:spacing w:before="120" w:after="120"/>
      <w:ind w:left="714" w:hanging="357"/>
    </w:pPr>
    <w:rPr>
      <w:rFonts w:ascii="Arial" w:hAnsi="Arial" w:cs="Arial"/>
      <w:sz w:val="22"/>
    </w:rPr>
  </w:style>
  <w:style w:type="paragraph" w:customStyle="1" w:styleId="PSC-Bullets2">
    <w:name w:val="PSC - Bullets #2"/>
    <w:basedOn w:val="ListParagraph"/>
    <w:qFormat/>
    <w:rsid w:val="004C5B2E"/>
    <w:pPr>
      <w:numPr>
        <w:numId w:val="2"/>
      </w:numPr>
      <w:tabs>
        <w:tab w:val="num" w:pos="360"/>
      </w:tabs>
      <w:spacing w:before="120" w:after="120"/>
      <w:ind w:left="714" w:hanging="357"/>
    </w:pPr>
    <w:rPr>
      <w:rFonts w:ascii="Arial" w:hAnsi="Arial" w:cs="Arial"/>
      <w:sz w:val="22"/>
    </w:rPr>
  </w:style>
  <w:style w:type="paragraph" w:customStyle="1" w:styleId="PSC-Bullets3">
    <w:name w:val="PSC - Bullets #3"/>
    <w:basedOn w:val="ListParagraph"/>
    <w:qFormat/>
    <w:rsid w:val="004C5B2E"/>
    <w:pPr>
      <w:numPr>
        <w:numId w:val="3"/>
      </w:numPr>
    </w:pPr>
    <w:rPr>
      <w:rFonts w:ascii="Arial" w:hAnsi="Arial" w:cs="Arial"/>
      <w:sz w:val="22"/>
    </w:rPr>
  </w:style>
  <w:style w:type="paragraph" w:customStyle="1" w:styleId="PSC-Primaryquote">
    <w:name w:val="PSC - Primary quote"/>
    <w:basedOn w:val="Normal"/>
    <w:qFormat/>
    <w:rsid w:val="00875901"/>
    <w:pPr>
      <w:pBdr>
        <w:top w:val="single" w:sz="12" w:space="5" w:color="007A6D"/>
        <w:bottom w:val="single" w:sz="12" w:space="5" w:color="007A6D"/>
      </w:pBdr>
      <w:spacing w:before="120" w:after="120"/>
    </w:pPr>
    <w:rPr>
      <w:rFonts w:ascii="Times New Roman" w:hAnsi="Times New Roman" w:cs="Arial"/>
      <w:b/>
      <w:bCs/>
      <w:i/>
      <w:iCs/>
      <w:color w:val="007A6D"/>
      <w:sz w:val="28"/>
      <w:szCs w:val="32"/>
    </w:rPr>
  </w:style>
  <w:style w:type="table" w:styleId="GridTable4-Accent1">
    <w:name w:val="Grid Table 4 Accent 1"/>
    <w:aliases w:val="PSC Table Template V0-02"/>
    <w:basedOn w:val="TableNormal"/>
    <w:uiPriority w:val="49"/>
    <w:rsid w:val="00226CFE"/>
    <w:pPr>
      <w:jc w:val="center"/>
    </w:pPr>
    <w:rPr>
      <w:rFonts w:ascii="Arial" w:eastAsiaTheme="minorEastAsia" w:hAnsi="Arial"/>
      <w:sz w:val="22"/>
      <w:szCs w:val="21"/>
    </w:rPr>
    <w:tblPr>
      <w:tblStyleRowBandSize w:val="1"/>
      <w:tblStyleColBandSize w:val="1"/>
      <w:tblBorders>
        <w:top w:val="single" w:sz="4" w:space="0" w:color="CBE8E2"/>
        <w:bottom w:val="single" w:sz="4" w:space="0" w:color="CBE8E2"/>
        <w:insideH w:val="single" w:sz="4" w:space="0" w:color="CBE8E2"/>
        <w:insideV w:val="single" w:sz="4" w:space="0" w:color="CBE8E2"/>
      </w:tblBorders>
      <w:tblCellMar>
        <w:top w:w="113" w:type="dxa"/>
        <w:bottom w:w="113" w:type="dxa"/>
      </w:tblCellMar>
    </w:tblPr>
    <w:tcPr>
      <w:shd w:val="clear" w:color="auto" w:fill="auto"/>
    </w:tcPr>
    <w:tblStylePr w:type="firstRow">
      <w:rPr>
        <w:b/>
        <w:bCs/>
        <w:color w:val="000000" w:themeColor="text1"/>
      </w:rPr>
      <w:tblPr/>
      <w:tcPr>
        <w:shd w:val="clear" w:color="auto" w:fill="60C3AD"/>
      </w:tcPr>
    </w:tblStylePr>
    <w:tblStylePr w:type="lastRow">
      <w:rPr>
        <w:rFonts w:ascii="Arial" w:hAnsi="Arial"/>
        <w:b w:val="0"/>
        <w:bCs/>
        <w:color w:val="000000" w:themeColor="text1"/>
        <w:sz w:val="22"/>
      </w:rPr>
    </w:tblStylePr>
    <w:tblStylePr w:type="firstCol">
      <w:rPr>
        <w:rFonts w:ascii="Arial" w:hAnsi="Arial"/>
        <w:b w:val="0"/>
        <w:bCs/>
        <w:sz w:val="22"/>
      </w:rPr>
      <w:tblPr/>
      <w:tcPr>
        <w:tcBorders>
          <w:bottom w:val="nil"/>
        </w:tcBorders>
        <w:shd w:val="clear" w:color="auto" w:fill="auto"/>
      </w:tcPr>
    </w:tblStylePr>
    <w:tblStylePr w:type="lastCol">
      <w:rPr>
        <w:b/>
        <w:bCs/>
      </w:rPr>
    </w:tblStylePr>
    <w:tblStylePr w:type="band1Horz">
      <w:rPr>
        <w:rFonts w:ascii="Arial" w:hAnsi="Arial"/>
        <w:sz w:val="22"/>
      </w:rPr>
      <w:tblPr/>
      <w:tcPr>
        <w:shd w:val="clear" w:color="auto" w:fill="FFFFFF" w:themeFill="background1"/>
      </w:tcPr>
    </w:tblStylePr>
    <w:tblStylePr w:type="band2Horz">
      <w:rPr>
        <w:rFonts w:ascii="Arial" w:hAnsi="Arial"/>
        <w:sz w:val="22"/>
      </w:rPr>
    </w:tblStylePr>
  </w:style>
  <w:style w:type="paragraph" w:styleId="ListParagraph">
    <w:name w:val="List Paragraph"/>
    <w:basedOn w:val="Normal"/>
    <w:uiPriority w:val="34"/>
    <w:qFormat/>
    <w:rsid w:val="00875901"/>
    <w:pPr>
      <w:ind w:left="720"/>
      <w:contextualSpacing/>
    </w:pPr>
  </w:style>
  <w:style w:type="table" w:styleId="TableGrid">
    <w:name w:val="Table Grid"/>
    <w:basedOn w:val="TableNormal"/>
    <w:uiPriority w:val="39"/>
    <w:rsid w:val="0022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C-Secondaryquote">
    <w:name w:val="PSC - Secondary quote"/>
    <w:basedOn w:val="Normal"/>
    <w:qFormat/>
    <w:rsid w:val="002E0984"/>
    <w:pPr>
      <w:ind w:left="720"/>
    </w:pPr>
    <w:rPr>
      <w:rFonts w:ascii="Arial" w:hAnsi="Arial" w:cs="Arial"/>
      <w:i/>
      <w:iCs/>
      <w:color w:val="007A6D"/>
    </w:rPr>
  </w:style>
  <w:style w:type="table" w:customStyle="1" w:styleId="GridTable6ColourfulAccent21">
    <w:name w:val="Grid Table 6 Colourful – Accent 21"/>
    <w:basedOn w:val="TableNormal"/>
    <w:next w:val="GridTable6Colorful-Accent2"/>
    <w:uiPriority w:val="51"/>
    <w:rsid w:val="00C722D1"/>
    <w:rPr>
      <w:rFonts w:ascii="Arial" w:eastAsia="Times New Roman" w:hAnsi="Arial"/>
      <w:sz w:val="22"/>
      <w:szCs w:val="21"/>
    </w:rPr>
    <w:tblPr>
      <w:tblStyleRowBandSize w:val="1"/>
      <w:tblStyleColBandSize w:val="1"/>
      <w:tblBorders>
        <w:top w:val="single" w:sz="4" w:space="0" w:color="C0E5DE"/>
        <w:left w:val="single" w:sz="4" w:space="0" w:color="C0E5DE"/>
        <w:bottom w:val="single" w:sz="4" w:space="0" w:color="C0E5DE"/>
        <w:right w:val="single" w:sz="4" w:space="0" w:color="C0E5DE"/>
        <w:insideH w:val="single" w:sz="4" w:space="0" w:color="C0E5DE"/>
        <w:insideV w:val="single" w:sz="4" w:space="0" w:color="C0E5DE"/>
      </w:tblBorders>
    </w:tblPr>
    <w:tcPr>
      <w:tcMar>
        <w:top w:w="57" w:type="dxa"/>
        <w:bottom w:w="57" w:type="dxa"/>
      </w:tcMar>
      <w:vAlign w:val="center"/>
    </w:tcPr>
    <w:tblStylePr w:type="firstRow">
      <w:rPr>
        <w:b/>
        <w:bCs/>
      </w:rPr>
      <w:tblPr/>
      <w:tcPr>
        <w:tcBorders>
          <w:bottom w:val="single" w:sz="12" w:space="0" w:color="C0E5DE"/>
        </w:tcBorders>
      </w:tcPr>
    </w:tblStylePr>
    <w:tblStylePr w:type="lastRow">
      <w:rPr>
        <w:rFonts w:ascii="Arial" w:hAnsi="Arial"/>
        <w:b w:val="0"/>
        <w:bCs/>
        <w:sz w:val="22"/>
      </w:rPr>
      <w:tblPr/>
      <w:tcPr>
        <w:tcBorders>
          <w:top w:val="double" w:sz="4" w:space="0" w:color="C0E5DE"/>
        </w:tcBorders>
      </w:tcPr>
    </w:tblStylePr>
    <w:tblStylePr w:type="firstCol">
      <w:rPr>
        <w:b w:val="0"/>
        <w:bCs/>
      </w:rPr>
    </w:tblStylePr>
    <w:tblStylePr w:type="lastCol">
      <w:rPr>
        <w:b w:val="0"/>
        <w:bCs/>
      </w:rPr>
    </w:tblStylePr>
    <w:tblStylePr w:type="band1Vert">
      <w:tblPr/>
      <w:tcPr>
        <w:shd w:val="clear" w:color="auto" w:fill="EAF6F4"/>
      </w:tcPr>
    </w:tblStylePr>
    <w:tblStylePr w:type="band1Horz">
      <w:tblPr/>
      <w:tcPr>
        <w:shd w:val="clear" w:color="auto" w:fill="EAF6F4"/>
      </w:tcPr>
    </w:tblStylePr>
  </w:style>
  <w:style w:type="table" w:styleId="GridTable6Colorful-Accent2">
    <w:name w:val="Grid Table 6 Colorful Accent 2"/>
    <w:basedOn w:val="TableNormal"/>
    <w:uiPriority w:val="51"/>
    <w:rsid w:val="00942EF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PSCTable">
    <w:name w:val="PSC Table"/>
    <w:basedOn w:val="TableNormal"/>
    <w:uiPriority w:val="99"/>
    <w:rsid w:val="00942EFD"/>
    <w:tblPr/>
  </w:style>
  <w:style w:type="paragraph" w:customStyle="1" w:styleId="PSC-bodycopyheavy">
    <w:name w:val="PSC - body copy heavy"/>
    <w:basedOn w:val="PSC-bodycopy"/>
    <w:qFormat/>
    <w:rsid w:val="00914019"/>
    <w:rPr>
      <w:b/>
    </w:rPr>
  </w:style>
  <w:style w:type="paragraph" w:customStyle="1" w:styleId="Bodystrong">
    <w:name w:val="Body strong"/>
    <w:basedOn w:val="Normal"/>
    <w:next w:val="Normal"/>
    <w:link w:val="BodystrongChar"/>
    <w:qFormat/>
    <w:rsid w:val="00161B40"/>
    <w:pPr>
      <w:spacing w:after="120" w:line="264" w:lineRule="auto"/>
    </w:pPr>
    <w:rPr>
      <w:rFonts w:ascii="Arial" w:eastAsiaTheme="minorEastAsia" w:hAnsi="Arial"/>
      <w:b/>
      <w:sz w:val="22"/>
      <w:szCs w:val="21"/>
    </w:rPr>
  </w:style>
  <w:style w:type="character" w:customStyle="1" w:styleId="BodystrongChar">
    <w:name w:val="Body strong Char"/>
    <w:basedOn w:val="DefaultParagraphFont"/>
    <w:link w:val="Bodystrong"/>
    <w:rsid w:val="00161B40"/>
    <w:rPr>
      <w:rFonts w:ascii="Arial" w:eastAsiaTheme="minorEastAsia" w:hAnsi="Arial"/>
      <w:b/>
      <w:sz w:val="22"/>
      <w:szCs w:val="21"/>
    </w:rPr>
  </w:style>
  <w:style w:type="paragraph" w:customStyle="1" w:styleId="Bullets1">
    <w:name w:val="Bullets 1"/>
    <w:basedOn w:val="ListParagraph"/>
    <w:link w:val="Bullets1Char"/>
    <w:qFormat/>
    <w:rsid w:val="00161B40"/>
    <w:pPr>
      <w:numPr>
        <w:numId w:val="4"/>
      </w:numPr>
      <w:spacing w:after="120" w:line="264" w:lineRule="auto"/>
      <w:ind w:left="397" w:hanging="397"/>
    </w:pPr>
    <w:rPr>
      <w:rFonts w:ascii="Arial" w:eastAsiaTheme="majorEastAsia" w:hAnsi="Arial"/>
      <w:sz w:val="22"/>
      <w:szCs w:val="21"/>
    </w:rPr>
  </w:style>
  <w:style w:type="character" w:customStyle="1" w:styleId="Bullets1Char">
    <w:name w:val="Bullets 1 Char"/>
    <w:basedOn w:val="DefaultParagraphFont"/>
    <w:link w:val="Bullets1"/>
    <w:rsid w:val="00161B40"/>
    <w:rPr>
      <w:rFonts w:ascii="Arial" w:eastAsiaTheme="majorEastAsia" w:hAnsi="Arial"/>
      <w:sz w:val="22"/>
      <w:szCs w:val="21"/>
    </w:rPr>
  </w:style>
  <w:style w:type="paragraph" w:customStyle="1" w:styleId="Bullets2">
    <w:name w:val="Bullets 2"/>
    <w:basedOn w:val="Bullets1"/>
    <w:qFormat/>
    <w:rsid w:val="00914019"/>
    <w:pPr>
      <w:numPr>
        <w:ilvl w:val="1"/>
      </w:numPr>
      <w:tabs>
        <w:tab w:val="num" w:pos="360"/>
      </w:tabs>
      <w:ind w:left="1440"/>
    </w:pPr>
  </w:style>
  <w:style w:type="character" w:customStyle="1" w:styleId="Heading2Char">
    <w:name w:val="Heading 2 Char"/>
    <w:basedOn w:val="DefaultParagraphFont"/>
    <w:link w:val="Heading2"/>
    <w:uiPriority w:val="9"/>
    <w:rsid w:val="00161B40"/>
    <w:rPr>
      <w:rFonts w:ascii="Arial" w:eastAsiaTheme="majorEastAsia" w:hAnsi="Arial" w:cstheme="majorBidi"/>
      <w:color w:val="037A6C"/>
      <w:sz w:val="28"/>
      <w:szCs w:val="28"/>
    </w:rPr>
  </w:style>
  <w:style w:type="paragraph" w:customStyle="1" w:styleId="Numberedlist2">
    <w:name w:val="Numbered list 2"/>
    <w:basedOn w:val="Numberedlist"/>
    <w:link w:val="Numberedlist2Char"/>
    <w:qFormat/>
    <w:rsid w:val="00C96C63"/>
    <w:pPr>
      <w:keepNext/>
      <w:keepLines/>
      <w:numPr>
        <w:ilvl w:val="1"/>
        <w:numId w:val="10"/>
      </w:numPr>
      <w:spacing w:before="80"/>
      <w:outlineLvl w:val="2"/>
    </w:pPr>
    <w:rPr>
      <w:sz w:val="22"/>
    </w:rPr>
  </w:style>
  <w:style w:type="paragraph" w:customStyle="1" w:styleId="Strongbody">
    <w:name w:val="Strong body"/>
    <w:basedOn w:val="Normal"/>
    <w:next w:val="Normal"/>
    <w:link w:val="StrongbodyChar"/>
    <w:rsid w:val="00914019"/>
    <w:pPr>
      <w:spacing w:after="120" w:line="264" w:lineRule="auto"/>
    </w:pPr>
    <w:rPr>
      <w:rFonts w:ascii="Arial" w:eastAsiaTheme="minorEastAsia" w:hAnsi="Arial"/>
      <w:b/>
      <w:sz w:val="20"/>
      <w:szCs w:val="21"/>
    </w:rPr>
  </w:style>
  <w:style w:type="character" w:customStyle="1" w:styleId="StrongbodyChar">
    <w:name w:val="Strong body Char"/>
    <w:basedOn w:val="DefaultParagraphFont"/>
    <w:link w:val="Strongbody"/>
    <w:rsid w:val="00914019"/>
    <w:rPr>
      <w:rFonts w:ascii="Arial" w:eastAsiaTheme="minorEastAsia" w:hAnsi="Arial"/>
      <w:b/>
      <w:sz w:val="20"/>
      <w:szCs w:val="21"/>
    </w:rPr>
  </w:style>
  <w:style w:type="paragraph" w:customStyle="1" w:styleId="PSC-Title1">
    <w:name w:val="PSC - Title #1"/>
    <w:basedOn w:val="PSC-Titleofdocument"/>
    <w:qFormat/>
    <w:rsid w:val="00914019"/>
    <w:rPr>
      <w:sz w:val="40"/>
    </w:rPr>
  </w:style>
  <w:style w:type="character" w:customStyle="1" w:styleId="Numberedlist2Char">
    <w:name w:val="Numbered list 2 Char"/>
    <w:basedOn w:val="DefaultParagraphFont"/>
    <w:link w:val="Numberedlist2"/>
    <w:rsid w:val="00C96C63"/>
    <w:rPr>
      <w:rFonts w:ascii="Arial" w:eastAsiaTheme="majorEastAsia" w:hAnsi="Arial"/>
      <w:sz w:val="22"/>
      <w:szCs w:val="21"/>
    </w:rPr>
  </w:style>
  <w:style w:type="paragraph" w:customStyle="1" w:styleId="PSCBodycopynumbered">
    <w:name w:val="PSC Body copy numbered"/>
    <w:basedOn w:val="PSC-bodycopy"/>
    <w:qFormat/>
    <w:rsid w:val="00586166"/>
    <w:pPr>
      <w:numPr>
        <w:numId w:val="6"/>
      </w:numPr>
    </w:pPr>
  </w:style>
  <w:style w:type="numbering" w:customStyle="1" w:styleId="Heading2Indent">
    <w:name w:val="Heading 2 Indent"/>
    <w:uiPriority w:val="99"/>
    <w:rsid w:val="00DC08DC"/>
    <w:pPr>
      <w:numPr>
        <w:numId w:val="7"/>
      </w:numPr>
    </w:pPr>
  </w:style>
  <w:style w:type="character" w:customStyle="1" w:styleId="Heading3Char">
    <w:name w:val="Heading 3 Char"/>
    <w:basedOn w:val="DefaultParagraphFont"/>
    <w:link w:val="Heading3"/>
    <w:uiPriority w:val="9"/>
    <w:semiHidden/>
    <w:rsid w:val="00C515B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515B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515B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515B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515B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515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15BD"/>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ListParagraph"/>
    <w:link w:val="NumberedlistChar"/>
    <w:qFormat/>
    <w:rsid w:val="007A328D"/>
    <w:pPr>
      <w:numPr>
        <w:numId w:val="8"/>
      </w:numPr>
      <w:spacing w:after="120" w:line="264" w:lineRule="auto"/>
      <w:ind w:left="284" w:hanging="284"/>
    </w:pPr>
    <w:rPr>
      <w:rFonts w:ascii="Arial" w:eastAsiaTheme="majorEastAsia" w:hAnsi="Arial"/>
      <w:sz w:val="20"/>
      <w:szCs w:val="21"/>
    </w:rPr>
  </w:style>
  <w:style w:type="character" w:customStyle="1" w:styleId="NumberedlistChar">
    <w:name w:val="Numbered list Char"/>
    <w:basedOn w:val="DefaultParagraphFont"/>
    <w:link w:val="Numberedlist"/>
    <w:rsid w:val="007A328D"/>
    <w:rPr>
      <w:rFonts w:ascii="Arial" w:eastAsiaTheme="majorEastAsia" w:hAnsi="Arial"/>
      <w:sz w:val="20"/>
      <w:szCs w:val="21"/>
    </w:rPr>
  </w:style>
  <w:style w:type="character" w:customStyle="1" w:styleId="Heading1Char">
    <w:name w:val="Heading 1 Char"/>
    <w:basedOn w:val="DefaultParagraphFont"/>
    <w:link w:val="Heading1"/>
    <w:uiPriority w:val="9"/>
    <w:rsid w:val="00B4351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autoRedefine/>
    <w:uiPriority w:val="10"/>
    <w:qFormat/>
    <w:rsid w:val="00B43511"/>
    <w:pPr>
      <w:pBdr>
        <w:bottom w:val="single" w:sz="36" w:space="8" w:color="4472C4" w:themeColor="accent1"/>
      </w:pBdr>
      <w:contextualSpacing/>
    </w:pPr>
    <w:rPr>
      <w:rFonts w:ascii="Arial" w:eastAsiaTheme="majorEastAsia" w:hAnsi="Arial" w:cstheme="majorBidi"/>
      <w:b/>
      <w:spacing w:val="-7"/>
      <w:sz w:val="64"/>
      <w:szCs w:val="80"/>
    </w:rPr>
  </w:style>
  <w:style w:type="character" w:customStyle="1" w:styleId="TitleChar">
    <w:name w:val="Title Char"/>
    <w:basedOn w:val="DefaultParagraphFont"/>
    <w:link w:val="Title"/>
    <w:uiPriority w:val="10"/>
    <w:rsid w:val="00B43511"/>
    <w:rPr>
      <w:rFonts w:ascii="Arial" w:eastAsiaTheme="majorEastAsia" w:hAnsi="Arial" w:cstheme="majorBidi"/>
      <w:b/>
      <w:spacing w:val="-7"/>
      <w:sz w:val="64"/>
      <w:szCs w:val="80"/>
    </w:rPr>
  </w:style>
  <w:style w:type="paragraph" w:styleId="Subtitle">
    <w:name w:val="Subtitle"/>
    <w:basedOn w:val="Normal"/>
    <w:next w:val="Normal"/>
    <w:link w:val="SubtitleChar"/>
    <w:uiPriority w:val="11"/>
    <w:qFormat/>
    <w:rsid w:val="00B43511"/>
    <w:pPr>
      <w:numPr>
        <w:ilvl w:val="1"/>
      </w:numPr>
      <w:spacing w:before="240" w:after="480"/>
    </w:pPr>
    <w:rPr>
      <w:rFonts w:ascii="Arial" w:eastAsiaTheme="majorEastAsia" w:hAnsi="Arial" w:cstheme="majorBidi"/>
      <w:sz w:val="30"/>
      <w:szCs w:val="30"/>
    </w:rPr>
  </w:style>
  <w:style w:type="character" w:customStyle="1" w:styleId="SubtitleChar">
    <w:name w:val="Subtitle Char"/>
    <w:basedOn w:val="DefaultParagraphFont"/>
    <w:link w:val="Subtitle"/>
    <w:uiPriority w:val="11"/>
    <w:rsid w:val="00B43511"/>
    <w:rPr>
      <w:rFonts w:ascii="Arial" w:eastAsiaTheme="majorEastAsia" w:hAnsi="Arial" w:cstheme="majorBidi"/>
      <w:sz w:val="30"/>
      <w:szCs w:val="30"/>
    </w:rPr>
  </w:style>
  <w:style w:type="character" w:customStyle="1" w:styleId="DocTitle">
    <w:name w:val="DocTitle"/>
    <w:basedOn w:val="DefaultParagraphFont"/>
    <w:rsid w:val="00B43511"/>
  </w:style>
  <w:style w:type="character" w:styleId="CommentReference">
    <w:name w:val="annotation reference"/>
    <w:basedOn w:val="DefaultParagraphFont"/>
    <w:uiPriority w:val="99"/>
    <w:semiHidden/>
    <w:unhideWhenUsed/>
    <w:rsid w:val="009C37C7"/>
    <w:rPr>
      <w:sz w:val="16"/>
      <w:szCs w:val="16"/>
    </w:rPr>
  </w:style>
  <w:style w:type="paragraph" w:styleId="CommentText">
    <w:name w:val="annotation text"/>
    <w:basedOn w:val="Normal"/>
    <w:link w:val="CommentTextChar"/>
    <w:uiPriority w:val="99"/>
    <w:semiHidden/>
    <w:unhideWhenUsed/>
    <w:rsid w:val="009C37C7"/>
    <w:rPr>
      <w:sz w:val="20"/>
      <w:szCs w:val="20"/>
    </w:rPr>
  </w:style>
  <w:style w:type="character" w:customStyle="1" w:styleId="CommentTextChar">
    <w:name w:val="Comment Text Char"/>
    <w:basedOn w:val="DefaultParagraphFont"/>
    <w:link w:val="CommentText"/>
    <w:uiPriority w:val="99"/>
    <w:semiHidden/>
    <w:rsid w:val="009C37C7"/>
    <w:rPr>
      <w:sz w:val="20"/>
      <w:szCs w:val="20"/>
    </w:rPr>
  </w:style>
  <w:style w:type="paragraph" w:styleId="CommentSubject">
    <w:name w:val="annotation subject"/>
    <w:basedOn w:val="CommentText"/>
    <w:next w:val="CommentText"/>
    <w:link w:val="CommentSubjectChar"/>
    <w:uiPriority w:val="99"/>
    <w:semiHidden/>
    <w:unhideWhenUsed/>
    <w:rsid w:val="009C37C7"/>
    <w:rPr>
      <w:b/>
      <w:bCs/>
    </w:rPr>
  </w:style>
  <w:style w:type="character" w:customStyle="1" w:styleId="CommentSubjectChar">
    <w:name w:val="Comment Subject Char"/>
    <w:basedOn w:val="CommentTextChar"/>
    <w:link w:val="CommentSubject"/>
    <w:uiPriority w:val="99"/>
    <w:semiHidden/>
    <w:rsid w:val="009C37C7"/>
    <w:rPr>
      <w:b/>
      <w:bCs/>
      <w:sz w:val="20"/>
      <w:szCs w:val="20"/>
    </w:rPr>
  </w:style>
  <w:style w:type="paragraph" w:styleId="BalloonText">
    <w:name w:val="Balloon Text"/>
    <w:basedOn w:val="Normal"/>
    <w:link w:val="BalloonTextChar"/>
    <w:uiPriority w:val="99"/>
    <w:semiHidden/>
    <w:unhideWhenUsed/>
    <w:rsid w:val="009C37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7C7"/>
    <w:rPr>
      <w:rFonts w:ascii="Segoe UI" w:hAnsi="Segoe UI" w:cs="Segoe UI"/>
      <w:sz w:val="18"/>
      <w:szCs w:val="18"/>
    </w:rPr>
  </w:style>
  <w:style w:type="paragraph" w:styleId="FootnoteText">
    <w:name w:val="footnote text"/>
    <w:basedOn w:val="Normal"/>
    <w:link w:val="FootnoteTextChar"/>
    <w:uiPriority w:val="99"/>
    <w:semiHidden/>
    <w:unhideWhenUsed/>
    <w:rsid w:val="00CE7AF7"/>
    <w:rPr>
      <w:sz w:val="20"/>
      <w:szCs w:val="20"/>
    </w:rPr>
  </w:style>
  <w:style w:type="character" w:customStyle="1" w:styleId="FootnoteTextChar">
    <w:name w:val="Footnote Text Char"/>
    <w:basedOn w:val="DefaultParagraphFont"/>
    <w:link w:val="FootnoteText"/>
    <w:uiPriority w:val="99"/>
    <w:semiHidden/>
    <w:rsid w:val="00CE7AF7"/>
    <w:rPr>
      <w:sz w:val="20"/>
      <w:szCs w:val="20"/>
    </w:rPr>
  </w:style>
  <w:style w:type="character" w:styleId="FootnoteReference">
    <w:name w:val="footnote reference"/>
    <w:basedOn w:val="DefaultParagraphFont"/>
    <w:uiPriority w:val="99"/>
    <w:semiHidden/>
    <w:unhideWhenUsed/>
    <w:rsid w:val="00CE7AF7"/>
    <w:rPr>
      <w:vertAlign w:val="superscript"/>
    </w:rPr>
  </w:style>
  <w:style w:type="paragraph" w:styleId="BodyText">
    <w:name w:val="Body Text"/>
    <w:basedOn w:val="Normal"/>
    <w:link w:val="BodyTextChar"/>
    <w:uiPriority w:val="1"/>
    <w:qFormat/>
    <w:rsid w:val="00BD7C08"/>
    <w:pPr>
      <w:autoSpaceDE w:val="0"/>
      <w:autoSpaceDN w:val="0"/>
      <w:adjustRightInd w:val="0"/>
      <w:ind w:left="40"/>
    </w:pPr>
    <w:rPr>
      <w:rFonts w:ascii="Arial" w:hAnsi="Arial" w:cs="Arial"/>
      <w:sz w:val="22"/>
      <w:szCs w:val="22"/>
      <w:lang w:val="en-US"/>
    </w:rPr>
  </w:style>
  <w:style w:type="character" w:customStyle="1" w:styleId="BodyTextChar">
    <w:name w:val="Body Text Char"/>
    <w:basedOn w:val="DefaultParagraphFont"/>
    <w:link w:val="BodyText"/>
    <w:uiPriority w:val="1"/>
    <w:rsid w:val="00BD7C08"/>
    <w:rPr>
      <w:rFonts w:ascii="Arial" w:hAnsi="Arial" w:cs="Arial"/>
      <w:sz w:val="22"/>
      <w:szCs w:val="22"/>
      <w:lang w:val="en-US"/>
    </w:rPr>
  </w:style>
  <w:style w:type="character" w:styleId="Hyperlink">
    <w:name w:val="Hyperlink"/>
    <w:basedOn w:val="DefaultParagraphFont"/>
    <w:uiPriority w:val="99"/>
    <w:unhideWhenUsed/>
    <w:rsid w:val="009850C7"/>
    <w:rPr>
      <w:b/>
      <w:color w:val="1F3864" w:themeColor="accent1" w:themeShade="80"/>
      <w:u w:val="single"/>
    </w:rPr>
  </w:style>
  <w:style w:type="character" w:styleId="UnresolvedMention">
    <w:name w:val="Unresolved Mention"/>
    <w:basedOn w:val="DefaultParagraphFont"/>
    <w:uiPriority w:val="99"/>
    <w:semiHidden/>
    <w:unhideWhenUsed/>
    <w:rsid w:val="00BD3CC9"/>
    <w:rPr>
      <w:color w:val="605E5C"/>
      <w:shd w:val="clear" w:color="auto" w:fill="E1DFDD"/>
    </w:rPr>
  </w:style>
  <w:style w:type="character" w:styleId="FollowedHyperlink">
    <w:name w:val="FollowedHyperlink"/>
    <w:basedOn w:val="DefaultParagraphFont"/>
    <w:uiPriority w:val="99"/>
    <w:semiHidden/>
    <w:unhideWhenUsed/>
    <w:rsid w:val="00BD3CC9"/>
    <w:rPr>
      <w:color w:val="954F72" w:themeColor="followedHyperlink"/>
      <w:u w:val="single"/>
    </w:rPr>
  </w:style>
  <w:style w:type="paragraph" w:customStyle="1" w:styleId="Default">
    <w:name w:val="Default"/>
    <w:rsid w:val="00827D1B"/>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85174">
      <w:bodyDiv w:val="1"/>
      <w:marLeft w:val="0"/>
      <w:marRight w:val="0"/>
      <w:marTop w:val="0"/>
      <w:marBottom w:val="0"/>
      <w:divBdr>
        <w:top w:val="none" w:sz="0" w:space="0" w:color="auto"/>
        <w:left w:val="none" w:sz="0" w:space="0" w:color="auto"/>
        <w:bottom w:val="none" w:sz="0" w:space="0" w:color="auto"/>
        <w:right w:val="none" w:sz="0" w:space="0" w:color="auto"/>
      </w:divBdr>
    </w:div>
    <w:div w:id="406879747">
      <w:bodyDiv w:val="1"/>
      <w:marLeft w:val="0"/>
      <w:marRight w:val="0"/>
      <w:marTop w:val="0"/>
      <w:marBottom w:val="0"/>
      <w:divBdr>
        <w:top w:val="none" w:sz="0" w:space="0" w:color="auto"/>
        <w:left w:val="none" w:sz="0" w:space="0" w:color="auto"/>
        <w:bottom w:val="none" w:sz="0" w:space="0" w:color="auto"/>
        <w:right w:val="none" w:sz="0" w:space="0" w:color="auto"/>
      </w:divBdr>
    </w:div>
    <w:div w:id="798105248">
      <w:bodyDiv w:val="1"/>
      <w:marLeft w:val="0"/>
      <w:marRight w:val="0"/>
      <w:marTop w:val="0"/>
      <w:marBottom w:val="0"/>
      <w:divBdr>
        <w:top w:val="none" w:sz="0" w:space="0" w:color="auto"/>
        <w:left w:val="none" w:sz="0" w:space="0" w:color="auto"/>
        <w:bottom w:val="none" w:sz="0" w:space="0" w:color="auto"/>
        <w:right w:val="none" w:sz="0" w:space="0" w:color="auto"/>
      </w:divBdr>
    </w:div>
    <w:div w:id="820120215">
      <w:bodyDiv w:val="1"/>
      <w:marLeft w:val="0"/>
      <w:marRight w:val="0"/>
      <w:marTop w:val="0"/>
      <w:marBottom w:val="0"/>
      <w:divBdr>
        <w:top w:val="none" w:sz="0" w:space="0" w:color="auto"/>
        <w:left w:val="none" w:sz="0" w:space="0" w:color="auto"/>
        <w:bottom w:val="none" w:sz="0" w:space="0" w:color="auto"/>
        <w:right w:val="none" w:sz="0" w:space="0" w:color="auto"/>
      </w:divBdr>
    </w:div>
    <w:div w:id="898831898">
      <w:bodyDiv w:val="1"/>
      <w:marLeft w:val="0"/>
      <w:marRight w:val="0"/>
      <w:marTop w:val="0"/>
      <w:marBottom w:val="0"/>
      <w:divBdr>
        <w:top w:val="none" w:sz="0" w:space="0" w:color="auto"/>
        <w:left w:val="none" w:sz="0" w:space="0" w:color="auto"/>
        <w:bottom w:val="none" w:sz="0" w:space="0" w:color="auto"/>
        <w:right w:val="none" w:sz="0" w:space="0" w:color="auto"/>
      </w:divBdr>
      <w:divsChild>
        <w:div w:id="611396402">
          <w:marLeft w:val="0"/>
          <w:marRight w:val="0"/>
          <w:marTop w:val="0"/>
          <w:marBottom w:val="0"/>
          <w:divBdr>
            <w:top w:val="none" w:sz="0" w:space="0" w:color="auto"/>
            <w:left w:val="none" w:sz="0" w:space="0" w:color="auto"/>
            <w:bottom w:val="none" w:sz="0" w:space="0" w:color="auto"/>
            <w:right w:val="none" w:sz="0" w:space="0" w:color="auto"/>
          </w:divBdr>
        </w:div>
      </w:divsChild>
    </w:div>
    <w:div w:id="1180465040">
      <w:bodyDiv w:val="1"/>
      <w:marLeft w:val="0"/>
      <w:marRight w:val="0"/>
      <w:marTop w:val="0"/>
      <w:marBottom w:val="0"/>
      <w:divBdr>
        <w:top w:val="none" w:sz="0" w:space="0" w:color="auto"/>
        <w:left w:val="none" w:sz="0" w:space="0" w:color="auto"/>
        <w:bottom w:val="none" w:sz="0" w:space="0" w:color="auto"/>
        <w:right w:val="none" w:sz="0" w:space="0" w:color="auto"/>
      </w:divBdr>
    </w:div>
    <w:div w:id="1802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gov.qld.gov.au/find-resources-about-managing-employee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gov.qld.gov.au/directives-policies-and-guidelin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artjobs.qld.gov.au/jobtools/jncustomsearch.jobsearch?in_organid=1490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orgov.qld.gov.au/leadership-competencies-queens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9371A76C57CE419EC8A3BA35E1122D" ma:contentTypeVersion="6" ma:contentTypeDescription="Create a new document." ma:contentTypeScope="" ma:versionID="7f7f9a3e64f5016a3dad7c88c278cea6">
  <xsd:schema xmlns:xsd="http://www.w3.org/2001/XMLSchema" xmlns:xs="http://www.w3.org/2001/XMLSchema" xmlns:p="http://schemas.microsoft.com/office/2006/metadata/properties" xmlns:ns2="349dcae6-1c55-46da-a023-c4c9ff23e2d0" xmlns:ns3="6e2d4c12-3607-4393-9d89-8b07dc70eafd" targetNamespace="http://schemas.microsoft.com/office/2006/metadata/properties" ma:root="true" ma:fieldsID="a4fdc1879dbde1a4ab1018702eba0f30" ns2:_="" ns3:_="">
    <xsd:import namespace="349dcae6-1c55-46da-a023-c4c9ff23e2d0"/>
    <xsd:import namespace="6e2d4c12-3607-4393-9d89-8b07dc70e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dcae6-1c55-46da-a023-c4c9ff23e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d4c12-3607-4393-9d89-8b07dc70ea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D79BD-7FBE-4C5B-A8D2-94A18E865F4A}">
  <ds:schemaRefs>
    <ds:schemaRef ds:uri="http://schemas.openxmlformats.org/officeDocument/2006/bibliography"/>
  </ds:schemaRefs>
</ds:datastoreItem>
</file>

<file path=customXml/itemProps2.xml><?xml version="1.0" encoding="utf-8"?>
<ds:datastoreItem xmlns:ds="http://schemas.openxmlformats.org/officeDocument/2006/customXml" ds:itemID="{2496FDC5-D867-49CE-931C-F6EE87ED5F30}">
  <ds:schemaRefs>
    <ds:schemaRef ds:uri="http://purl.org/dc/elements/1.1/"/>
    <ds:schemaRef ds:uri="http://schemas.microsoft.com/office/2006/metadata/properties"/>
    <ds:schemaRef ds:uri="http://schemas.microsoft.com/office/2006/documentManagement/types"/>
    <ds:schemaRef ds:uri="http://purl.org/dc/terms/"/>
    <ds:schemaRef ds:uri="349dcae6-1c55-46da-a023-c4c9ff23e2d0"/>
    <ds:schemaRef ds:uri="http://purl.org/dc/dcmitype/"/>
    <ds:schemaRef ds:uri="http://schemas.microsoft.com/office/infopath/2007/PartnerControls"/>
    <ds:schemaRef ds:uri="http://schemas.openxmlformats.org/package/2006/metadata/core-properties"/>
    <ds:schemaRef ds:uri="6e2d4c12-3607-4393-9d89-8b07dc70eafd"/>
    <ds:schemaRef ds:uri="http://www.w3.org/XML/1998/namespace"/>
  </ds:schemaRefs>
</ds:datastoreItem>
</file>

<file path=customXml/itemProps3.xml><?xml version="1.0" encoding="utf-8"?>
<ds:datastoreItem xmlns:ds="http://schemas.openxmlformats.org/officeDocument/2006/customXml" ds:itemID="{4A11ED0D-1628-49E5-ADDC-6DCEACB25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dcae6-1c55-46da-a023-c4c9ff23e2d0"/>
    <ds:schemaRef ds:uri="6e2d4c12-3607-4393-9d89-8b07dc70e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976402-1F66-4C13-AF1D-9768BB3598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2928</Words>
  <Characters>16692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19581</CharactersWithSpaces>
  <SharedDoc>false</SharedDoc>
  <HLinks>
    <vt:vector size="12" baseType="variant">
      <vt:variant>
        <vt:i4>1441798</vt:i4>
      </vt:variant>
      <vt:variant>
        <vt:i4>0</vt:i4>
      </vt:variant>
      <vt:variant>
        <vt:i4>0</vt:i4>
      </vt:variant>
      <vt:variant>
        <vt:i4>5</vt:i4>
      </vt:variant>
      <vt:variant>
        <vt:lpwstr/>
      </vt:variant>
      <vt:variant>
        <vt:lpwstr>Grad</vt:lpwstr>
      </vt:variant>
      <vt:variant>
        <vt:i4>5505115</vt:i4>
      </vt:variant>
      <vt:variant>
        <vt:i4>0</vt:i4>
      </vt:variant>
      <vt:variant>
        <vt:i4>0</vt:i4>
      </vt:variant>
      <vt:variant>
        <vt:i4>5</vt:i4>
      </vt:variant>
      <vt:variant>
        <vt:lpwstr>https://www.forgov.qld.gov.au/leadership-competencies-queensland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12/20: Recruitment and selection</dc:title>
  <dc:subject>Directive 12/20: Recruitment and selection</dc:subject>
  <dc:creator/>
  <cp:keywords>Directive 12/20: Recruitment and selection</cp:keywords>
  <dc:description/>
  <cp:lastModifiedBy/>
  <cp:revision>1</cp:revision>
  <dcterms:created xsi:type="dcterms:W3CDTF">2020-08-27T03:54:00Z</dcterms:created>
  <dcterms:modified xsi:type="dcterms:W3CDTF">2020-09-24T01:35:00Z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0x0101001D9371A76C57CE419EC8A3BA35E1122D</vt:lpwstr>
  </property>
</Properties>
</file>