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1EDF" w14:textId="77777777" w:rsidR="000006C2" w:rsidRPr="004A453A" w:rsidRDefault="000006C2" w:rsidP="00502F5C"/>
    <w:p w14:paraId="74A414F8" w14:textId="77777777" w:rsidR="007912D5" w:rsidRPr="004A453A" w:rsidRDefault="007912D5" w:rsidP="00502F5C"/>
    <w:p w14:paraId="55C564A1" w14:textId="77777777" w:rsidR="007912D5" w:rsidRPr="004A453A" w:rsidRDefault="007912D5" w:rsidP="00502F5C"/>
    <w:p w14:paraId="10B25C1E" w14:textId="77777777" w:rsidR="007912D5" w:rsidRPr="004A453A" w:rsidRDefault="007912D5" w:rsidP="00502F5C"/>
    <w:p w14:paraId="2584A665" w14:textId="77777777" w:rsidR="00A11693" w:rsidRPr="004A453A" w:rsidRDefault="00A11693" w:rsidP="00A11693"/>
    <w:p w14:paraId="6CF02CB5" w14:textId="77777777" w:rsidR="00A11693" w:rsidRPr="004A453A" w:rsidRDefault="00A11693" w:rsidP="00A11693"/>
    <w:p w14:paraId="54F0088D" w14:textId="77777777" w:rsidR="00A11693" w:rsidRPr="004A453A" w:rsidRDefault="00A11693" w:rsidP="00A11693"/>
    <w:p w14:paraId="1784D92D" w14:textId="77777777" w:rsidR="00A11693" w:rsidRPr="004A453A" w:rsidRDefault="00A11693" w:rsidP="00A11693"/>
    <w:p w14:paraId="5E8C3F8E" w14:textId="77777777" w:rsidR="001947AD" w:rsidRPr="00634D63" w:rsidRDefault="009D248E" w:rsidP="00634D63">
      <w:pPr>
        <w:pStyle w:val="Title"/>
      </w:pPr>
      <w:r w:rsidRPr="00634D63">
        <w:t xml:space="preserve">APPRAISAL LOG </w:t>
      </w:r>
    </w:p>
    <w:p w14:paraId="40648A30" w14:textId="77777777" w:rsidR="00FA3A67" w:rsidRPr="004A453A" w:rsidRDefault="00FA3A67" w:rsidP="00FA3A67">
      <w:pPr>
        <w:pStyle w:val="TitlePageSubtitle"/>
        <w:ind w:right="-598"/>
        <w:rPr>
          <w:color w:val="auto"/>
        </w:rPr>
      </w:pPr>
      <w:bookmarkStart w:id="0" w:name="Text17"/>
      <w:r>
        <w:rPr>
          <w:noProof/>
          <w:color w:val="auto"/>
        </w:rPr>
        <w:t>Queensland Building &amp; Construction Commission</w:t>
      </w:r>
      <w:bookmarkEnd w:id="0"/>
      <w:r>
        <w:rPr>
          <w:color w:val="auto"/>
        </w:rPr>
        <w:t xml:space="preserve"> (QBCC) R</w:t>
      </w:r>
      <w:r w:rsidRPr="004A453A">
        <w:rPr>
          <w:color w:val="auto"/>
        </w:rPr>
        <w:t xml:space="preserve">etention and </w:t>
      </w:r>
      <w:r>
        <w:rPr>
          <w:color w:val="auto"/>
        </w:rPr>
        <w:t>D</w:t>
      </w:r>
      <w:r w:rsidRPr="004A453A">
        <w:rPr>
          <w:color w:val="auto"/>
        </w:rPr>
        <w:t xml:space="preserve">isposal </w:t>
      </w:r>
      <w:r>
        <w:rPr>
          <w:color w:val="auto"/>
        </w:rPr>
        <w:t>S</w:t>
      </w:r>
      <w:r w:rsidRPr="004A453A">
        <w:rPr>
          <w:color w:val="auto"/>
        </w:rPr>
        <w:t>chedule</w:t>
      </w:r>
    </w:p>
    <w:p w14:paraId="456F0ADE" w14:textId="1D542FFD" w:rsidR="001947AD" w:rsidRPr="004A453A" w:rsidRDefault="00E35904" w:rsidP="001947AD">
      <w:pPr>
        <w:pStyle w:val="TitlePageSubtitle"/>
        <w:rPr>
          <w:color w:val="auto"/>
        </w:rPr>
      </w:pPr>
      <w:r>
        <w:rPr>
          <w:color w:val="auto"/>
        </w:rPr>
        <w:t xml:space="preserve"> </w:t>
      </w:r>
    </w:p>
    <w:p w14:paraId="5000D026" w14:textId="77777777" w:rsidR="00AB339F" w:rsidRPr="004A453A" w:rsidRDefault="00AB339F" w:rsidP="001947AD">
      <w:pPr>
        <w:pStyle w:val="TitlePageSubtitle"/>
        <w:rPr>
          <w:color w:val="auto"/>
        </w:rPr>
      </w:pPr>
    </w:p>
    <w:p w14:paraId="4A476B2B" w14:textId="77777777" w:rsidR="00E35904" w:rsidRPr="004A453A" w:rsidRDefault="00E35904" w:rsidP="001947AD">
      <w:pPr>
        <w:pStyle w:val="TitlePageSubtitle"/>
        <w:rPr>
          <w:color w:val="auto"/>
        </w:rPr>
      </w:pPr>
    </w:p>
    <w:p w14:paraId="30E7206C" w14:textId="4153B315" w:rsidR="00325793" w:rsidRDefault="00E35904" w:rsidP="001947AD">
      <w:pPr>
        <w:pStyle w:val="TitlePageSubtitle"/>
        <w:rPr>
          <w:color w:val="auto"/>
        </w:rPr>
      </w:pPr>
      <w:r>
        <w:rPr>
          <w:color w:val="auto"/>
        </w:rPr>
        <w:t xml:space="preserve">Date: </w:t>
      </w:r>
      <w:r w:rsidR="00B4591E">
        <w:rPr>
          <w:color w:val="auto"/>
        </w:rPr>
        <w:t>15 Dec</w:t>
      </w:r>
      <w:r w:rsidR="00067BF0">
        <w:rPr>
          <w:color w:val="auto"/>
        </w:rPr>
        <w:t>ember</w:t>
      </w:r>
      <w:r w:rsidR="00B4591E">
        <w:rPr>
          <w:color w:val="auto"/>
        </w:rPr>
        <w:t xml:space="preserve"> 2023</w:t>
      </w:r>
    </w:p>
    <w:p w14:paraId="2687B059" w14:textId="3F9F9A9A" w:rsidR="00294CD7" w:rsidRDefault="00294CD7" w:rsidP="001947AD">
      <w:pPr>
        <w:pStyle w:val="TitlePageSubtitle"/>
        <w:rPr>
          <w:color w:val="auto"/>
        </w:rPr>
      </w:pPr>
    </w:p>
    <w:p w14:paraId="2DE89236" w14:textId="77777777" w:rsidR="00294CD7" w:rsidRDefault="00294CD7" w:rsidP="00294CD7">
      <w:pPr>
        <w:rPr>
          <w:rFonts w:cs="Arial"/>
          <w:sz w:val="35"/>
          <w:szCs w:val="35"/>
        </w:rPr>
      </w:pPr>
      <w:r>
        <w:br w:type="page"/>
      </w:r>
      <w:r>
        <w:rPr>
          <w:rFonts w:cs="Arial"/>
          <w:sz w:val="35"/>
          <w:szCs w:val="35"/>
        </w:rPr>
        <w:lastRenderedPageBreak/>
        <w:t>EXPLANATORY NOTES</w:t>
      </w:r>
    </w:p>
    <w:p w14:paraId="4E3DE979" w14:textId="77777777" w:rsidR="00294CD7" w:rsidRDefault="00294CD7" w:rsidP="00294CD7">
      <w:pPr>
        <w:rPr>
          <w:rFonts w:cs="Arial"/>
          <w:sz w:val="35"/>
          <w:szCs w:val="35"/>
        </w:rPr>
      </w:pPr>
    </w:p>
    <w:p w14:paraId="3832A837" w14:textId="77777777" w:rsidR="00294CD7" w:rsidRDefault="00294CD7" w:rsidP="00294CD7">
      <w:pPr>
        <w:rPr>
          <w:rFonts w:cs="Arial"/>
          <w:sz w:val="28"/>
          <w:szCs w:val="28"/>
        </w:rPr>
      </w:pPr>
      <w:r>
        <w:rPr>
          <w:rFonts w:cs="Arial"/>
          <w:sz w:val="28"/>
          <w:szCs w:val="28"/>
        </w:rPr>
        <w:t>APPLICABLE LEGISLATION/STANDARDS FOR THE BUILDING AND CONSTRUCTION SECTOR IN QUEENSLAND</w:t>
      </w:r>
    </w:p>
    <w:p w14:paraId="0A6C16FB" w14:textId="77777777" w:rsidR="00294CD7" w:rsidRDefault="00294CD7" w:rsidP="00294CD7">
      <w:pPr>
        <w:rPr>
          <w:rFonts w:cs="Arial"/>
          <w:sz w:val="28"/>
          <w:szCs w:val="28"/>
        </w:rPr>
      </w:pPr>
    </w:p>
    <w:p w14:paraId="6FBA5C38" w14:textId="77777777" w:rsidR="00294CD7" w:rsidRDefault="00294CD7" w:rsidP="00294CD7">
      <w:pPr>
        <w:ind w:right="395"/>
        <w:jc w:val="both"/>
        <w:rPr>
          <w:rFonts w:cs="Arial"/>
          <w:sz w:val="24"/>
        </w:rPr>
      </w:pPr>
      <w:r w:rsidRPr="00D30243">
        <w:rPr>
          <w:rFonts w:cs="Arial"/>
          <w:sz w:val="24"/>
        </w:rPr>
        <w:t xml:space="preserve">There are numerous regulatory and legislative requirements – as well as professional codes, standards, guidelines and policies that apply to creating, keeping and managing public records for the Building and Construction </w:t>
      </w:r>
      <w:r>
        <w:rPr>
          <w:rFonts w:cs="Arial"/>
          <w:sz w:val="24"/>
        </w:rPr>
        <w:t>sector</w:t>
      </w:r>
      <w:r w:rsidRPr="00D30243">
        <w:rPr>
          <w:rFonts w:cs="Arial"/>
          <w:sz w:val="24"/>
        </w:rPr>
        <w:t xml:space="preserve"> in Queensland. Below is a comprehensive listing of applicable legislation and standards that have been identified as relevant to public records that are managed under the Queensland Building and Construction Commission retention and disposal schedule: </w:t>
      </w:r>
    </w:p>
    <w:p w14:paraId="5B70C3A8" w14:textId="77777777" w:rsidR="00294CD7" w:rsidRPr="00D30243" w:rsidRDefault="00294CD7" w:rsidP="00294CD7">
      <w:pPr>
        <w:ind w:right="395"/>
        <w:jc w:val="both"/>
        <w:rPr>
          <w:rFonts w:cs="Arial"/>
          <w:sz w:val="24"/>
        </w:rPr>
      </w:pPr>
    </w:p>
    <w:p w14:paraId="100EF2DA" w14:textId="77777777" w:rsidR="00294CD7" w:rsidRDefault="00294CD7" w:rsidP="00294CD7"/>
    <w:p w14:paraId="28876179" w14:textId="77777777" w:rsidR="00294CD7" w:rsidRDefault="00294CD7" w:rsidP="00294CD7">
      <w:pPr>
        <w:rPr>
          <w:rFonts w:cs="Arial"/>
          <w:sz w:val="28"/>
          <w:szCs w:val="28"/>
        </w:rPr>
      </w:pPr>
      <w:r>
        <w:rPr>
          <w:rFonts w:cs="Arial"/>
          <w:sz w:val="28"/>
          <w:szCs w:val="28"/>
        </w:rPr>
        <w:t>LEGISLATION THAT APPLIES TO QUEENSLAND BUILDING AND CONSTRUCTION COMMISSION:</w:t>
      </w:r>
    </w:p>
    <w:p w14:paraId="6CB33559" w14:textId="77777777" w:rsidR="00294CD7" w:rsidRDefault="00294CD7" w:rsidP="00294CD7"/>
    <w:p w14:paraId="321281BB" w14:textId="77777777" w:rsidR="00294CD7" w:rsidRPr="00CA3A3A" w:rsidRDefault="00294CD7" w:rsidP="00500F64">
      <w:pPr>
        <w:numPr>
          <w:ilvl w:val="0"/>
          <w:numId w:val="7"/>
        </w:numPr>
        <w:spacing w:line="276" w:lineRule="auto"/>
        <w:rPr>
          <w:b/>
          <w:i/>
          <w:iCs/>
        </w:rPr>
      </w:pPr>
      <w:r w:rsidRPr="00CA3A3A">
        <w:rPr>
          <w:i/>
          <w:iCs/>
        </w:rPr>
        <w:t xml:space="preserve">Queensland Building &amp; Construction Commission Act 1991 </w:t>
      </w:r>
    </w:p>
    <w:p w14:paraId="0B07BA14" w14:textId="77777777" w:rsidR="00294CD7" w:rsidRPr="009A33B0" w:rsidRDefault="00294CD7" w:rsidP="00500F64">
      <w:pPr>
        <w:numPr>
          <w:ilvl w:val="0"/>
          <w:numId w:val="7"/>
        </w:numPr>
        <w:spacing w:line="276" w:lineRule="auto"/>
        <w:rPr>
          <w:b/>
          <w:i/>
          <w:iCs/>
        </w:rPr>
      </w:pPr>
      <w:r w:rsidRPr="009A33B0">
        <w:rPr>
          <w:i/>
          <w:iCs/>
        </w:rPr>
        <w:t>Queensland Building &amp; Construction Commission Regulation 2018</w:t>
      </w:r>
    </w:p>
    <w:p w14:paraId="427A4E42" w14:textId="77777777" w:rsidR="00294CD7" w:rsidRPr="009A33B0" w:rsidRDefault="00294CD7" w:rsidP="00500F64">
      <w:pPr>
        <w:numPr>
          <w:ilvl w:val="0"/>
          <w:numId w:val="7"/>
        </w:numPr>
        <w:spacing w:line="276" w:lineRule="auto"/>
        <w:rPr>
          <w:i/>
          <w:iCs/>
        </w:rPr>
      </w:pPr>
      <w:r w:rsidRPr="009A33B0">
        <w:rPr>
          <w:i/>
          <w:iCs/>
          <w:noProof/>
          <w:szCs w:val="22"/>
        </w:rPr>
        <w:t>Queensland Building and Construction Commission (Minimum Financial Requirements) Regulation 2018</w:t>
      </w:r>
    </w:p>
    <w:p w14:paraId="69190E45" w14:textId="77777777" w:rsidR="00294CD7" w:rsidRPr="009A33B0" w:rsidRDefault="00294CD7" w:rsidP="00500F64">
      <w:pPr>
        <w:numPr>
          <w:ilvl w:val="0"/>
          <w:numId w:val="7"/>
        </w:numPr>
        <w:spacing w:line="276" w:lineRule="auto"/>
        <w:rPr>
          <w:i/>
          <w:iCs/>
        </w:rPr>
      </w:pPr>
      <w:r w:rsidRPr="009A33B0">
        <w:rPr>
          <w:i/>
          <w:iCs/>
        </w:rPr>
        <w:t>Queensland Building and Construction Commission (Mechanical Services Licences) and Other Legislation Amendment Regulation 2019</w:t>
      </w:r>
    </w:p>
    <w:p w14:paraId="0145542C" w14:textId="77777777" w:rsidR="00294CD7" w:rsidRPr="009A33B0" w:rsidRDefault="00294CD7" w:rsidP="00500F64">
      <w:pPr>
        <w:numPr>
          <w:ilvl w:val="0"/>
          <w:numId w:val="7"/>
        </w:numPr>
        <w:spacing w:line="276" w:lineRule="auto"/>
        <w:rPr>
          <w:i/>
          <w:iCs/>
        </w:rPr>
      </w:pPr>
      <w:r w:rsidRPr="009A33B0">
        <w:rPr>
          <w:i/>
          <w:iCs/>
        </w:rPr>
        <w:t>Queensland Building and Construction Commission and Other Legislation (Fire Protection Licensing) Amendment Regulation 2021</w:t>
      </w:r>
    </w:p>
    <w:p w14:paraId="5BBACD10" w14:textId="77777777" w:rsidR="00294CD7" w:rsidRPr="009A33B0" w:rsidRDefault="00294CD7" w:rsidP="00500F64">
      <w:pPr>
        <w:numPr>
          <w:ilvl w:val="0"/>
          <w:numId w:val="7"/>
        </w:numPr>
        <w:spacing w:line="276" w:lineRule="auto"/>
        <w:rPr>
          <w:i/>
          <w:iCs/>
        </w:rPr>
      </w:pPr>
      <w:r w:rsidRPr="009A33B0">
        <w:rPr>
          <w:i/>
          <w:iCs/>
        </w:rPr>
        <w:t>Queensland Building and Construction Commission (Mechanical Services Licences) Amendment Regulation 2021</w:t>
      </w:r>
    </w:p>
    <w:p w14:paraId="2859B7AE" w14:textId="77777777" w:rsidR="00294CD7" w:rsidRPr="009A33B0" w:rsidRDefault="00294CD7" w:rsidP="00500F64">
      <w:pPr>
        <w:numPr>
          <w:ilvl w:val="0"/>
          <w:numId w:val="7"/>
        </w:numPr>
        <w:spacing w:line="276" w:lineRule="auto"/>
        <w:rPr>
          <w:i/>
          <w:iCs/>
        </w:rPr>
      </w:pPr>
      <w:r w:rsidRPr="009A33B0">
        <w:rPr>
          <w:i/>
          <w:iCs/>
        </w:rPr>
        <w:t>Building and Construction Legislation (Non-conforming Building Products - Chain of Responsibility and Other Matters) Amendment Act 2017</w:t>
      </w:r>
    </w:p>
    <w:p w14:paraId="14E85D7D" w14:textId="77777777" w:rsidR="00294CD7" w:rsidRPr="00292479" w:rsidRDefault="00294CD7" w:rsidP="00500F64">
      <w:pPr>
        <w:numPr>
          <w:ilvl w:val="0"/>
          <w:numId w:val="7"/>
        </w:numPr>
        <w:spacing w:line="276" w:lineRule="auto"/>
        <w:rPr>
          <w:i/>
          <w:iCs/>
        </w:rPr>
      </w:pPr>
      <w:r w:rsidRPr="00292479">
        <w:rPr>
          <w:i/>
          <w:iCs/>
        </w:rPr>
        <w:t>Plumbing and Drainage Act 2018</w:t>
      </w:r>
    </w:p>
    <w:p w14:paraId="31573EA1" w14:textId="77777777" w:rsidR="00294CD7" w:rsidRPr="009A33B0" w:rsidRDefault="00294CD7" w:rsidP="00500F64">
      <w:pPr>
        <w:numPr>
          <w:ilvl w:val="0"/>
          <w:numId w:val="7"/>
        </w:numPr>
        <w:spacing w:line="276" w:lineRule="auto"/>
        <w:rPr>
          <w:i/>
          <w:iCs/>
        </w:rPr>
      </w:pPr>
      <w:r w:rsidRPr="009A33B0">
        <w:rPr>
          <w:i/>
          <w:iCs/>
        </w:rPr>
        <w:t>Plumbing and Drainage Regulation 2019</w:t>
      </w:r>
    </w:p>
    <w:p w14:paraId="7B0A857E" w14:textId="77777777" w:rsidR="00294CD7" w:rsidRPr="00292479" w:rsidRDefault="00294CD7" w:rsidP="00500F64">
      <w:pPr>
        <w:numPr>
          <w:ilvl w:val="0"/>
          <w:numId w:val="7"/>
        </w:numPr>
        <w:spacing w:line="276" w:lineRule="auto"/>
        <w:rPr>
          <w:i/>
          <w:iCs/>
        </w:rPr>
      </w:pPr>
      <w:r w:rsidRPr="00292479">
        <w:rPr>
          <w:i/>
          <w:iCs/>
        </w:rPr>
        <w:t>Building Act 1975</w:t>
      </w:r>
    </w:p>
    <w:p w14:paraId="5DB03F43" w14:textId="77777777" w:rsidR="00294CD7" w:rsidRPr="009A33B0" w:rsidRDefault="00294CD7" w:rsidP="00500F64">
      <w:pPr>
        <w:numPr>
          <w:ilvl w:val="0"/>
          <w:numId w:val="7"/>
        </w:numPr>
        <w:spacing w:line="276" w:lineRule="auto"/>
        <w:rPr>
          <w:i/>
          <w:iCs/>
        </w:rPr>
      </w:pPr>
      <w:r w:rsidRPr="009A33B0">
        <w:rPr>
          <w:i/>
          <w:iCs/>
        </w:rPr>
        <w:t>Building Regulation 2021</w:t>
      </w:r>
    </w:p>
    <w:p w14:paraId="4D77DD5B" w14:textId="77777777" w:rsidR="00294CD7" w:rsidRPr="00292479" w:rsidRDefault="00294CD7" w:rsidP="00500F64">
      <w:pPr>
        <w:numPr>
          <w:ilvl w:val="0"/>
          <w:numId w:val="7"/>
        </w:numPr>
        <w:spacing w:line="276" w:lineRule="auto"/>
        <w:rPr>
          <w:i/>
          <w:iCs/>
        </w:rPr>
      </w:pPr>
      <w:r w:rsidRPr="00292479">
        <w:rPr>
          <w:i/>
          <w:iCs/>
        </w:rPr>
        <w:t>Building Industry Fairness (Security of Payment) Act 2017</w:t>
      </w:r>
    </w:p>
    <w:p w14:paraId="0A73DB1B" w14:textId="77777777" w:rsidR="00294CD7" w:rsidRPr="009A33B0" w:rsidRDefault="00294CD7" w:rsidP="00500F64">
      <w:pPr>
        <w:numPr>
          <w:ilvl w:val="0"/>
          <w:numId w:val="7"/>
        </w:numPr>
        <w:spacing w:line="276" w:lineRule="auto"/>
        <w:rPr>
          <w:i/>
          <w:iCs/>
        </w:rPr>
      </w:pPr>
      <w:r w:rsidRPr="009A33B0">
        <w:rPr>
          <w:i/>
          <w:iCs/>
        </w:rPr>
        <w:t xml:space="preserve">Building Industry Fairness (Security of Payment) Regulation 2018 </w:t>
      </w:r>
    </w:p>
    <w:p w14:paraId="19A955A1" w14:textId="77777777" w:rsidR="00294CD7" w:rsidRPr="009A33B0" w:rsidRDefault="00294CD7" w:rsidP="00500F64">
      <w:pPr>
        <w:numPr>
          <w:ilvl w:val="0"/>
          <w:numId w:val="7"/>
        </w:numPr>
        <w:spacing w:line="276" w:lineRule="auto"/>
        <w:rPr>
          <w:i/>
          <w:iCs/>
        </w:rPr>
      </w:pPr>
      <w:r w:rsidRPr="009A33B0">
        <w:rPr>
          <w:i/>
          <w:iCs/>
        </w:rPr>
        <w:t>Building Fire Safety Regulation 2008</w:t>
      </w:r>
    </w:p>
    <w:p w14:paraId="1046CB85" w14:textId="77777777" w:rsidR="00294CD7" w:rsidRPr="009A33B0" w:rsidRDefault="00294CD7" w:rsidP="00500F64">
      <w:pPr>
        <w:numPr>
          <w:ilvl w:val="0"/>
          <w:numId w:val="7"/>
        </w:numPr>
        <w:spacing w:line="276" w:lineRule="auto"/>
        <w:rPr>
          <w:i/>
          <w:iCs/>
        </w:rPr>
      </w:pPr>
      <w:r w:rsidRPr="009A33B0">
        <w:rPr>
          <w:i/>
          <w:iCs/>
        </w:rPr>
        <w:t>Electrical Safety Regulation 2013</w:t>
      </w:r>
    </w:p>
    <w:p w14:paraId="06FA727B" w14:textId="77777777" w:rsidR="00294CD7" w:rsidRPr="00292479" w:rsidRDefault="00294CD7" w:rsidP="00500F64">
      <w:pPr>
        <w:numPr>
          <w:ilvl w:val="0"/>
          <w:numId w:val="7"/>
        </w:numPr>
        <w:spacing w:line="276" w:lineRule="auto"/>
        <w:rPr>
          <w:i/>
          <w:iCs/>
        </w:rPr>
      </w:pPr>
      <w:r w:rsidRPr="00292479">
        <w:rPr>
          <w:i/>
          <w:iCs/>
        </w:rPr>
        <w:t>Building and Other Legislation Amendment Act 2022</w:t>
      </w:r>
    </w:p>
    <w:p w14:paraId="51067EE5" w14:textId="77777777" w:rsidR="00294CD7" w:rsidRPr="00637D20" w:rsidRDefault="00294CD7" w:rsidP="00294CD7">
      <w:pPr>
        <w:rPr>
          <w:highlight w:val="yellow"/>
        </w:rPr>
      </w:pPr>
      <w:r>
        <w:br w:type="page"/>
      </w:r>
    </w:p>
    <w:p w14:paraId="013F0976" w14:textId="77777777" w:rsidR="00294CD7" w:rsidRDefault="00294CD7" w:rsidP="00294CD7">
      <w:pPr>
        <w:rPr>
          <w:rFonts w:cs="Arial"/>
          <w:sz w:val="28"/>
          <w:szCs w:val="28"/>
        </w:rPr>
      </w:pPr>
      <w:r>
        <w:rPr>
          <w:rFonts w:cs="Arial"/>
          <w:sz w:val="28"/>
          <w:szCs w:val="28"/>
        </w:rPr>
        <w:lastRenderedPageBreak/>
        <w:t>PUBLISHED MATERIALS FROM QUEENSLAND GOVERNMENT DEPARTMENTS AND PROFESSIONAL BODIES INCLUDING, BUT NOT LIMITED TO, STANDARDS, GUIDELINES, POLICIES AND CODES:</w:t>
      </w:r>
    </w:p>
    <w:p w14:paraId="6A5AA76A" w14:textId="77777777" w:rsidR="00294CD7" w:rsidRDefault="00294CD7" w:rsidP="00294CD7">
      <w:pPr>
        <w:rPr>
          <w:rFonts w:cs="Arial"/>
          <w:sz w:val="28"/>
          <w:szCs w:val="28"/>
        </w:rPr>
      </w:pPr>
    </w:p>
    <w:p w14:paraId="32D58C83" w14:textId="77777777" w:rsidR="00294CD7" w:rsidRPr="00106B31" w:rsidRDefault="00294CD7" w:rsidP="00500F64">
      <w:pPr>
        <w:numPr>
          <w:ilvl w:val="0"/>
          <w:numId w:val="8"/>
        </w:numPr>
      </w:pPr>
      <w:r w:rsidRPr="00106B31">
        <w:t>Queensland Development Code</w:t>
      </w:r>
    </w:p>
    <w:p w14:paraId="457C5E52" w14:textId="77777777" w:rsidR="00294CD7" w:rsidRPr="00106B31" w:rsidRDefault="00294CD7" w:rsidP="00500F64">
      <w:pPr>
        <w:numPr>
          <w:ilvl w:val="0"/>
          <w:numId w:val="8"/>
        </w:numPr>
      </w:pPr>
      <w:r w:rsidRPr="00106B31">
        <w:t>National Construction Code</w:t>
      </w:r>
    </w:p>
    <w:p w14:paraId="4F3B5CBC" w14:textId="77777777" w:rsidR="00294CD7" w:rsidRPr="00106B31" w:rsidRDefault="00294CD7" w:rsidP="00500F64">
      <w:pPr>
        <w:numPr>
          <w:ilvl w:val="0"/>
          <w:numId w:val="8"/>
        </w:numPr>
      </w:pPr>
      <w:r w:rsidRPr="00106B31">
        <w:t>Building Code of Australia</w:t>
      </w:r>
    </w:p>
    <w:p w14:paraId="3361762F" w14:textId="77777777" w:rsidR="00294CD7" w:rsidRDefault="00294CD7" w:rsidP="00500F64">
      <w:pPr>
        <w:numPr>
          <w:ilvl w:val="0"/>
          <w:numId w:val="8"/>
        </w:numPr>
      </w:pPr>
      <w:r w:rsidRPr="00106B31">
        <w:t>Plumbing Code of Australia</w:t>
      </w:r>
    </w:p>
    <w:p w14:paraId="3CFFB367" w14:textId="77777777" w:rsidR="00294CD7" w:rsidRPr="00106B31" w:rsidRDefault="00294CD7" w:rsidP="00500F64">
      <w:pPr>
        <w:numPr>
          <w:ilvl w:val="0"/>
          <w:numId w:val="8"/>
        </w:numPr>
        <w:rPr>
          <w:bCs/>
        </w:rPr>
      </w:pPr>
      <w:r w:rsidRPr="00106B31">
        <w:rPr>
          <w:bCs/>
          <w:noProof/>
          <w:szCs w:val="22"/>
        </w:rPr>
        <w:t xml:space="preserve">Queensland Development Code (QDC) MP </w:t>
      </w:r>
      <w:r>
        <w:rPr>
          <w:bCs/>
          <w:noProof/>
          <w:szCs w:val="22"/>
        </w:rPr>
        <w:t>2.5 – Use of External Cladding</w:t>
      </w:r>
    </w:p>
    <w:p w14:paraId="38925773" w14:textId="77777777" w:rsidR="00294CD7" w:rsidRPr="00FE70D2" w:rsidRDefault="00294CD7" w:rsidP="00500F64">
      <w:pPr>
        <w:numPr>
          <w:ilvl w:val="0"/>
          <w:numId w:val="8"/>
        </w:numPr>
        <w:rPr>
          <w:bCs/>
        </w:rPr>
      </w:pPr>
      <w:r w:rsidRPr="00FE70D2">
        <w:rPr>
          <w:bCs/>
          <w:noProof/>
          <w:szCs w:val="22"/>
        </w:rPr>
        <w:t>Queensland Development Code (QDC) MP 3.4</w:t>
      </w:r>
      <w:r>
        <w:rPr>
          <w:bCs/>
          <w:noProof/>
          <w:szCs w:val="22"/>
        </w:rPr>
        <w:t xml:space="preserve"> – Swimming Pool Barriers</w:t>
      </w:r>
    </w:p>
    <w:p w14:paraId="6131B93B" w14:textId="77777777" w:rsidR="00294CD7" w:rsidRPr="00106B31" w:rsidRDefault="00294CD7" w:rsidP="00500F64">
      <w:pPr>
        <w:numPr>
          <w:ilvl w:val="0"/>
          <w:numId w:val="8"/>
        </w:numPr>
        <w:rPr>
          <w:bCs/>
        </w:rPr>
      </w:pPr>
      <w:r w:rsidRPr="00106B31">
        <w:rPr>
          <w:bCs/>
          <w:noProof/>
          <w:szCs w:val="22"/>
        </w:rPr>
        <w:t>Australian Standard AS 1926.1</w:t>
      </w:r>
      <w:r>
        <w:rPr>
          <w:bCs/>
          <w:noProof/>
          <w:szCs w:val="22"/>
        </w:rPr>
        <w:t xml:space="preserve"> – Swimming Pool Safety</w:t>
      </w:r>
    </w:p>
    <w:p w14:paraId="4B9C0033" w14:textId="77777777" w:rsidR="00294CD7" w:rsidRPr="00106B31" w:rsidRDefault="00294CD7" w:rsidP="00500F64">
      <w:pPr>
        <w:numPr>
          <w:ilvl w:val="0"/>
          <w:numId w:val="8"/>
        </w:numPr>
        <w:rPr>
          <w:bCs/>
        </w:rPr>
      </w:pPr>
      <w:r w:rsidRPr="00F25595">
        <w:rPr>
          <w:bCs/>
          <w:noProof/>
          <w:szCs w:val="22"/>
        </w:rPr>
        <w:t>Australian Standard AS 1926.</w:t>
      </w:r>
      <w:r>
        <w:rPr>
          <w:bCs/>
          <w:noProof/>
          <w:szCs w:val="22"/>
        </w:rPr>
        <w:t>2 – Swimming Pool Safety Barriers</w:t>
      </w:r>
    </w:p>
    <w:p w14:paraId="11CEA514" w14:textId="3AC0705B" w:rsidR="00294CD7" w:rsidRDefault="00294CD7" w:rsidP="001947AD">
      <w:pPr>
        <w:pStyle w:val="TitlePageSubtitle"/>
        <w:rPr>
          <w:color w:val="auto"/>
        </w:rPr>
      </w:pPr>
    </w:p>
    <w:p w14:paraId="2DD393DF" w14:textId="02F6B9D5" w:rsidR="00F8629C" w:rsidRDefault="009D248E" w:rsidP="00F8629C">
      <w:r>
        <w:br w:type="page"/>
      </w:r>
    </w:p>
    <w:p w14:paraId="28DC942D" w14:textId="77777777" w:rsidR="00C52CD1" w:rsidRPr="00C52CD1" w:rsidRDefault="00C52CD1" w:rsidP="001947AD">
      <w:pPr>
        <w:pStyle w:val="TitlePageSubtitle"/>
        <w:rPr>
          <w:color w:val="auto"/>
          <w:sz w:val="22"/>
          <w:szCs w:val="22"/>
        </w:rPr>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E35904" w:rsidRPr="004A453A" w14:paraId="5339E6C8" w14:textId="77777777" w:rsidTr="00E35904">
        <w:tc>
          <w:tcPr>
            <w:tcW w:w="1077" w:type="pct"/>
            <w:shd w:val="clear" w:color="auto" w:fill="E0E0E0"/>
          </w:tcPr>
          <w:p w14:paraId="312D44BC" w14:textId="77777777" w:rsidR="00E35904" w:rsidRPr="004A453A" w:rsidRDefault="00A11693" w:rsidP="008B0B7D">
            <w:pPr>
              <w:spacing w:before="60" w:after="60"/>
              <w:jc w:val="center"/>
              <w:rPr>
                <w:b/>
                <w:lang w:eastAsia="en-AU"/>
              </w:rPr>
            </w:pPr>
            <w:r>
              <w:br w:type="page"/>
            </w:r>
            <w:r w:rsidR="00E35904" w:rsidRPr="004A453A">
              <w:rPr>
                <w:b/>
                <w:lang w:eastAsia="en-AU"/>
              </w:rPr>
              <w:t>Title</w:t>
            </w:r>
          </w:p>
        </w:tc>
        <w:tc>
          <w:tcPr>
            <w:tcW w:w="3923" w:type="pct"/>
            <w:shd w:val="clear" w:color="auto" w:fill="E0E0E0"/>
          </w:tcPr>
          <w:p w14:paraId="30B2B797" w14:textId="77777777" w:rsidR="00E35904" w:rsidRPr="004A453A" w:rsidRDefault="00E35904" w:rsidP="008B0B7D">
            <w:pPr>
              <w:spacing w:before="60" w:after="60"/>
              <w:jc w:val="center"/>
              <w:rPr>
                <w:b/>
                <w:lang w:eastAsia="en-AU"/>
              </w:rPr>
            </w:pPr>
            <w:r w:rsidRPr="004A453A">
              <w:rPr>
                <w:b/>
                <w:lang w:eastAsia="en-AU"/>
              </w:rPr>
              <w:t>Scope Note</w:t>
            </w:r>
          </w:p>
        </w:tc>
      </w:tr>
      <w:tr w:rsidR="00E35904" w:rsidRPr="004A453A" w14:paraId="07A5BFE1" w14:textId="77777777" w:rsidTr="00E35904">
        <w:tc>
          <w:tcPr>
            <w:tcW w:w="1077" w:type="pct"/>
          </w:tcPr>
          <w:p w14:paraId="6F577912" w14:textId="599218CE" w:rsidR="00E35904" w:rsidRPr="00634D63" w:rsidRDefault="00274788" w:rsidP="00634D63">
            <w:pPr>
              <w:pStyle w:val="Heading1"/>
            </w:pPr>
            <w:bookmarkStart w:id="1" w:name="Text2"/>
            <w:r>
              <w:rPr>
                <w:noProof/>
              </w:rPr>
              <w:t>REGULATORY COMPLIANCE, STANDARDS, ENFORCEMENT AND RESOLUTION</w:t>
            </w:r>
            <w:bookmarkEnd w:id="1"/>
          </w:p>
        </w:tc>
        <w:tc>
          <w:tcPr>
            <w:tcW w:w="3923" w:type="pct"/>
          </w:tcPr>
          <w:p w14:paraId="09CC8F65" w14:textId="2A496970" w:rsidR="00E35904" w:rsidRPr="00E35904" w:rsidRDefault="00274788" w:rsidP="00634D63">
            <w:pPr>
              <w:pStyle w:val="Scopenote"/>
            </w:pPr>
            <w:r>
              <w:rPr>
                <w:noProof/>
              </w:rPr>
              <w:t>The core functions for ensuring appropriate standards of conduct for building and construction industry participants. This is achieved through educating and advising building industry stakeholders and practitioners, monitoring compliance with legislation and regulatory codes, undertaking investigations and taking legal action where required</w:t>
            </w:r>
          </w:p>
        </w:tc>
      </w:tr>
    </w:tbl>
    <w:p w14:paraId="7CBED853" w14:textId="77777777" w:rsidR="001947AD" w:rsidRPr="004A453A" w:rsidRDefault="001947AD" w:rsidP="001947AD">
      <w:pPr>
        <w:spacing w:before="60" w:after="6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1947AD" w:rsidRPr="004A453A" w14:paraId="3B0DE85F" w14:textId="77777777" w:rsidTr="00E35904">
        <w:tc>
          <w:tcPr>
            <w:tcW w:w="5000" w:type="pct"/>
            <w:shd w:val="clear" w:color="auto" w:fill="E0E0E0"/>
          </w:tcPr>
          <w:p w14:paraId="407DF432" w14:textId="77777777" w:rsidR="001947AD" w:rsidRPr="004A453A" w:rsidRDefault="00E35904" w:rsidP="008B0B7D">
            <w:pPr>
              <w:spacing w:before="60" w:after="60"/>
              <w:rPr>
                <w:b/>
                <w:lang w:eastAsia="en-AU"/>
              </w:rPr>
            </w:pPr>
            <w:r>
              <w:rPr>
                <w:b/>
                <w:lang w:eastAsia="en-AU"/>
              </w:rPr>
              <w:t>Activity</w:t>
            </w:r>
          </w:p>
        </w:tc>
      </w:tr>
      <w:tr w:rsidR="001947AD" w:rsidRPr="004A453A" w14:paraId="348AC74E" w14:textId="77777777" w:rsidTr="00E35904">
        <w:tc>
          <w:tcPr>
            <w:tcW w:w="5000" w:type="pct"/>
          </w:tcPr>
          <w:p w14:paraId="435B0449" w14:textId="77777777" w:rsidR="00274788" w:rsidRPr="00CB5D3E" w:rsidRDefault="00274788" w:rsidP="00274788">
            <w:pPr>
              <w:pStyle w:val="Heading2"/>
              <w:rPr>
                <w:noProof/>
              </w:rPr>
            </w:pPr>
            <w:r>
              <w:rPr>
                <w:noProof/>
              </w:rPr>
              <w:t>RESOLUTION MANAGEMENT</w:t>
            </w:r>
          </w:p>
          <w:p w14:paraId="1F9865EC" w14:textId="37109D14" w:rsidR="001947AD" w:rsidRPr="00E35904" w:rsidRDefault="00274788" w:rsidP="00274788">
            <w:pPr>
              <w:pStyle w:val="Scopenote"/>
            </w:pPr>
            <w:r>
              <w:t>The activities associated with the management of defective or incomplete building work. Includes: mediating and negotiating to resolve disputes, assessing matters and investigating case matters.</w:t>
            </w:r>
          </w:p>
        </w:tc>
      </w:tr>
    </w:tbl>
    <w:p w14:paraId="4B0CDA7F" w14:textId="77777777" w:rsidR="00E35904" w:rsidRDefault="00E35904" w:rsidP="003E5091"/>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2721"/>
        <w:gridCol w:w="10477"/>
      </w:tblGrid>
      <w:tr w:rsidR="00D45E14" w:rsidRPr="004A453A" w14:paraId="5A4F2EA2" w14:textId="77777777" w:rsidTr="00F4146B">
        <w:trPr>
          <w:tblHeader/>
        </w:trPr>
        <w:tc>
          <w:tcPr>
            <w:tcW w:w="567" w:type="pct"/>
            <w:tcBorders>
              <w:top w:val="single" w:sz="6" w:space="0" w:color="C0C0C0"/>
              <w:bottom w:val="single" w:sz="6" w:space="0" w:color="C0C0C0"/>
            </w:tcBorders>
            <w:shd w:val="clear" w:color="auto" w:fill="C0C0C0"/>
            <w:vAlign w:val="center"/>
          </w:tcPr>
          <w:p w14:paraId="472707D6" w14:textId="77777777" w:rsidR="00D45E14" w:rsidRPr="003B6B5D" w:rsidRDefault="003B6B5D" w:rsidP="00D45E14">
            <w:pPr>
              <w:pStyle w:val="Tablesub-heading"/>
              <w:rPr>
                <w:szCs w:val="22"/>
              </w:rPr>
            </w:pPr>
            <w:r w:rsidRPr="003B6B5D">
              <w:t>Disposal Authorisation</w:t>
            </w:r>
          </w:p>
        </w:tc>
        <w:tc>
          <w:tcPr>
            <w:tcW w:w="914" w:type="pct"/>
            <w:tcBorders>
              <w:top w:val="single" w:sz="6" w:space="0" w:color="C0C0C0"/>
              <w:bottom w:val="single" w:sz="6" w:space="0" w:color="C0C0C0"/>
            </w:tcBorders>
            <w:shd w:val="clear" w:color="auto" w:fill="C0C0C0"/>
            <w:vAlign w:val="center"/>
          </w:tcPr>
          <w:p w14:paraId="3F648471" w14:textId="77777777" w:rsidR="00D45E14" w:rsidRPr="004A453A" w:rsidRDefault="00B3326B" w:rsidP="00D45E14">
            <w:pPr>
              <w:pStyle w:val="Tablesub-heading"/>
            </w:pPr>
            <w:r>
              <w:t>Record class</w:t>
            </w:r>
            <w:r w:rsidR="005A4F19" w:rsidRPr="004A453A">
              <w:t xml:space="preserve"> and retention period</w:t>
            </w:r>
          </w:p>
        </w:tc>
        <w:tc>
          <w:tcPr>
            <w:tcW w:w="3519" w:type="pct"/>
            <w:tcBorders>
              <w:top w:val="single" w:sz="6" w:space="0" w:color="C0C0C0"/>
              <w:bottom w:val="single" w:sz="6" w:space="0" w:color="C0C0C0"/>
            </w:tcBorders>
            <w:shd w:val="clear" w:color="auto" w:fill="C0C0C0"/>
            <w:vAlign w:val="center"/>
          </w:tcPr>
          <w:p w14:paraId="0E39CBE1" w14:textId="77777777" w:rsidR="00D45E14" w:rsidRPr="004A453A" w:rsidRDefault="00B3326B" w:rsidP="00B3326B">
            <w:pPr>
              <w:pStyle w:val="Tablesub-heading"/>
            </w:pPr>
            <w:r>
              <w:t>Justifying</w:t>
            </w:r>
            <w:r w:rsidR="00D34390" w:rsidRPr="004A453A">
              <w:t xml:space="preserve"> </w:t>
            </w:r>
            <w:r>
              <w:t>the</w:t>
            </w:r>
            <w:r w:rsidR="00D34390" w:rsidRPr="004A453A">
              <w:t xml:space="preserve"> retention period</w:t>
            </w:r>
          </w:p>
        </w:tc>
      </w:tr>
      <w:tr w:rsidR="00D45E14" w:rsidRPr="004A453A" w14:paraId="23D8D455" w14:textId="77777777" w:rsidTr="00F4146B">
        <w:tc>
          <w:tcPr>
            <w:tcW w:w="567" w:type="pct"/>
            <w:tcBorders>
              <w:top w:val="single" w:sz="6" w:space="0" w:color="C0C0C0"/>
              <w:bottom w:val="single" w:sz="6" w:space="0" w:color="C0C0C0"/>
            </w:tcBorders>
            <w:shd w:val="clear" w:color="auto" w:fill="auto"/>
          </w:tcPr>
          <w:p w14:paraId="2ABCEA06" w14:textId="36A6D478" w:rsidR="00D45E14" w:rsidRPr="004A453A" w:rsidRDefault="004D5E0B" w:rsidP="00D45E14">
            <w:pPr>
              <w:pStyle w:val="Tablesub-heading"/>
              <w:rPr>
                <w:b w:val="0"/>
                <w:szCs w:val="22"/>
              </w:rPr>
            </w:pPr>
            <w:r>
              <w:rPr>
                <w:b w:val="0"/>
                <w:szCs w:val="22"/>
              </w:rPr>
              <w:t>2762</w:t>
            </w:r>
          </w:p>
        </w:tc>
        <w:tc>
          <w:tcPr>
            <w:tcW w:w="914" w:type="pct"/>
            <w:tcBorders>
              <w:top w:val="single" w:sz="6" w:space="0" w:color="C0C0C0"/>
              <w:bottom w:val="single" w:sz="6" w:space="0" w:color="C0C0C0"/>
            </w:tcBorders>
            <w:shd w:val="clear" w:color="auto" w:fill="auto"/>
          </w:tcPr>
          <w:p w14:paraId="618A98F8" w14:textId="77777777" w:rsidR="004A1968" w:rsidRPr="00917033" w:rsidRDefault="004A1968" w:rsidP="004A1968">
            <w:pPr>
              <w:pStyle w:val="Tablesub-heading"/>
              <w:rPr>
                <w:i/>
                <w:szCs w:val="22"/>
              </w:rPr>
            </w:pPr>
            <w:bookmarkStart w:id="2" w:name="Text6"/>
            <w:r>
              <w:rPr>
                <w:i/>
                <w:noProof/>
                <w:szCs w:val="22"/>
              </w:rPr>
              <w:t>Resolution Case Files</w:t>
            </w:r>
            <w:bookmarkEnd w:id="2"/>
          </w:p>
          <w:p w14:paraId="094B2AD9" w14:textId="77777777" w:rsidR="004A1968" w:rsidRPr="004A453A" w:rsidRDefault="004A1968" w:rsidP="004A1968">
            <w:pPr>
              <w:pStyle w:val="Tablesub-heading"/>
              <w:rPr>
                <w:szCs w:val="22"/>
              </w:rPr>
            </w:pPr>
            <w:bookmarkStart w:id="3" w:name="Text7"/>
            <w:r>
              <w:rPr>
                <w:b w:val="0"/>
                <w:noProof/>
                <w:szCs w:val="22"/>
              </w:rPr>
              <w:t>Records relating to assessing and investigating complaints concerning residential building works that are defective or not completed.  Includes matters relating to unlicensed builders.</w:t>
            </w:r>
            <w:bookmarkEnd w:id="3"/>
          </w:p>
          <w:p w14:paraId="4663895F" w14:textId="77777777" w:rsidR="00634D63" w:rsidRPr="00634D63" w:rsidRDefault="00353BFC" w:rsidP="00634D63">
            <w:pPr>
              <w:pStyle w:val="Heading2"/>
            </w:pPr>
            <w:r w:rsidRPr="00634D63">
              <w:t>Disposal action</w:t>
            </w:r>
            <w:r w:rsidR="00126822" w:rsidRPr="00634D63">
              <w:t xml:space="preserve"> </w:t>
            </w:r>
            <w:r w:rsidR="00634D63" w:rsidRPr="00634D63">
              <w:t>–</w:t>
            </w:r>
            <w:r w:rsidR="004A453A" w:rsidRPr="00634D63">
              <w:t xml:space="preserve"> </w:t>
            </w:r>
          </w:p>
          <w:p w14:paraId="7399D966" w14:textId="4D467147" w:rsidR="00B240D2" w:rsidRPr="004A453A" w:rsidRDefault="004A1968" w:rsidP="00804A7F">
            <w:pPr>
              <w:pStyle w:val="Tablesub-heading"/>
              <w:rPr>
                <w:b w:val="0"/>
              </w:rPr>
            </w:pPr>
            <w:bookmarkStart w:id="4" w:name="Text8"/>
            <w:r>
              <w:rPr>
                <w:b w:val="0"/>
                <w:noProof/>
              </w:rPr>
              <w:t>10 years after business action completed</w:t>
            </w:r>
            <w:bookmarkEnd w:id="4"/>
          </w:p>
        </w:tc>
        <w:tc>
          <w:tcPr>
            <w:tcW w:w="3519" w:type="pct"/>
            <w:tcBorders>
              <w:top w:val="single" w:sz="6" w:space="0" w:color="C0C0C0"/>
              <w:bottom w:val="single" w:sz="6" w:space="0" w:color="C0C0C0"/>
            </w:tcBorders>
            <w:shd w:val="clear" w:color="auto" w:fill="auto"/>
          </w:tcPr>
          <w:p w14:paraId="703620BA" w14:textId="400E8D73" w:rsidR="00A865C9" w:rsidRPr="004A453A" w:rsidRDefault="00A865C9" w:rsidP="00A865C9">
            <w:pPr>
              <w:pStyle w:val="Tablesub-heading"/>
              <w:rPr>
                <w:b w:val="0"/>
                <w:szCs w:val="22"/>
              </w:rPr>
            </w:pPr>
            <w:r>
              <w:t xml:space="preserve">Date authorised: </w:t>
            </w:r>
            <w:r w:rsidR="00067BF0">
              <w:rPr>
                <w:b w:val="0"/>
              </w:rPr>
              <w:t>15 December 2023</w:t>
            </w:r>
          </w:p>
          <w:p w14:paraId="67927761" w14:textId="77777777" w:rsidR="000A48A1" w:rsidRPr="00634D63" w:rsidRDefault="00917033" w:rsidP="00634D63">
            <w:pPr>
              <w:pStyle w:val="Heading2"/>
            </w:pPr>
            <w:r w:rsidRPr="00634D63">
              <w:t>Why are these records created:</w:t>
            </w:r>
          </w:p>
          <w:p w14:paraId="78DBC5B2" w14:textId="0E20D7E0" w:rsidR="004A1968" w:rsidRDefault="004A1968" w:rsidP="004A1968">
            <w:pPr>
              <w:pStyle w:val="Tablesub-heading"/>
              <w:rPr>
                <w:b w:val="0"/>
                <w:szCs w:val="22"/>
              </w:rPr>
            </w:pPr>
            <w:bookmarkStart w:id="5" w:name="Text9"/>
            <w:r>
              <w:rPr>
                <w:b w:val="0"/>
                <w:szCs w:val="22"/>
              </w:rPr>
              <w:t>C</w:t>
            </w:r>
            <w:r>
              <w:rPr>
                <w:b w:val="0"/>
                <w:noProof/>
                <w:szCs w:val="22"/>
              </w:rPr>
              <w:t>overing the activities associated with responding to customers in relation to defective work claims for residential build</w:t>
            </w:r>
            <w:r w:rsidR="0096605B">
              <w:rPr>
                <w:b w:val="0"/>
                <w:noProof/>
                <w:szCs w:val="22"/>
              </w:rPr>
              <w:t>i</w:t>
            </w:r>
            <w:r>
              <w:rPr>
                <w:b w:val="0"/>
                <w:noProof/>
                <w:szCs w:val="22"/>
              </w:rPr>
              <w:t xml:space="preserve">ngs. Includes mediating and negotiating to resolve matters, </w:t>
            </w:r>
            <w:r w:rsidRPr="00E570E2">
              <w:rPr>
                <w:rFonts w:cs="Arial"/>
                <w:b w:val="0"/>
                <w:bCs/>
                <w:szCs w:val="22"/>
              </w:rPr>
              <w:t xml:space="preserve">investigating and assessing cases, </w:t>
            </w:r>
            <w:r w:rsidRPr="00C84481">
              <w:rPr>
                <w:rFonts w:cs="Arial"/>
                <w:b w:val="0"/>
                <w:bCs/>
                <w:szCs w:val="22"/>
              </w:rPr>
              <w:t>research,</w:t>
            </w:r>
            <w:r>
              <w:rPr>
                <w:rFonts w:cs="Arial"/>
                <w:b w:val="0"/>
                <w:bCs/>
                <w:szCs w:val="22"/>
              </w:rPr>
              <w:t xml:space="preserve"> enforcing </w:t>
            </w:r>
            <w:r w:rsidRPr="00E570E2">
              <w:rPr>
                <w:rFonts w:cs="Arial"/>
                <w:b w:val="0"/>
                <w:bCs/>
                <w:szCs w:val="22"/>
              </w:rPr>
              <w:t>compliance responsibilities and providing expert technical advice</w:t>
            </w:r>
            <w:r>
              <w:rPr>
                <w:b w:val="0"/>
                <w:noProof/>
                <w:szCs w:val="22"/>
              </w:rPr>
              <w:t>.</w:t>
            </w:r>
            <w:bookmarkEnd w:id="5"/>
          </w:p>
          <w:p w14:paraId="223C46B6" w14:textId="77777777" w:rsidR="004A1968" w:rsidRDefault="004A1968" w:rsidP="004A1968">
            <w:pPr>
              <w:pStyle w:val="Tablesub-heading"/>
              <w:rPr>
                <w:b w:val="0"/>
                <w:szCs w:val="22"/>
              </w:rPr>
            </w:pPr>
            <w:r>
              <w:rPr>
                <w:b w:val="0"/>
                <w:szCs w:val="22"/>
              </w:rPr>
              <w:t>Examples of defective works includes but are not limited to:</w:t>
            </w:r>
          </w:p>
          <w:p w14:paraId="7D717022" w14:textId="77777777" w:rsidR="004A1968" w:rsidRPr="00D0795C" w:rsidRDefault="004A1968" w:rsidP="00500F64">
            <w:pPr>
              <w:pStyle w:val="Tablesub-heading"/>
              <w:numPr>
                <w:ilvl w:val="0"/>
                <w:numId w:val="9"/>
              </w:numPr>
              <w:rPr>
                <w:b w:val="0"/>
                <w:szCs w:val="22"/>
              </w:rPr>
            </w:pPr>
            <w:r>
              <w:rPr>
                <w:b w:val="0"/>
                <w:szCs w:val="22"/>
              </w:rPr>
              <w:t xml:space="preserve">The design of a </w:t>
            </w:r>
            <w:r>
              <w:rPr>
                <w:b w:val="0"/>
              </w:rPr>
              <w:t>building.</w:t>
            </w:r>
          </w:p>
          <w:p w14:paraId="03E7B527" w14:textId="77777777" w:rsidR="004A1968" w:rsidRDefault="004A1968" w:rsidP="00500F64">
            <w:pPr>
              <w:pStyle w:val="Tablesub-heading"/>
              <w:numPr>
                <w:ilvl w:val="0"/>
                <w:numId w:val="9"/>
              </w:numPr>
              <w:rPr>
                <w:b w:val="0"/>
                <w:szCs w:val="22"/>
              </w:rPr>
            </w:pPr>
            <w:r>
              <w:rPr>
                <w:b w:val="0"/>
                <w:szCs w:val="22"/>
              </w:rPr>
              <w:t>Inadequate or incorrect site drainage.</w:t>
            </w:r>
          </w:p>
          <w:p w14:paraId="6B1D42C0" w14:textId="77777777" w:rsidR="004A1968" w:rsidRDefault="004A1968" w:rsidP="00500F64">
            <w:pPr>
              <w:pStyle w:val="Tablesub-heading"/>
              <w:numPr>
                <w:ilvl w:val="0"/>
                <w:numId w:val="9"/>
              </w:numPr>
              <w:rPr>
                <w:b w:val="0"/>
                <w:szCs w:val="22"/>
              </w:rPr>
            </w:pPr>
            <w:r>
              <w:rPr>
                <w:b w:val="0"/>
                <w:szCs w:val="22"/>
              </w:rPr>
              <w:t>Extensive cracking or dislodgement of floor or wall tiles.</w:t>
            </w:r>
          </w:p>
          <w:p w14:paraId="5C96B8AF" w14:textId="77777777" w:rsidR="004A1968" w:rsidRDefault="004A1968" w:rsidP="00500F64">
            <w:pPr>
              <w:pStyle w:val="Tablesub-heading"/>
              <w:numPr>
                <w:ilvl w:val="0"/>
                <w:numId w:val="9"/>
              </w:numPr>
              <w:rPr>
                <w:b w:val="0"/>
                <w:szCs w:val="22"/>
              </w:rPr>
            </w:pPr>
            <w:r>
              <w:rPr>
                <w:b w:val="0"/>
                <w:szCs w:val="22"/>
              </w:rPr>
              <w:t>Leaks in roofs, showers, doors, windows or walls.</w:t>
            </w:r>
          </w:p>
          <w:p w14:paraId="1D37F202" w14:textId="77777777" w:rsidR="004A1968" w:rsidRPr="00D0795C" w:rsidRDefault="004A1968" w:rsidP="00500F64">
            <w:pPr>
              <w:pStyle w:val="Tablesub-heading"/>
              <w:numPr>
                <w:ilvl w:val="0"/>
                <w:numId w:val="9"/>
              </w:numPr>
              <w:rPr>
                <w:b w:val="0"/>
                <w:szCs w:val="22"/>
              </w:rPr>
            </w:pPr>
            <w:r w:rsidRPr="00D0795C">
              <w:rPr>
                <w:b w:val="0"/>
                <w:szCs w:val="22"/>
              </w:rPr>
              <w:t xml:space="preserve">Defective building work </w:t>
            </w:r>
            <w:r>
              <w:rPr>
                <w:b w:val="0"/>
                <w:szCs w:val="22"/>
              </w:rPr>
              <w:t xml:space="preserve">that is both </w:t>
            </w:r>
            <w:r w:rsidRPr="00D0795C">
              <w:rPr>
                <w:b w:val="0"/>
              </w:rPr>
              <w:t>before</w:t>
            </w:r>
            <w:r w:rsidRPr="00D0795C">
              <w:rPr>
                <w:b w:val="0"/>
                <w:szCs w:val="22"/>
              </w:rPr>
              <w:t> and</w:t>
            </w:r>
            <w:r w:rsidRPr="00D0795C">
              <w:rPr>
                <w:b w:val="0"/>
              </w:rPr>
              <w:t xml:space="preserve"> after </w:t>
            </w:r>
            <w:r>
              <w:rPr>
                <w:b w:val="0"/>
              </w:rPr>
              <w:t xml:space="preserve">the </w:t>
            </w:r>
            <w:r w:rsidRPr="00D0795C">
              <w:rPr>
                <w:b w:val="0"/>
              </w:rPr>
              <w:t>contract is complete</w:t>
            </w:r>
            <w:r>
              <w:rPr>
                <w:b w:val="0"/>
              </w:rPr>
              <w:t>.</w:t>
            </w:r>
          </w:p>
          <w:p w14:paraId="064C07CE" w14:textId="77777777" w:rsidR="004A1968" w:rsidRPr="00D0795C" w:rsidRDefault="004A1968" w:rsidP="00500F64">
            <w:pPr>
              <w:pStyle w:val="Tablesub-heading"/>
              <w:numPr>
                <w:ilvl w:val="0"/>
                <w:numId w:val="9"/>
              </w:numPr>
              <w:rPr>
                <w:b w:val="0"/>
                <w:szCs w:val="22"/>
              </w:rPr>
            </w:pPr>
            <w:r w:rsidRPr="00D0795C">
              <w:rPr>
                <w:b w:val="0"/>
              </w:rPr>
              <w:t>Incomplete work</w:t>
            </w:r>
            <w:r w:rsidRPr="00D0795C">
              <w:rPr>
                <w:b w:val="0"/>
                <w:szCs w:val="22"/>
              </w:rPr>
              <w:t> due to bankruptcy, liquidation</w:t>
            </w:r>
            <w:r>
              <w:rPr>
                <w:b w:val="0"/>
                <w:szCs w:val="22"/>
              </w:rPr>
              <w:t xml:space="preserve">, death or the </w:t>
            </w:r>
            <w:r w:rsidRPr="00D0795C">
              <w:rPr>
                <w:b w:val="0"/>
                <w:szCs w:val="22"/>
              </w:rPr>
              <w:t xml:space="preserve">contractor not holding a </w:t>
            </w:r>
            <w:r>
              <w:rPr>
                <w:b w:val="0"/>
                <w:szCs w:val="22"/>
              </w:rPr>
              <w:t xml:space="preserve">                           </w:t>
            </w:r>
            <w:r w:rsidRPr="00D0795C">
              <w:rPr>
                <w:b w:val="0"/>
                <w:szCs w:val="22"/>
              </w:rPr>
              <w:t>current licence</w:t>
            </w:r>
            <w:r>
              <w:rPr>
                <w:b w:val="0"/>
                <w:szCs w:val="22"/>
              </w:rPr>
              <w:t>.</w:t>
            </w:r>
            <w:r w:rsidRPr="00D0795C">
              <w:rPr>
                <w:b w:val="0"/>
                <w:szCs w:val="22"/>
              </w:rPr>
              <w:t xml:space="preserve"> </w:t>
            </w:r>
          </w:p>
          <w:p w14:paraId="2DD40B7B" w14:textId="77777777" w:rsidR="004A1968" w:rsidRPr="00D0795C" w:rsidRDefault="004A1968" w:rsidP="00500F64">
            <w:pPr>
              <w:pStyle w:val="Tablesub-heading"/>
              <w:numPr>
                <w:ilvl w:val="0"/>
                <w:numId w:val="9"/>
              </w:numPr>
              <w:rPr>
                <w:b w:val="0"/>
                <w:szCs w:val="22"/>
              </w:rPr>
            </w:pPr>
            <w:r>
              <w:rPr>
                <w:b w:val="0"/>
                <w:szCs w:val="22"/>
              </w:rPr>
              <w:lastRenderedPageBreak/>
              <w:t>Property damage</w:t>
            </w:r>
            <w:r w:rsidRPr="00D0795C">
              <w:rPr>
                <w:b w:val="0"/>
                <w:szCs w:val="22"/>
              </w:rPr>
              <w:t xml:space="preserve"> caused by building work carried out on a neighbouring property</w:t>
            </w:r>
            <w:r>
              <w:rPr>
                <w:b w:val="0"/>
                <w:szCs w:val="22"/>
              </w:rPr>
              <w:t>.</w:t>
            </w:r>
          </w:p>
          <w:p w14:paraId="3AC93684" w14:textId="77777777" w:rsidR="004A1968" w:rsidRDefault="004A1968" w:rsidP="00500F64">
            <w:pPr>
              <w:pStyle w:val="Tablesub-heading"/>
              <w:numPr>
                <w:ilvl w:val="0"/>
                <w:numId w:val="9"/>
              </w:numPr>
              <w:rPr>
                <w:b w:val="0"/>
                <w:szCs w:val="22"/>
              </w:rPr>
            </w:pPr>
            <w:r w:rsidRPr="00D0795C">
              <w:rPr>
                <w:b w:val="0"/>
              </w:rPr>
              <w:t>A pre-purchase or pest inspection report </w:t>
            </w:r>
            <w:r w:rsidRPr="00D0795C">
              <w:rPr>
                <w:b w:val="0"/>
                <w:szCs w:val="22"/>
              </w:rPr>
              <w:t>that did not identify possible defects</w:t>
            </w:r>
            <w:r>
              <w:rPr>
                <w:b w:val="0"/>
                <w:szCs w:val="22"/>
              </w:rPr>
              <w:t>.</w:t>
            </w:r>
          </w:p>
          <w:p w14:paraId="78FAAF28" w14:textId="7596B83D" w:rsidR="001562E1" w:rsidRPr="004A453A" w:rsidRDefault="004A1968" w:rsidP="004A1968">
            <w:pPr>
              <w:pStyle w:val="Tablesub-heading"/>
              <w:rPr>
                <w:b w:val="0"/>
                <w:szCs w:val="22"/>
              </w:rPr>
            </w:pPr>
            <w:r>
              <w:rPr>
                <w:b w:val="0"/>
                <w:szCs w:val="22"/>
              </w:rPr>
              <w:t xml:space="preserve">When </w:t>
            </w:r>
            <w:r w:rsidRPr="008F48D4">
              <w:rPr>
                <w:b w:val="0"/>
                <w:szCs w:val="22"/>
              </w:rPr>
              <w:t>the defective work</w:t>
            </w:r>
            <w:r>
              <w:rPr>
                <w:b w:val="0"/>
                <w:szCs w:val="22"/>
              </w:rPr>
              <w:t xml:space="preserve"> has been </w:t>
            </w:r>
            <w:r w:rsidRPr="008F48D4">
              <w:rPr>
                <w:b w:val="0"/>
                <w:szCs w:val="22"/>
              </w:rPr>
              <w:t xml:space="preserve">investigated, a decision </w:t>
            </w:r>
            <w:r>
              <w:rPr>
                <w:b w:val="0"/>
                <w:szCs w:val="22"/>
              </w:rPr>
              <w:t xml:space="preserve">will be made </w:t>
            </w:r>
            <w:r w:rsidRPr="008F48D4">
              <w:rPr>
                <w:b w:val="0"/>
                <w:szCs w:val="22"/>
              </w:rPr>
              <w:t xml:space="preserve">whether </w:t>
            </w:r>
            <w:r>
              <w:rPr>
                <w:b w:val="0"/>
                <w:szCs w:val="22"/>
              </w:rPr>
              <w:t xml:space="preserve">to </w:t>
            </w:r>
            <w:r w:rsidRPr="008F48D4">
              <w:rPr>
                <w:b w:val="0"/>
                <w:szCs w:val="22"/>
              </w:rPr>
              <w:t xml:space="preserve">issue a </w:t>
            </w:r>
            <w:r>
              <w:rPr>
                <w:b w:val="0"/>
                <w:szCs w:val="22"/>
              </w:rPr>
              <w:t xml:space="preserve">                                                     </w:t>
            </w:r>
            <w:r w:rsidRPr="008F48D4">
              <w:rPr>
                <w:b w:val="0"/>
                <w:szCs w:val="22"/>
              </w:rPr>
              <w:t>formal Direction to Rectify</w:t>
            </w:r>
            <w:r>
              <w:rPr>
                <w:b w:val="0"/>
                <w:szCs w:val="22"/>
              </w:rPr>
              <w:t xml:space="preserve"> to the complainant </w:t>
            </w:r>
            <w:r w:rsidRPr="008F48D4">
              <w:rPr>
                <w:b w:val="0"/>
                <w:szCs w:val="22"/>
              </w:rPr>
              <w:t xml:space="preserve">and any </w:t>
            </w:r>
            <w:r>
              <w:rPr>
                <w:b w:val="0"/>
                <w:szCs w:val="22"/>
              </w:rPr>
              <w:t xml:space="preserve">contracted builder / </w:t>
            </w:r>
            <w:r w:rsidRPr="008F48D4">
              <w:rPr>
                <w:b w:val="0"/>
                <w:szCs w:val="22"/>
              </w:rPr>
              <w:t>subcontracto</w:t>
            </w:r>
            <w:r>
              <w:rPr>
                <w:b w:val="0"/>
                <w:szCs w:val="22"/>
              </w:rPr>
              <w:t>r.</w:t>
            </w:r>
          </w:p>
          <w:p w14:paraId="441E9974" w14:textId="77777777" w:rsidR="001E27B1" w:rsidRPr="00634D63" w:rsidRDefault="001E27B1" w:rsidP="00634D63">
            <w:pPr>
              <w:pStyle w:val="Heading2"/>
            </w:pPr>
            <w:r w:rsidRPr="00634D63">
              <w:t>Why the records are retained for this retention period:</w:t>
            </w:r>
          </w:p>
          <w:p w14:paraId="1222CC7F" w14:textId="7367BFEA" w:rsidR="004A1968" w:rsidRDefault="004A1968" w:rsidP="004A1968">
            <w:pPr>
              <w:pStyle w:val="Tablesub-heading"/>
              <w:rPr>
                <w:b w:val="0"/>
                <w:szCs w:val="22"/>
              </w:rPr>
            </w:pPr>
            <w:bookmarkStart w:id="6" w:name="Text11"/>
            <w:r w:rsidRPr="009A33B0">
              <w:rPr>
                <w:b w:val="0"/>
                <w:i/>
                <w:iCs/>
                <w:noProof/>
                <w:szCs w:val="22"/>
              </w:rPr>
              <w:t>QBCC Act 1991, s72A(4)</w:t>
            </w:r>
            <w:r>
              <w:rPr>
                <w:b w:val="0"/>
                <w:noProof/>
                <w:szCs w:val="22"/>
              </w:rPr>
              <w:t xml:space="preserve"> caps claims at 6 years and 6 months unless extended.  </w:t>
            </w:r>
            <w:bookmarkEnd w:id="6"/>
            <w:r>
              <w:rPr>
                <w:b w:val="0"/>
                <w:szCs w:val="22"/>
              </w:rPr>
              <w:t xml:space="preserve"> </w:t>
            </w:r>
          </w:p>
          <w:p w14:paraId="5C0BDF2E" w14:textId="282958CA" w:rsidR="004A1968" w:rsidRDefault="004A1968" w:rsidP="004A1968">
            <w:pPr>
              <w:pStyle w:val="Heading2"/>
              <w:rPr>
                <w:rFonts w:ascii="Arial" w:hAnsi="Arial" w:cs="Arial"/>
                <w:b w:val="0"/>
                <w:bCs/>
              </w:rPr>
            </w:pPr>
            <w:r>
              <w:rPr>
                <w:rFonts w:ascii="Arial" w:hAnsi="Arial" w:cs="Arial"/>
                <w:b w:val="0"/>
                <w:bCs/>
              </w:rPr>
              <w:t xml:space="preserve">A </w:t>
            </w:r>
            <w:r w:rsidRPr="00D065FD">
              <w:rPr>
                <w:rFonts w:ascii="Arial" w:hAnsi="Arial" w:cs="Arial"/>
                <w:b w:val="0"/>
                <w:bCs/>
              </w:rPr>
              <w:t>10</w:t>
            </w:r>
            <w:r>
              <w:rPr>
                <w:rFonts w:ascii="Arial" w:hAnsi="Arial" w:cs="Arial"/>
                <w:b w:val="0"/>
                <w:bCs/>
              </w:rPr>
              <w:t>-year retention</w:t>
            </w:r>
            <w:r w:rsidRPr="00211D94">
              <w:rPr>
                <w:rFonts w:ascii="Arial" w:hAnsi="Arial" w:cs="Arial"/>
                <w:b w:val="0"/>
                <w:bCs/>
              </w:rPr>
              <w:t xml:space="preserve"> period ensures that the records are available in the event of any legal claims </w:t>
            </w:r>
            <w:r>
              <w:rPr>
                <w:rFonts w:ascii="Arial" w:hAnsi="Arial" w:cs="Arial"/>
                <w:b w:val="0"/>
                <w:bCs/>
              </w:rPr>
              <w:t xml:space="preserve">                                                                 </w:t>
            </w:r>
            <w:r w:rsidRPr="00211D94">
              <w:rPr>
                <w:rFonts w:ascii="Arial" w:hAnsi="Arial" w:cs="Arial"/>
                <w:b w:val="0"/>
                <w:bCs/>
              </w:rPr>
              <w:t xml:space="preserve">brought in accordance with </w:t>
            </w:r>
            <w:r w:rsidRPr="00E76ECD">
              <w:rPr>
                <w:rFonts w:ascii="Arial" w:hAnsi="Arial" w:cs="Arial"/>
                <w:b w:val="0"/>
                <w:bCs/>
              </w:rPr>
              <w:t>s.10 of the</w:t>
            </w:r>
            <w:r w:rsidRPr="009A33B0">
              <w:rPr>
                <w:rFonts w:ascii="Arial" w:hAnsi="Arial" w:cs="Arial"/>
                <w:b w:val="0"/>
                <w:bCs/>
                <w:i/>
                <w:iCs/>
              </w:rPr>
              <w:t xml:space="preserve"> Limitation of Actions Act 1974.</w:t>
            </w:r>
            <w:r w:rsidRPr="00211D94">
              <w:rPr>
                <w:rFonts w:ascii="Arial" w:hAnsi="Arial" w:cs="Arial"/>
                <w:b w:val="0"/>
                <w:bCs/>
              </w:rPr>
              <w:t xml:space="preserve"> </w:t>
            </w:r>
          </w:p>
          <w:p w14:paraId="4E7DC6A5" w14:textId="77777777" w:rsidR="004A1968" w:rsidRDefault="004A1968" w:rsidP="004A1968">
            <w:pPr>
              <w:pStyle w:val="Heading2"/>
              <w:rPr>
                <w:rFonts w:ascii="Arial" w:hAnsi="Arial" w:cs="Arial"/>
                <w:b w:val="0"/>
                <w:bCs/>
              </w:rPr>
            </w:pPr>
            <w:r>
              <w:rPr>
                <w:rFonts w:ascii="Arial" w:hAnsi="Arial" w:cs="Arial"/>
                <w:b w:val="0"/>
                <w:bCs/>
              </w:rPr>
              <w:t>The 10-year retention period supports the decisions of the business by providing evidence of actions taken and ensures that records are available for a sufficient period of time to be referred back to if so required.</w:t>
            </w:r>
          </w:p>
          <w:p w14:paraId="290B1FF7" w14:textId="77777777" w:rsidR="00CE6024" w:rsidRPr="00634D63" w:rsidRDefault="0041477C" w:rsidP="00634D63">
            <w:pPr>
              <w:pStyle w:val="Heading2"/>
            </w:pPr>
            <w:r w:rsidRPr="00634D63">
              <w:t>Applicable legislation/standards:</w:t>
            </w:r>
          </w:p>
          <w:p w14:paraId="185B6400" w14:textId="60CA3873" w:rsidR="0041477C" w:rsidRPr="004A1968" w:rsidRDefault="004A1968" w:rsidP="004A1968">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r>
              <w:rPr>
                <w:rFonts w:ascii="Arial" w:hAnsi="Arial" w:cs="Arial"/>
                <w:b w:val="0"/>
                <w:noProof/>
                <w:szCs w:val="22"/>
              </w:rPr>
              <w:t>.</w:t>
            </w:r>
          </w:p>
          <w:p w14:paraId="05180049" w14:textId="77777777" w:rsidR="00D45E14" w:rsidRPr="00634D63" w:rsidRDefault="00CE6024" w:rsidP="00634D63">
            <w:pPr>
              <w:pStyle w:val="Heading2"/>
            </w:pPr>
            <w:r w:rsidRPr="00634D63">
              <w:t>Co</w:t>
            </w:r>
            <w:r w:rsidR="0098281F" w:rsidRPr="00634D63">
              <w:t>mparison</w:t>
            </w:r>
            <w:r w:rsidRPr="00634D63">
              <w:t xml:space="preserve"> with other schedules</w:t>
            </w:r>
            <w:r w:rsidR="00DA4234" w:rsidRPr="00634D63">
              <w:t>' retention period</w:t>
            </w:r>
            <w:r w:rsidRPr="00634D63">
              <w:t xml:space="preserve">: </w:t>
            </w:r>
          </w:p>
          <w:p w14:paraId="2EF5318C" w14:textId="77777777" w:rsidR="004A1968" w:rsidRPr="00FE28CC" w:rsidRDefault="004A1968" w:rsidP="00FE28CC">
            <w:pPr>
              <w:pStyle w:val="Tablesub-heading"/>
              <w:rPr>
                <w:b w:val="0"/>
                <w:i/>
                <w:iCs/>
                <w:noProof/>
                <w:szCs w:val="22"/>
              </w:rPr>
            </w:pPr>
            <w:bookmarkStart w:id="7" w:name="Text14"/>
            <w:r w:rsidRPr="003A01B4">
              <w:rPr>
                <w:b w:val="0"/>
                <w:i/>
                <w:iCs/>
                <w:noProof/>
                <w:szCs w:val="22"/>
              </w:rPr>
              <w:t>PROS 20/01, Victorian Building Authority (VBA), 2.3</w:t>
            </w:r>
            <w:r w:rsidRPr="00FE28CC">
              <w:rPr>
                <w:b w:val="0"/>
                <w:i/>
                <w:iCs/>
                <w:noProof/>
                <w:szCs w:val="22"/>
              </w:rPr>
              <w:t xml:space="preserve"> – Compliance, Investigations, Disciplinary Action, Reviews – Retain for 10 years - as issued by the Public Record Office Victoria (PROV).</w:t>
            </w:r>
            <w:bookmarkEnd w:id="7"/>
          </w:p>
          <w:p w14:paraId="0F7AA4B3" w14:textId="1772CD10" w:rsidR="004A1968" w:rsidRPr="00FE28CC" w:rsidRDefault="004A1968" w:rsidP="004A1968">
            <w:pPr>
              <w:pStyle w:val="Tablesub-heading"/>
              <w:rPr>
                <w:b w:val="0"/>
                <w:i/>
                <w:iCs/>
                <w:noProof/>
                <w:szCs w:val="22"/>
              </w:rPr>
            </w:pPr>
            <w:r w:rsidRPr="003A01B4">
              <w:rPr>
                <w:b w:val="0"/>
                <w:i/>
                <w:iCs/>
                <w:noProof/>
                <w:szCs w:val="22"/>
              </w:rPr>
              <w:t>RA 2019/00447636 for the Australian Building and Construction Commission</w:t>
            </w:r>
            <w:r w:rsidRPr="00FE28CC">
              <w:rPr>
                <w:b w:val="0"/>
                <w:i/>
                <w:iCs/>
                <w:noProof/>
                <w:szCs w:val="22"/>
              </w:rPr>
              <w:t xml:space="preserve"> (ABCC), 62698, Investigation cases (Site Visits, Photographs, Notices Issued, Enforcable Undertakings) – Retain for 7 years after last action - as issued by the National Archives of Australia (NAA).</w:t>
            </w:r>
          </w:p>
          <w:p w14:paraId="13E3BBE1" w14:textId="77777777" w:rsidR="000A48A1" w:rsidRPr="00634D63" w:rsidRDefault="000A48A1" w:rsidP="00634D63">
            <w:pPr>
              <w:pStyle w:val="Heading2"/>
            </w:pPr>
            <w:r w:rsidRPr="00634D63">
              <w:t>Previous schedule</w:t>
            </w:r>
            <w:r w:rsidR="00F21209" w:rsidRPr="00634D63">
              <w:t xml:space="preserve"> references</w:t>
            </w:r>
            <w:r w:rsidR="006E4AAB" w:rsidRPr="00634D63">
              <w:t>:</w:t>
            </w:r>
          </w:p>
          <w:p w14:paraId="2ECE898B" w14:textId="77777777" w:rsidR="004A1968" w:rsidRDefault="004A1968" w:rsidP="004A1968">
            <w:pPr>
              <w:pStyle w:val="Heading2"/>
              <w:shd w:val="clear" w:color="auto" w:fill="FFFFFF"/>
              <w:rPr>
                <w:rFonts w:ascii="Arial" w:hAnsi="Arial" w:cs="Arial"/>
                <w:b w:val="0"/>
                <w:i/>
                <w:iCs/>
                <w:noProof/>
                <w:szCs w:val="22"/>
              </w:rPr>
            </w:pPr>
            <w:r w:rsidRPr="00370029">
              <w:rPr>
                <w:rFonts w:ascii="Arial" w:hAnsi="Arial" w:cs="Arial"/>
                <w:b w:val="0"/>
                <w:i/>
                <w:iCs/>
                <w:noProof/>
                <w:szCs w:val="22"/>
              </w:rPr>
              <w:t>QDAN 185 v.2 Queensland Building and Construction Commission retention and disposal schedule</w:t>
            </w:r>
            <w:r>
              <w:rPr>
                <w:rFonts w:ascii="Arial" w:hAnsi="Arial" w:cs="Arial"/>
                <w:b w:val="0"/>
                <w:i/>
                <w:iCs/>
                <w:noProof/>
                <w:szCs w:val="22"/>
              </w:rPr>
              <w:t xml:space="preserve">: </w:t>
            </w:r>
          </w:p>
          <w:p w14:paraId="447F75F5" w14:textId="5FDF1528" w:rsidR="004A1968" w:rsidRDefault="004A1968" w:rsidP="00500F64">
            <w:pPr>
              <w:pStyle w:val="Heading2"/>
              <w:numPr>
                <w:ilvl w:val="0"/>
                <w:numId w:val="11"/>
              </w:numPr>
              <w:shd w:val="clear" w:color="auto" w:fill="FFFFFF"/>
              <w:rPr>
                <w:rFonts w:ascii="Arial" w:hAnsi="Arial" w:cs="Arial"/>
                <w:b w:val="0"/>
                <w:noProof/>
                <w:szCs w:val="22"/>
              </w:rPr>
            </w:pPr>
            <w:r w:rsidRPr="00370029">
              <w:rPr>
                <w:rFonts w:ascii="Arial" w:hAnsi="Arial" w:cs="Arial"/>
                <w:b w:val="0"/>
                <w:noProof/>
                <w:szCs w:val="22"/>
              </w:rPr>
              <w:t>Resolution case files – insurance related – retain for 12 years after last action and finalisation of all appeals processes</w:t>
            </w:r>
          </w:p>
          <w:p w14:paraId="22AB61EF" w14:textId="68DD1763" w:rsidR="00C2502E" w:rsidRPr="004A453A" w:rsidRDefault="004A1968" w:rsidP="00500F64">
            <w:pPr>
              <w:pStyle w:val="Tablesub-heading"/>
              <w:numPr>
                <w:ilvl w:val="0"/>
                <w:numId w:val="10"/>
              </w:numPr>
              <w:rPr>
                <w:b w:val="0"/>
                <w:szCs w:val="22"/>
              </w:rPr>
            </w:pPr>
            <w:r w:rsidRPr="00370029">
              <w:rPr>
                <w:rFonts w:cs="Arial"/>
                <w:b w:val="0"/>
                <w:noProof/>
                <w:szCs w:val="22"/>
              </w:rPr>
              <w:t>1.1.2 – Resolution case files – not insurance related – retain for 10 years after resolution application is received</w:t>
            </w:r>
          </w:p>
        </w:tc>
      </w:tr>
      <w:tr w:rsidR="008A36E5" w:rsidRPr="004A453A" w14:paraId="409D751C" w14:textId="77777777" w:rsidTr="00F4146B">
        <w:tc>
          <w:tcPr>
            <w:tcW w:w="567" w:type="pct"/>
            <w:tcBorders>
              <w:top w:val="single" w:sz="6" w:space="0" w:color="C0C0C0"/>
              <w:bottom w:val="single" w:sz="6" w:space="0" w:color="C0C0C0"/>
            </w:tcBorders>
            <w:shd w:val="clear" w:color="auto" w:fill="auto"/>
          </w:tcPr>
          <w:p w14:paraId="505697CC" w14:textId="65A6E975" w:rsidR="008A36E5" w:rsidRPr="004A453A" w:rsidRDefault="007F51EB" w:rsidP="008A36E5">
            <w:pPr>
              <w:pStyle w:val="Tablesub-heading"/>
              <w:rPr>
                <w:b w:val="0"/>
                <w:szCs w:val="22"/>
              </w:rPr>
            </w:pPr>
            <w:r>
              <w:rPr>
                <w:b w:val="0"/>
                <w:szCs w:val="22"/>
              </w:rPr>
              <w:lastRenderedPageBreak/>
              <w:t>2763</w:t>
            </w:r>
          </w:p>
        </w:tc>
        <w:tc>
          <w:tcPr>
            <w:tcW w:w="914" w:type="pct"/>
            <w:tcBorders>
              <w:top w:val="single" w:sz="6" w:space="0" w:color="C0C0C0"/>
              <w:bottom w:val="single" w:sz="6" w:space="0" w:color="C0C0C0"/>
            </w:tcBorders>
            <w:shd w:val="clear" w:color="auto" w:fill="auto"/>
          </w:tcPr>
          <w:p w14:paraId="71DAF421" w14:textId="77777777" w:rsidR="00897B3C" w:rsidRPr="00917033" w:rsidRDefault="00897B3C" w:rsidP="00897B3C">
            <w:pPr>
              <w:pStyle w:val="Tablesub-heading"/>
              <w:rPr>
                <w:i/>
                <w:szCs w:val="22"/>
              </w:rPr>
            </w:pPr>
            <w:r>
              <w:rPr>
                <w:i/>
                <w:noProof/>
                <w:szCs w:val="22"/>
              </w:rPr>
              <w:t>Resolution Case Files – Not Proceeded With</w:t>
            </w:r>
          </w:p>
          <w:p w14:paraId="149BBD9C" w14:textId="6C55C2D3" w:rsidR="00B3326B" w:rsidRDefault="00897B3C" w:rsidP="008A36E5">
            <w:pPr>
              <w:pStyle w:val="Tablesub-heading"/>
              <w:rPr>
                <w:b w:val="0"/>
                <w:szCs w:val="22"/>
              </w:rPr>
            </w:pPr>
            <w:r>
              <w:rPr>
                <w:b w:val="0"/>
                <w:noProof/>
                <w:szCs w:val="22"/>
              </w:rPr>
              <w:t>Records relating to matters concerning building works issues and claims that do not proceed to being a formal case.</w:t>
            </w:r>
          </w:p>
          <w:p w14:paraId="35C5C949" w14:textId="77777777" w:rsidR="00634D63" w:rsidRPr="00634D63" w:rsidRDefault="00634D63" w:rsidP="00634D63">
            <w:pPr>
              <w:pStyle w:val="Heading2"/>
            </w:pPr>
            <w:r w:rsidRPr="00634D63">
              <w:t xml:space="preserve">Disposal action – </w:t>
            </w:r>
          </w:p>
          <w:p w14:paraId="7FC7D786" w14:textId="3E7DB76A" w:rsidR="008A36E5" w:rsidRPr="004A453A" w:rsidRDefault="00897B3C" w:rsidP="008A36E5">
            <w:pPr>
              <w:pStyle w:val="Tablesub-heading"/>
              <w:rPr>
                <w:b w:val="0"/>
              </w:rPr>
            </w:pPr>
            <w:r>
              <w:rPr>
                <w:b w:val="0"/>
                <w:noProof/>
              </w:rPr>
              <w:t>2 years after business action completed</w:t>
            </w:r>
          </w:p>
        </w:tc>
        <w:tc>
          <w:tcPr>
            <w:tcW w:w="3519" w:type="pct"/>
            <w:tcBorders>
              <w:top w:val="single" w:sz="6" w:space="0" w:color="C0C0C0"/>
              <w:bottom w:val="single" w:sz="6" w:space="0" w:color="C0C0C0"/>
            </w:tcBorders>
            <w:shd w:val="clear" w:color="auto" w:fill="auto"/>
          </w:tcPr>
          <w:p w14:paraId="30A42000" w14:textId="4E3F4563" w:rsidR="00F8629C" w:rsidRPr="004A453A" w:rsidRDefault="00F8629C" w:rsidP="00F8629C">
            <w:pPr>
              <w:pStyle w:val="Tablesub-heading"/>
              <w:rPr>
                <w:b w:val="0"/>
                <w:szCs w:val="22"/>
              </w:rPr>
            </w:pPr>
            <w:r>
              <w:t xml:space="preserve">Date authorised: </w:t>
            </w:r>
            <w:r w:rsidR="00067BF0">
              <w:rPr>
                <w:b w:val="0"/>
              </w:rPr>
              <w:t>15 December 2023</w:t>
            </w:r>
          </w:p>
          <w:p w14:paraId="236C5E44" w14:textId="77777777" w:rsidR="001B21B9" w:rsidRPr="00634D63" w:rsidRDefault="001B21B9" w:rsidP="00634D63">
            <w:pPr>
              <w:pStyle w:val="Heading2"/>
            </w:pPr>
            <w:r w:rsidRPr="00634D63">
              <w:t>Why are these records created:</w:t>
            </w:r>
          </w:p>
          <w:p w14:paraId="172D5F6A" w14:textId="77777777" w:rsidR="00897B3C" w:rsidRPr="00D828FE" w:rsidRDefault="00897B3C" w:rsidP="00897B3C">
            <w:pPr>
              <w:spacing w:before="120" w:after="60"/>
              <w:jc w:val="both"/>
              <w:rPr>
                <w:rFonts w:cs="Arial"/>
                <w:szCs w:val="22"/>
              </w:rPr>
            </w:pPr>
            <w:r w:rsidRPr="00D828FE">
              <w:rPr>
                <w:rFonts w:cs="Arial"/>
                <w:szCs w:val="22"/>
              </w:rPr>
              <w:t>This covers records relating to proposed resolution cases that for various reasons do not proceed</w:t>
            </w:r>
            <w:r>
              <w:rPr>
                <w:rFonts w:cs="Arial"/>
                <w:szCs w:val="22"/>
              </w:rPr>
              <w:t xml:space="preserve"> to the resolution stage</w:t>
            </w:r>
            <w:r w:rsidRPr="00D828FE">
              <w:rPr>
                <w:rFonts w:cs="Arial"/>
                <w:szCs w:val="22"/>
              </w:rPr>
              <w:t>.</w:t>
            </w:r>
          </w:p>
          <w:p w14:paraId="42B22E90" w14:textId="77777777" w:rsidR="00897B3C" w:rsidRDefault="00897B3C" w:rsidP="00897B3C">
            <w:pPr>
              <w:spacing w:before="120" w:after="60"/>
              <w:jc w:val="both"/>
              <w:rPr>
                <w:rFonts w:cs="Arial"/>
                <w:szCs w:val="22"/>
              </w:rPr>
            </w:pPr>
            <w:r w:rsidRPr="00D828FE">
              <w:rPr>
                <w:rFonts w:cs="Arial"/>
                <w:szCs w:val="22"/>
              </w:rPr>
              <w:t>A case may not proceed in instances where</w:t>
            </w:r>
            <w:r>
              <w:rPr>
                <w:rFonts w:cs="Arial"/>
                <w:szCs w:val="22"/>
              </w:rPr>
              <w:t>:</w:t>
            </w:r>
          </w:p>
          <w:p w14:paraId="48B127F9" w14:textId="6E64749E" w:rsidR="00897B3C" w:rsidRPr="00BF6538" w:rsidRDefault="00897B3C" w:rsidP="00500F64">
            <w:pPr>
              <w:numPr>
                <w:ilvl w:val="2"/>
                <w:numId w:val="12"/>
              </w:numPr>
              <w:tabs>
                <w:tab w:val="num" w:pos="755"/>
              </w:tabs>
              <w:spacing w:before="120" w:after="60"/>
              <w:ind w:left="1039" w:hanging="709"/>
              <w:jc w:val="both"/>
              <w:rPr>
                <w:rFonts w:cs="Arial"/>
                <w:szCs w:val="22"/>
              </w:rPr>
            </w:pPr>
            <w:r>
              <w:rPr>
                <w:rFonts w:cs="Arial"/>
                <w:szCs w:val="22"/>
              </w:rPr>
              <w:t>W</w:t>
            </w:r>
            <w:r w:rsidRPr="00D828FE">
              <w:rPr>
                <w:rFonts w:cs="Arial"/>
                <w:szCs w:val="22"/>
              </w:rPr>
              <w:t xml:space="preserve">orks are outside the </w:t>
            </w:r>
            <w:r>
              <w:rPr>
                <w:rFonts w:cs="Arial"/>
                <w:szCs w:val="22"/>
              </w:rPr>
              <w:t xml:space="preserve">scope </w:t>
            </w:r>
            <w:r w:rsidRPr="00D828FE">
              <w:rPr>
                <w:rFonts w:cs="Arial"/>
                <w:szCs w:val="22"/>
              </w:rPr>
              <w:t xml:space="preserve">of the </w:t>
            </w:r>
            <w:r w:rsidRPr="00D828FE">
              <w:rPr>
                <w:rFonts w:cs="Arial"/>
                <w:i/>
                <w:szCs w:val="22"/>
              </w:rPr>
              <w:t xml:space="preserve">Queensland Building </w:t>
            </w:r>
            <w:r>
              <w:rPr>
                <w:rFonts w:cs="Arial"/>
                <w:i/>
                <w:szCs w:val="22"/>
              </w:rPr>
              <w:t xml:space="preserve">and Construction Commission </w:t>
            </w:r>
            <w:r w:rsidRPr="00D828FE">
              <w:rPr>
                <w:rFonts w:cs="Arial"/>
                <w:i/>
                <w:szCs w:val="22"/>
              </w:rPr>
              <w:t>Act 1991</w:t>
            </w:r>
          </w:p>
          <w:p w14:paraId="4F57573E" w14:textId="77777777" w:rsidR="00897B3C" w:rsidRDefault="00897B3C" w:rsidP="00500F64">
            <w:pPr>
              <w:numPr>
                <w:ilvl w:val="2"/>
                <w:numId w:val="12"/>
              </w:numPr>
              <w:tabs>
                <w:tab w:val="num" w:pos="755"/>
              </w:tabs>
              <w:spacing w:before="120" w:after="60"/>
              <w:ind w:left="1039" w:hanging="709"/>
              <w:jc w:val="both"/>
              <w:rPr>
                <w:rFonts w:cs="Arial"/>
                <w:szCs w:val="22"/>
              </w:rPr>
            </w:pPr>
            <w:r>
              <w:rPr>
                <w:rFonts w:cs="Arial"/>
                <w:szCs w:val="22"/>
              </w:rPr>
              <w:t>P</w:t>
            </w:r>
            <w:r w:rsidRPr="00D828FE">
              <w:rPr>
                <w:rFonts w:cs="Arial"/>
                <w:szCs w:val="22"/>
              </w:rPr>
              <w:t xml:space="preserve">arties reach </w:t>
            </w:r>
            <w:r>
              <w:rPr>
                <w:rFonts w:cs="Arial"/>
                <w:szCs w:val="22"/>
              </w:rPr>
              <w:t xml:space="preserve">an </w:t>
            </w:r>
            <w:r w:rsidRPr="00D828FE">
              <w:rPr>
                <w:rFonts w:cs="Arial"/>
                <w:szCs w:val="22"/>
              </w:rPr>
              <w:t xml:space="preserve">equitable </w:t>
            </w:r>
            <w:r>
              <w:rPr>
                <w:rFonts w:cs="Arial"/>
                <w:szCs w:val="22"/>
              </w:rPr>
              <w:t>agreement / conclusion.</w:t>
            </w:r>
          </w:p>
          <w:p w14:paraId="64BAD2EB" w14:textId="77777777" w:rsidR="00897B3C" w:rsidRPr="00D828FE" w:rsidRDefault="00897B3C" w:rsidP="00500F64">
            <w:pPr>
              <w:numPr>
                <w:ilvl w:val="2"/>
                <w:numId w:val="12"/>
              </w:numPr>
              <w:tabs>
                <w:tab w:val="num" w:pos="755"/>
              </w:tabs>
              <w:spacing w:before="120" w:after="60"/>
              <w:ind w:left="1039" w:hanging="709"/>
              <w:jc w:val="both"/>
              <w:rPr>
                <w:rFonts w:cs="Arial"/>
                <w:szCs w:val="22"/>
              </w:rPr>
            </w:pPr>
            <w:r>
              <w:rPr>
                <w:rFonts w:cs="Arial"/>
                <w:szCs w:val="22"/>
              </w:rPr>
              <w:t>T</w:t>
            </w:r>
            <w:r w:rsidRPr="00D828FE">
              <w:rPr>
                <w:rFonts w:cs="Arial"/>
                <w:szCs w:val="22"/>
              </w:rPr>
              <w:t>he owner withdraws the complaint before commence</w:t>
            </w:r>
            <w:r>
              <w:rPr>
                <w:rFonts w:cs="Arial"/>
                <w:szCs w:val="22"/>
              </w:rPr>
              <w:t xml:space="preserve">ment of </w:t>
            </w:r>
            <w:r w:rsidRPr="00D828FE">
              <w:rPr>
                <w:rFonts w:cs="Arial"/>
                <w:szCs w:val="22"/>
              </w:rPr>
              <w:t>the resolution process.</w:t>
            </w:r>
          </w:p>
          <w:p w14:paraId="6E3A62B3" w14:textId="77777777" w:rsidR="00897B3C" w:rsidRPr="0096605B" w:rsidRDefault="00897B3C" w:rsidP="0096605B">
            <w:pPr>
              <w:pStyle w:val="Tablesub-heading"/>
              <w:numPr>
                <w:ilvl w:val="0"/>
                <w:numId w:val="13"/>
              </w:numPr>
              <w:shd w:val="clear" w:color="auto" w:fill="FFFFFF"/>
              <w:rPr>
                <w:b w:val="0"/>
                <w:szCs w:val="22"/>
              </w:rPr>
            </w:pPr>
            <w:r w:rsidRPr="0096605B">
              <w:rPr>
                <w:b w:val="0"/>
                <w:szCs w:val="22"/>
              </w:rPr>
              <w:t xml:space="preserve">An owner is required to lodge a fresh complaint form if they want to reopen a withdrawn case or a case that has not been proceeded with. </w:t>
            </w:r>
          </w:p>
          <w:p w14:paraId="5124B9EB" w14:textId="77777777" w:rsidR="001B21B9" w:rsidRPr="00634D63" w:rsidRDefault="001B21B9" w:rsidP="00634D63">
            <w:pPr>
              <w:pStyle w:val="Heading2"/>
            </w:pPr>
            <w:r w:rsidRPr="00634D63">
              <w:t>Why the records are retained for this retention period:</w:t>
            </w:r>
          </w:p>
          <w:p w14:paraId="16D83942" w14:textId="77777777" w:rsidR="00897B3C" w:rsidRPr="00D932D4" w:rsidRDefault="00897B3C" w:rsidP="00897B3C">
            <w:pPr>
              <w:pStyle w:val="Heading2"/>
              <w:rPr>
                <w:rFonts w:ascii="Arial" w:hAnsi="Arial" w:cs="Arial"/>
                <w:b w:val="0"/>
                <w:bCs/>
                <w:szCs w:val="22"/>
              </w:rPr>
            </w:pPr>
            <w:r w:rsidRPr="00057427">
              <w:rPr>
                <w:rFonts w:ascii="Arial" w:hAnsi="Arial" w:cs="Arial"/>
                <w:b w:val="0"/>
                <w:bCs/>
                <w:szCs w:val="22"/>
              </w:rPr>
              <w:t>A case may not proceed in instances where the works are outside the remit of the QBCC, parties reach an equitable solution, or the owner withdraws the complaint before the QBCC commences the resolution process. An owner is required to lodge a fresh complaint if they want to open a withdrawn case or one that has not been proceeded with.  The recommended retention period is therefore appropriate for reference to cases that do not proceed</w:t>
            </w:r>
            <w:r w:rsidRPr="00057427">
              <w:rPr>
                <w:rFonts w:ascii="Arial" w:hAnsi="Arial" w:cs="Arial"/>
                <w:b w:val="0"/>
                <w:bCs/>
              </w:rPr>
              <w:t>.</w:t>
            </w:r>
            <w:r>
              <w:rPr>
                <w:rFonts w:ascii="Arial" w:hAnsi="Arial" w:cs="Arial"/>
                <w:b w:val="0"/>
                <w:bCs/>
              </w:rPr>
              <w:t xml:space="preserve"> </w:t>
            </w:r>
          </w:p>
          <w:p w14:paraId="7813B06F" w14:textId="77777777" w:rsidR="001B21B9" w:rsidRPr="00634D63" w:rsidRDefault="001B21B9" w:rsidP="00634D63">
            <w:pPr>
              <w:pStyle w:val="Heading2"/>
            </w:pPr>
            <w:r w:rsidRPr="00634D63">
              <w:t>Applicable legislation/standards:</w:t>
            </w:r>
          </w:p>
          <w:p w14:paraId="5F3FA1C5" w14:textId="77777777" w:rsidR="00897B3C" w:rsidRPr="00C66CC8" w:rsidRDefault="00897B3C" w:rsidP="00897B3C">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r>
              <w:rPr>
                <w:rFonts w:ascii="Arial" w:hAnsi="Arial" w:cs="Arial"/>
                <w:b w:val="0"/>
                <w:noProof/>
                <w:szCs w:val="22"/>
              </w:rPr>
              <w:t>.</w:t>
            </w:r>
          </w:p>
          <w:p w14:paraId="41FADEBF" w14:textId="77777777" w:rsidR="001B21B9" w:rsidRPr="00634D63" w:rsidRDefault="001B21B9" w:rsidP="00634D63">
            <w:pPr>
              <w:pStyle w:val="Heading2"/>
            </w:pPr>
            <w:r w:rsidRPr="00C03EB0">
              <w:t>Comparison with other schedules' retention period:</w:t>
            </w:r>
            <w:r w:rsidRPr="00634D63">
              <w:t xml:space="preserve"> </w:t>
            </w:r>
          </w:p>
          <w:p w14:paraId="50402AC4" w14:textId="623FACB6" w:rsidR="001B21B9" w:rsidRPr="004A453A" w:rsidRDefault="00D03750" w:rsidP="001B21B9">
            <w:pPr>
              <w:pStyle w:val="Tablesub-heading"/>
              <w:rPr>
                <w:b w:val="0"/>
                <w:szCs w:val="22"/>
              </w:rPr>
            </w:pPr>
            <w:r w:rsidRPr="00C27A21">
              <w:rPr>
                <w:b w:val="0"/>
                <w:i/>
                <w:iCs/>
                <w:noProof/>
                <w:szCs w:val="22"/>
              </w:rPr>
              <w:t>General Retention and Diposal Schedule</w:t>
            </w:r>
            <w:r>
              <w:rPr>
                <w:b w:val="0"/>
                <w:noProof/>
                <w:szCs w:val="22"/>
              </w:rPr>
              <w:t xml:space="preserve"> (GRDS) – 1265 Projects that do not proceed – 2 years after business action completed. </w:t>
            </w:r>
          </w:p>
          <w:p w14:paraId="708966F5" w14:textId="77777777" w:rsidR="001B21B9" w:rsidRPr="00634D63" w:rsidRDefault="001B21B9" w:rsidP="00634D63">
            <w:pPr>
              <w:pStyle w:val="Heading2"/>
            </w:pPr>
            <w:r w:rsidRPr="00634D63">
              <w:t>Previous schedule references:</w:t>
            </w:r>
          </w:p>
          <w:p w14:paraId="623FB206" w14:textId="5B3BE265" w:rsidR="008A36E5" w:rsidRPr="004A453A" w:rsidRDefault="00BE4B8C" w:rsidP="001B21B9">
            <w:pPr>
              <w:pStyle w:val="Tablesub-heading"/>
              <w:rPr>
                <w:b w:val="0"/>
                <w:szCs w:val="22"/>
              </w:rPr>
            </w:pPr>
            <w:r w:rsidRPr="00370029">
              <w:rPr>
                <w:rFonts w:cs="Arial"/>
                <w:b w:val="0"/>
                <w:i/>
                <w:iCs/>
                <w:noProof/>
                <w:szCs w:val="22"/>
              </w:rPr>
              <w:t>QDAN 185 v.2 Queensland Building and Construction Commission retention and disposal schedule</w:t>
            </w:r>
            <w:r>
              <w:rPr>
                <w:rFonts w:cs="Arial"/>
                <w:b w:val="0"/>
                <w:noProof/>
                <w:szCs w:val="22"/>
              </w:rPr>
              <w:t xml:space="preserve"> - </w:t>
            </w:r>
            <w:r w:rsidRPr="001D441A">
              <w:rPr>
                <w:rFonts w:cs="Arial"/>
                <w:b w:val="0"/>
                <w:noProof/>
                <w:szCs w:val="22"/>
              </w:rPr>
              <w:t>1.1.3</w:t>
            </w:r>
            <w:r>
              <w:rPr>
                <w:rFonts w:cs="Arial"/>
                <w:b w:val="0"/>
                <w:noProof/>
                <w:szCs w:val="22"/>
              </w:rPr>
              <w:t xml:space="preserve"> Resolution case files – not proceeded with – retain for 2 years after last action</w:t>
            </w:r>
          </w:p>
        </w:tc>
      </w:tr>
    </w:tbl>
    <w:p w14:paraId="73A28058" w14:textId="77777777" w:rsidR="00F8629C" w:rsidRDefault="00F8629C" w:rsidP="00C52CD1">
      <w:r>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F8629C" w:rsidRPr="004A453A" w14:paraId="1A5193C9" w14:textId="77777777" w:rsidTr="00941840">
        <w:tc>
          <w:tcPr>
            <w:tcW w:w="5000" w:type="pct"/>
            <w:shd w:val="clear" w:color="auto" w:fill="E0E0E0"/>
          </w:tcPr>
          <w:p w14:paraId="3C22B39E" w14:textId="77777777" w:rsidR="00F8629C" w:rsidRPr="004A453A" w:rsidRDefault="00F8629C" w:rsidP="00941840">
            <w:pPr>
              <w:spacing w:before="60" w:after="60"/>
              <w:rPr>
                <w:b/>
                <w:lang w:eastAsia="en-AU"/>
              </w:rPr>
            </w:pPr>
            <w:r>
              <w:rPr>
                <w:b/>
                <w:lang w:eastAsia="en-AU"/>
              </w:rPr>
              <w:lastRenderedPageBreak/>
              <w:t>Activity</w:t>
            </w:r>
          </w:p>
        </w:tc>
      </w:tr>
      <w:tr w:rsidR="00F8629C" w:rsidRPr="004A453A" w14:paraId="66BDDFAD" w14:textId="77777777" w:rsidTr="00941840">
        <w:tc>
          <w:tcPr>
            <w:tcW w:w="5000" w:type="pct"/>
          </w:tcPr>
          <w:p w14:paraId="517487DC" w14:textId="77777777" w:rsidR="00B030ED" w:rsidRPr="00601B78" w:rsidRDefault="00B030ED" w:rsidP="00B030ED">
            <w:pPr>
              <w:rPr>
                <w:b/>
              </w:rPr>
            </w:pPr>
            <w:r w:rsidRPr="00601B78">
              <w:rPr>
                <w:b/>
                <w:noProof/>
              </w:rPr>
              <w:t>BUILDING PRODUCT STANDARDS</w:t>
            </w:r>
          </w:p>
          <w:p w14:paraId="469F4243" w14:textId="49F47E2D" w:rsidR="00F8629C" w:rsidRPr="00E35904" w:rsidRDefault="00B030ED" w:rsidP="00B030ED">
            <w:pPr>
              <w:pStyle w:val="Scopenote"/>
            </w:pPr>
            <w:r>
              <w:rPr>
                <w:rFonts w:cs="Arial"/>
                <w:szCs w:val="22"/>
              </w:rPr>
              <w:t>The a</w:t>
            </w:r>
            <w:r w:rsidRPr="00601B78">
              <w:rPr>
                <w:rFonts w:cs="Arial"/>
                <w:szCs w:val="22"/>
              </w:rPr>
              <w:t xml:space="preserve">ctivity of regulating building products to protect consumer safety and ensuring those involved in the production, supply and installation of building products are held responsible for the safety of the products and their use. This includes undertaking preliminary assessments to </w:t>
            </w:r>
            <w:r>
              <w:rPr>
                <w:rFonts w:cs="Arial"/>
                <w:szCs w:val="22"/>
              </w:rPr>
              <w:t xml:space="preserve">determine </w:t>
            </w:r>
            <w:r w:rsidRPr="00601B78">
              <w:rPr>
                <w:rFonts w:cs="Arial"/>
                <w:szCs w:val="22"/>
              </w:rPr>
              <w:t>the safety risk of the potential non-conforming building product (NCBP) and utilising investigative powers to enter buildings</w:t>
            </w:r>
            <w:r>
              <w:rPr>
                <w:rFonts w:cs="Arial"/>
                <w:szCs w:val="22"/>
              </w:rPr>
              <w:t>, work sites etc.</w:t>
            </w:r>
            <w:r w:rsidRPr="00601B78">
              <w:rPr>
                <w:rFonts w:cs="Arial"/>
                <w:szCs w:val="22"/>
              </w:rPr>
              <w:t xml:space="preserve"> and gather evidence in accordance with s.74AB of the Queensland Building &amp; Construction Commission Act 1991.</w:t>
            </w:r>
          </w:p>
        </w:tc>
      </w:tr>
    </w:tbl>
    <w:p w14:paraId="1D3AD9CC" w14:textId="77777777" w:rsidR="00F8629C" w:rsidRDefault="00F8629C"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2721"/>
        <w:gridCol w:w="10477"/>
      </w:tblGrid>
      <w:tr w:rsidR="00F8629C" w:rsidRPr="004A453A" w14:paraId="438DA7B8" w14:textId="77777777" w:rsidTr="00384B0E">
        <w:trPr>
          <w:tblHeader/>
        </w:trPr>
        <w:tc>
          <w:tcPr>
            <w:tcW w:w="567" w:type="pct"/>
            <w:tcBorders>
              <w:top w:val="single" w:sz="6" w:space="0" w:color="C0C0C0"/>
              <w:bottom w:val="single" w:sz="6" w:space="0" w:color="C0C0C0"/>
            </w:tcBorders>
            <w:shd w:val="clear" w:color="auto" w:fill="C0C0C0"/>
            <w:vAlign w:val="center"/>
          </w:tcPr>
          <w:p w14:paraId="75C23ACD" w14:textId="77777777" w:rsidR="00F8629C" w:rsidRPr="003B6B5D" w:rsidRDefault="00F8629C" w:rsidP="00941840">
            <w:pPr>
              <w:pStyle w:val="Tablesub-heading"/>
              <w:rPr>
                <w:szCs w:val="22"/>
              </w:rPr>
            </w:pPr>
            <w:r w:rsidRPr="003B6B5D">
              <w:t>Disposal Authorisation</w:t>
            </w:r>
          </w:p>
        </w:tc>
        <w:tc>
          <w:tcPr>
            <w:tcW w:w="914" w:type="pct"/>
            <w:tcBorders>
              <w:top w:val="single" w:sz="6" w:space="0" w:color="C0C0C0"/>
              <w:bottom w:val="single" w:sz="6" w:space="0" w:color="C0C0C0"/>
            </w:tcBorders>
            <w:shd w:val="clear" w:color="auto" w:fill="C0C0C0"/>
            <w:vAlign w:val="center"/>
          </w:tcPr>
          <w:p w14:paraId="3756C68E" w14:textId="77777777" w:rsidR="00F8629C" w:rsidRPr="004A453A" w:rsidRDefault="00F8629C" w:rsidP="00941840">
            <w:pPr>
              <w:pStyle w:val="Tablesub-heading"/>
            </w:pPr>
            <w:r>
              <w:t>Record class</w:t>
            </w:r>
            <w:r w:rsidRPr="004A453A">
              <w:t xml:space="preserve"> and retention period</w:t>
            </w:r>
          </w:p>
        </w:tc>
        <w:tc>
          <w:tcPr>
            <w:tcW w:w="3519" w:type="pct"/>
            <w:tcBorders>
              <w:top w:val="single" w:sz="6" w:space="0" w:color="C0C0C0"/>
              <w:bottom w:val="single" w:sz="6" w:space="0" w:color="C0C0C0"/>
            </w:tcBorders>
            <w:shd w:val="clear" w:color="auto" w:fill="C0C0C0"/>
            <w:vAlign w:val="center"/>
          </w:tcPr>
          <w:p w14:paraId="170C07A3" w14:textId="77777777" w:rsidR="00F8629C" w:rsidRPr="004A453A" w:rsidRDefault="00F8629C" w:rsidP="00941840">
            <w:pPr>
              <w:pStyle w:val="Tablesub-heading"/>
            </w:pPr>
            <w:r>
              <w:t>Justifying</w:t>
            </w:r>
            <w:r w:rsidRPr="004A453A">
              <w:t xml:space="preserve"> </w:t>
            </w:r>
            <w:r>
              <w:t>the</w:t>
            </w:r>
            <w:r w:rsidRPr="004A453A">
              <w:t xml:space="preserve"> retention period</w:t>
            </w:r>
          </w:p>
        </w:tc>
      </w:tr>
      <w:tr w:rsidR="00F8629C" w:rsidRPr="004A453A" w14:paraId="2AD475BC" w14:textId="77777777" w:rsidTr="00384B0E">
        <w:tc>
          <w:tcPr>
            <w:tcW w:w="567" w:type="pct"/>
            <w:tcBorders>
              <w:top w:val="single" w:sz="6" w:space="0" w:color="C0C0C0"/>
              <w:bottom w:val="single" w:sz="6" w:space="0" w:color="C0C0C0"/>
            </w:tcBorders>
            <w:shd w:val="clear" w:color="auto" w:fill="auto"/>
          </w:tcPr>
          <w:p w14:paraId="2C681DD4" w14:textId="45D1E372" w:rsidR="00F8629C" w:rsidRPr="004A453A" w:rsidRDefault="003E566F" w:rsidP="00941840">
            <w:pPr>
              <w:pStyle w:val="Tablesub-heading"/>
              <w:rPr>
                <w:b w:val="0"/>
                <w:szCs w:val="22"/>
              </w:rPr>
            </w:pPr>
            <w:bookmarkStart w:id="8" w:name="_Hlk146110898"/>
            <w:r>
              <w:rPr>
                <w:b w:val="0"/>
                <w:szCs w:val="22"/>
              </w:rPr>
              <w:t>2764</w:t>
            </w:r>
          </w:p>
        </w:tc>
        <w:tc>
          <w:tcPr>
            <w:tcW w:w="914" w:type="pct"/>
            <w:tcBorders>
              <w:top w:val="single" w:sz="6" w:space="0" w:color="C0C0C0"/>
              <w:bottom w:val="single" w:sz="6" w:space="0" w:color="C0C0C0"/>
            </w:tcBorders>
            <w:shd w:val="clear" w:color="auto" w:fill="auto"/>
          </w:tcPr>
          <w:p w14:paraId="2425CE35" w14:textId="77777777" w:rsidR="00B030ED" w:rsidRDefault="00B030ED" w:rsidP="00B030ED">
            <w:pPr>
              <w:pStyle w:val="Heading3"/>
              <w:rPr>
                <w:noProof/>
              </w:rPr>
            </w:pPr>
            <w:r>
              <w:rPr>
                <w:noProof/>
              </w:rPr>
              <w:t>Building Product Assessments, Complaints and Investigations – Non-Conforming Building Products - Significant</w:t>
            </w:r>
          </w:p>
          <w:p w14:paraId="6D6E6CCB" w14:textId="73E2DA58" w:rsidR="00B030ED" w:rsidRPr="00A7221E" w:rsidRDefault="00B030ED" w:rsidP="00B030ED">
            <w:pPr>
              <w:pStyle w:val="Tablesub-heading"/>
              <w:rPr>
                <w:rFonts w:cs="Arial"/>
                <w:b w:val="0"/>
                <w:szCs w:val="22"/>
              </w:rPr>
            </w:pPr>
            <w:r>
              <w:rPr>
                <w:b w:val="0"/>
                <w:noProof/>
                <w:szCs w:val="22"/>
              </w:rPr>
              <w:t>Records</w:t>
            </w:r>
            <w:r w:rsidRPr="00797953">
              <w:rPr>
                <w:rFonts w:cs="Arial"/>
                <w:b w:val="0"/>
                <w:szCs w:val="22"/>
              </w:rPr>
              <w:t xml:space="preserve"> relating </w:t>
            </w:r>
            <w:r>
              <w:rPr>
                <w:rFonts w:cs="Arial"/>
                <w:b w:val="0"/>
                <w:szCs w:val="22"/>
              </w:rPr>
              <w:t xml:space="preserve">to </w:t>
            </w:r>
            <w:r w:rsidRPr="00797953">
              <w:rPr>
                <w:rFonts w:cs="Arial"/>
                <w:b w:val="0"/>
                <w:szCs w:val="22"/>
              </w:rPr>
              <w:t>the management of matters that involves major investigation and/or significant action</w:t>
            </w:r>
            <w:r w:rsidR="00F01510">
              <w:rPr>
                <w:rFonts w:cs="Arial"/>
                <w:b w:val="0"/>
                <w:szCs w:val="22"/>
              </w:rPr>
              <w:t xml:space="preserve"> </w:t>
            </w:r>
            <w:r w:rsidR="00F01510" w:rsidRPr="00A7221E">
              <w:rPr>
                <w:rFonts w:cs="Arial"/>
                <w:b w:val="0"/>
                <w:szCs w:val="22"/>
              </w:rPr>
              <w:t xml:space="preserve">that: </w:t>
            </w:r>
          </w:p>
          <w:p w14:paraId="60DF4EFD" w14:textId="44515797" w:rsidR="00F01510" w:rsidRPr="00A7221E" w:rsidRDefault="00F01510" w:rsidP="0036510D">
            <w:pPr>
              <w:pStyle w:val="Tablesub-heading"/>
              <w:numPr>
                <w:ilvl w:val="0"/>
                <w:numId w:val="36"/>
              </w:numPr>
              <w:rPr>
                <w:rFonts w:cs="Arial"/>
                <w:b w:val="0"/>
                <w:szCs w:val="22"/>
              </w:rPr>
            </w:pPr>
            <w:r w:rsidRPr="00A7221E">
              <w:rPr>
                <w:rFonts w:cs="Arial"/>
                <w:b w:val="0"/>
                <w:szCs w:val="22"/>
              </w:rPr>
              <w:t>Create a precedent</w:t>
            </w:r>
          </w:p>
          <w:p w14:paraId="39647E8D" w14:textId="1AD94BBE" w:rsidR="00F01510" w:rsidRPr="00A7221E" w:rsidRDefault="00F01510" w:rsidP="0036510D">
            <w:pPr>
              <w:pStyle w:val="Tablesub-heading"/>
              <w:numPr>
                <w:ilvl w:val="0"/>
                <w:numId w:val="36"/>
              </w:numPr>
              <w:rPr>
                <w:rFonts w:cs="Arial"/>
                <w:b w:val="0"/>
                <w:szCs w:val="22"/>
              </w:rPr>
            </w:pPr>
            <w:r w:rsidRPr="00A7221E">
              <w:rPr>
                <w:rFonts w:cs="Arial"/>
                <w:b w:val="0"/>
                <w:szCs w:val="22"/>
              </w:rPr>
              <w:t>Lead to major changes to policies and procedures</w:t>
            </w:r>
          </w:p>
          <w:p w14:paraId="4E651AA5" w14:textId="77777777" w:rsidR="00F8629C" w:rsidRPr="00634D63" w:rsidRDefault="00F8629C" w:rsidP="00941840">
            <w:pPr>
              <w:pStyle w:val="Heading2"/>
            </w:pPr>
            <w:r w:rsidRPr="00634D63">
              <w:t xml:space="preserve">Disposal action – </w:t>
            </w:r>
          </w:p>
          <w:p w14:paraId="17BC09FB" w14:textId="6C49E12E" w:rsidR="00F8629C" w:rsidRPr="004A453A" w:rsidRDefault="00B030ED" w:rsidP="00941840">
            <w:pPr>
              <w:pStyle w:val="Tablesub-heading"/>
              <w:rPr>
                <w:b w:val="0"/>
              </w:rPr>
            </w:pPr>
            <w:r w:rsidRPr="007F0BAC">
              <w:rPr>
                <w:rFonts w:cs="Arial"/>
                <w:b w:val="0"/>
                <w:szCs w:val="22"/>
              </w:rPr>
              <w:t>Permanent. Transfer to QSA after business action completed</w:t>
            </w:r>
          </w:p>
        </w:tc>
        <w:tc>
          <w:tcPr>
            <w:tcW w:w="3519" w:type="pct"/>
            <w:tcBorders>
              <w:top w:val="single" w:sz="6" w:space="0" w:color="C0C0C0"/>
              <w:bottom w:val="single" w:sz="6" w:space="0" w:color="C0C0C0"/>
            </w:tcBorders>
            <w:shd w:val="clear" w:color="auto" w:fill="auto"/>
          </w:tcPr>
          <w:p w14:paraId="23D79416" w14:textId="25B9510A" w:rsidR="00F8629C" w:rsidRPr="004A453A" w:rsidRDefault="00F8629C" w:rsidP="00941840">
            <w:pPr>
              <w:pStyle w:val="Tablesub-heading"/>
              <w:rPr>
                <w:b w:val="0"/>
                <w:szCs w:val="22"/>
              </w:rPr>
            </w:pPr>
            <w:r>
              <w:t xml:space="preserve">Date authorised: </w:t>
            </w:r>
            <w:r w:rsidR="00067BF0">
              <w:rPr>
                <w:b w:val="0"/>
              </w:rPr>
              <w:t>15 December 2023</w:t>
            </w:r>
          </w:p>
          <w:p w14:paraId="2058E8C9" w14:textId="77777777" w:rsidR="00F8629C" w:rsidRPr="00634D63" w:rsidRDefault="00F8629C" w:rsidP="00941840">
            <w:pPr>
              <w:pStyle w:val="Heading2"/>
            </w:pPr>
            <w:r w:rsidRPr="00634D63">
              <w:t>Why are these records created:</w:t>
            </w:r>
          </w:p>
          <w:p w14:paraId="72AF7C69" w14:textId="0ADF3746" w:rsidR="00B030ED" w:rsidRPr="00523937" w:rsidRDefault="00F01510" w:rsidP="00B030ED">
            <w:pPr>
              <w:pStyle w:val="Tablesub-heading"/>
              <w:shd w:val="clear" w:color="auto" w:fill="FFFFFF"/>
              <w:rPr>
                <w:b w:val="0"/>
                <w:szCs w:val="22"/>
              </w:rPr>
            </w:pPr>
            <w:r w:rsidRPr="00A7221E">
              <w:rPr>
                <w:b w:val="0"/>
                <w:szCs w:val="22"/>
              </w:rPr>
              <w:t xml:space="preserve">The purpose of building product compliance is to prevent sub-standard building materials from getting into the supply chain. </w:t>
            </w:r>
            <w:r w:rsidR="00B030ED" w:rsidRPr="00523937">
              <w:rPr>
                <w:b w:val="0"/>
                <w:szCs w:val="22"/>
              </w:rPr>
              <w:t xml:space="preserve">A non-conforming building product </w:t>
            </w:r>
            <w:r w:rsidR="00B030ED" w:rsidRPr="006F1D11">
              <w:rPr>
                <w:b w:val="0"/>
                <w:szCs w:val="22"/>
              </w:rPr>
              <w:t>(NCBP)</w:t>
            </w:r>
            <w:r w:rsidR="00B030ED">
              <w:rPr>
                <w:b w:val="0"/>
                <w:szCs w:val="22"/>
              </w:rPr>
              <w:t xml:space="preserve"> </w:t>
            </w:r>
            <w:r w:rsidR="00B030ED" w:rsidRPr="00523937">
              <w:rPr>
                <w:b w:val="0"/>
                <w:szCs w:val="22"/>
              </w:rPr>
              <w:t>is a building product that:</w:t>
            </w:r>
          </w:p>
          <w:p w14:paraId="5144C593" w14:textId="77777777" w:rsidR="00B030ED" w:rsidRPr="00523937" w:rsidRDefault="00B030ED" w:rsidP="00500F64">
            <w:pPr>
              <w:pStyle w:val="Tablesub-heading"/>
              <w:numPr>
                <w:ilvl w:val="0"/>
                <w:numId w:val="13"/>
              </w:numPr>
              <w:shd w:val="clear" w:color="auto" w:fill="FFFFFF"/>
              <w:rPr>
                <w:b w:val="0"/>
                <w:szCs w:val="22"/>
              </w:rPr>
            </w:pPr>
            <w:r w:rsidRPr="00523937">
              <w:rPr>
                <w:b w:val="0"/>
                <w:szCs w:val="22"/>
              </w:rPr>
              <w:t>Is not, or will not be safe; or</w:t>
            </w:r>
          </w:p>
          <w:p w14:paraId="565C74F0" w14:textId="77777777" w:rsidR="00B030ED" w:rsidRPr="006F1D11" w:rsidRDefault="00B030ED" w:rsidP="00500F64">
            <w:pPr>
              <w:pStyle w:val="Tablesub-heading"/>
              <w:numPr>
                <w:ilvl w:val="0"/>
                <w:numId w:val="13"/>
              </w:numPr>
              <w:shd w:val="clear" w:color="auto" w:fill="FFFFFF"/>
              <w:rPr>
                <w:b w:val="0"/>
                <w:szCs w:val="22"/>
              </w:rPr>
            </w:pPr>
            <w:r w:rsidRPr="006F1D11">
              <w:rPr>
                <w:b w:val="0"/>
                <w:szCs w:val="22"/>
              </w:rPr>
              <w:t>Does not, or will not, comply with the relevant regulatory provisions</w:t>
            </w:r>
            <w:r>
              <w:rPr>
                <w:b w:val="0"/>
                <w:szCs w:val="22"/>
              </w:rPr>
              <w:t xml:space="preserve"> </w:t>
            </w:r>
            <w:r w:rsidRPr="006F1D11">
              <w:rPr>
                <w:b w:val="0"/>
                <w:szCs w:val="22"/>
              </w:rPr>
              <w:t>or</w:t>
            </w:r>
            <w:r>
              <w:rPr>
                <w:b w:val="0"/>
                <w:szCs w:val="22"/>
              </w:rPr>
              <w:t xml:space="preserve"> standards; or</w:t>
            </w:r>
          </w:p>
          <w:p w14:paraId="33FF018A" w14:textId="4275379B" w:rsidR="00B030ED" w:rsidRPr="005C758D" w:rsidRDefault="00B030ED" w:rsidP="00500F64">
            <w:pPr>
              <w:pStyle w:val="Tablesub-heading"/>
              <w:numPr>
                <w:ilvl w:val="0"/>
                <w:numId w:val="13"/>
              </w:numPr>
              <w:shd w:val="clear" w:color="auto" w:fill="FFFFFF"/>
              <w:rPr>
                <w:b w:val="0"/>
                <w:szCs w:val="22"/>
              </w:rPr>
            </w:pPr>
            <w:r w:rsidRPr="006F1D11">
              <w:rPr>
                <w:b w:val="0"/>
                <w:szCs w:val="22"/>
              </w:rPr>
              <w:t>The product does not perform, or is not capable of performing, for use to the standard it is</w:t>
            </w:r>
            <w:r>
              <w:rPr>
                <w:b w:val="0"/>
                <w:szCs w:val="22"/>
              </w:rPr>
              <w:t xml:space="preserve"> </w:t>
            </w:r>
            <w:r w:rsidRPr="005C758D">
              <w:rPr>
                <w:b w:val="0"/>
                <w:szCs w:val="22"/>
              </w:rPr>
              <w:t>represented to perform by or for a person in the chain of responsibility for the product.</w:t>
            </w:r>
          </w:p>
          <w:p w14:paraId="58EAE99E" w14:textId="77777777" w:rsidR="00B030ED" w:rsidRDefault="00B030ED" w:rsidP="00B030ED">
            <w:pPr>
              <w:pStyle w:val="Tablesub-heading"/>
              <w:shd w:val="clear" w:color="auto" w:fill="FFFFFF"/>
              <w:rPr>
                <w:b w:val="0"/>
                <w:szCs w:val="22"/>
              </w:rPr>
            </w:pPr>
            <w:r w:rsidRPr="006F1D11">
              <w:rPr>
                <w:b w:val="0"/>
                <w:szCs w:val="22"/>
              </w:rPr>
              <w:t>When the QBCC is made aware of a potential non-conforming building product, the Commission will undertake a preliminary assessment to consider the safety risk of the potential NCBP and respond based on the level of risk.</w:t>
            </w:r>
          </w:p>
          <w:p w14:paraId="7922CE98" w14:textId="0E202D1C" w:rsidR="00B030ED" w:rsidRDefault="00B030ED" w:rsidP="00B030ED">
            <w:pPr>
              <w:rPr>
                <w:lang w:eastAsia="en-AU"/>
              </w:rPr>
            </w:pPr>
            <w:r>
              <w:rPr>
                <w:lang w:eastAsia="en-AU"/>
              </w:rPr>
              <w:t xml:space="preserve">Under section </w:t>
            </w:r>
            <w:r w:rsidRPr="009A33B0">
              <w:rPr>
                <w:i/>
                <w:iCs/>
                <w:lang w:eastAsia="en-AU"/>
              </w:rPr>
              <w:t>74AF of the QBCC Act</w:t>
            </w:r>
            <w:r w:rsidR="00EB36FF">
              <w:rPr>
                <w:i/>
                <w:iCs/>
                <w:lang w:eastAsia="en-AU"/>
              </w:rPr>
              <w:t xml:space="preserve"> 1991</w:t>
            </w:r>
            <w:r>
              <w:rPr>
                <w:lang w:eastAsia="en-AU"/>
              </w:rPr>
              <w:t>, each person within the chain of responsibility has a duty to ensure their actions do not lead to an NCBP being supplied and/or used in association with a building.</w:t>
            </w:r>
          </w:p>
          <w:p w14:paraId="475CA909" w14:textId="77777777" w:rsidR="00B030ED" w:rsidRPr="0096605B" w:rsidRDefault="00B030ED" w:rsidP="0096605B">
            <w:pPr>
              <w:pStyle w:val="Tablesub-heading"/>
              <w:shd w:val="clear" w:color="auto" w:fill="FFFFFF"/>
              <w:rPr>
                <w:b w:val="0"/>
                <w:szCs w:val="22"/>
              </w:rPr>
            </w:pPr>
            <w:r w:rsidRPr="0096605B">
              <w:rPr>
                <w:b w:val="0"/>
                <w:szCs w:val="22"/>
              </w:rPr>
              <w:t>Records relating to:</w:t>
            </w:r>
          </w:p>
          <w:p w14:paraId="48CD9603" w14:textId="2F6933DE" w:rsidR="00B030ED" w:rsidRPr="00797953" w:rsidRDefault="00B030ED" w:rsidP="00500F64">
            <w:pPr>
              <w:pStyle w:val="ListParagraph"/>
              <w:numPr>
                <w:ilvl w:val="0"/>
                <w:numId w:val="14"/>
              </w:numPr>
              <w:spacing w:line="276" w:lineRule="auto"/>
              <w:ind w:left="714" w:hanging="425"/>
              <w:rPr>
                <w:rFonts w:cs="Arial"/>
                <w:szCs w:val="22"/>
              </w:rPr>
            </w:pPr>
            <w:r w:rsidRPr="00797953">
              <w:rPr>
                <w:rFonts w:cs="Arial"/>
                <w:szCs w:val="22"/>
              </w:rPr>
              <w:t>Testing and assessment of building and construction industry products and materials that fail to comply with Australian standards and codes which poses a significant risk to public safety through unsafe or structurally unsound buildings.</w:t>
            </w:r>
          </w:p>
          <w:p w14:paraId="1200BF78" w14:textId="77777777" w:rsidR="00B030ED" w:rsidRPr="00797953" w:rsidRDefault="00B030ED" w:rsidP="00500F64">
            <w:pPr>
              <w:pStyle w:val="ListParagraph"/>
              <w:numPr>
                <w:ilvl w:val="0"/>
                <w:numId w:val="14"/>
              </w:numPr>
              <w:spacing w:line="276" w:lineRule="auto"/>
              <w:ind w:left="714" w:hanging="425"/>
              <w:rPr>
                <w:rFonts w:cs="Arial"/>
                <w:szCs w:val="22"/>
              </w:rPr>
            </w:pPr>
            <w:r w:rsidRPr="00797953">
              <w:rPr>
                <w:rFonts w:cs="Arial"/>
                <w:szCs w:val="22"/>
              </w:rPr>
              <w:t>Inspections and providing detailed information or advice to affected persons.</w:t>
            </w:r>
          </w:p>
          <w:p w14:paraId="41BE11EB" w14:textId="77777777" w:rsidR="00B030ED" w:rsidRPr="00797953" w:rsidRDefault="00B030ED" w:rsidP="00500F64">
            <w:pPr>
              <w:pStyle w:val="ListParagraph"/>
              <w:numPr>
                <w:ilvl w:val="0"/>
                <w:numId w:val="14"/>
              </w:numPr>
              <w:ind w:left="714" w:hanging="425"/>
              <w:rPr>
                <w:rFonts w:cs="Arial"/>
                <w:szCs w:val="22"/>
              </w:rPr>
            </w:pPr>
            <w:r w:rsidRPr="00797953">
              <w:rPr>
                <w:rFonts w:cs="Arial"/>
                <w:szCs w:val="22"/>
              </w:rPr>
              <w:t>Remedial and/or legal action against suppliers of defective non-conforming products.</w:t>
            </w:r>
          </w:p>
          <w:p w14:paraId="0DE723DD" w14:textId="34FD40E6" w:rsidR="00F8629C" w:rsidRPr="004A453A" w:rsidRDefault="00F8629C" w:rsidP="00941840">
            <w:pPr>
              <w:pStyle w:val="Tablesub-heading"/>
              <w:rPr>
                <w:b w:val="0"/>
                <w:szCs w:val="22"/>
              </w:rPr>
            </w:pPr>
          </w:p>
          <w:p w14:paraId="77579BA4" w14:textId="6FADA8DC" w:rsidR="00F8629C" w:rsidRDefault="00F8629C" w:rsidP="00941840">
            <w:pPr>
              <w:pStyle w:val="Heading2"/>
            </w:pPr>
            <w:r w:rsidRPr="00F01510">
              <w:lastRenderedPageBreak/>
              <w:t>Why the records are retained for this retention period:</w:t>
            </w:r>
          </w:p>
          <w:p w14:paraId="4709E1FD" w14:textId="52DA9DB6" w:rsidR="00F01510" w:rsidRPr="00A7221E" w:rsidRDefault="00F01510" w:rsidP="00F01510">
            <w:pPr>
              <w:rPr>
                <w:rFonts w:cs="Arial"/>
                <w:szCs w:val="22"/>
              </w:rPr>
            </w:pPr>
            <w:r w:rsidRPr="00A7221E">
              <w:rPr>
                <w:rFonts w:cs="Arial"/>
                <w:szCs w:val="22"/>
              </w:rPr>
              <w:t>Non-conforming building products (NCBPs) are a nation-wide issue that affects not just the building industry but the community as a whole. Queenslanders expect the buildings in which they live, work and visit to be safe, and the products used in their construction meet the relevant building standards and community expectations. Non-conforming building products (NCBPs) put lives at risk with defective building products posing a significant risk to public safety. This disposal authorisation covers records relating to the management of matters that involve major investigation</w:t>
            </w:r>
            <w:r w:rsidR="00BD45BA">
              <w:rPr>
                <w:rFonts w:cs="Arial"/>
                <w:szCs w:val="22"/>
              </w:rPr>
              <w:t>s</w:t>
            </w:r>
            <w:r w:rsidRPr="00A7221E">
              <w:rPr>
                <w:rFonts w:cs="Arial"/>
                <w:szCs w:val="22"/>
              </w:rPr>
              <w:t xml:space="preserve"> and/or significant action that create precedent or lead to major changes to building policies and procedures. These records will have ongoing value to the people of Queensland as records of major incidents and investigations that involve serious risk to public safety (</w:t>
            </w:r>
            <w:r w:rsidR="00BB4AD6" w:rsidRPr="00A7221E">
              <w:rPr>
                <w:rFonts w:cs="Arial"/>
                <w:szCs w:val="22"/>
              </w:rPr>
              <w:t>e.g.,</w:t>
            </w:r>
            <w:r w:rsidRPr="00A7221E">
              <w:rPr>
                <w:rFonts w:cs="Arial"/>
                <w:szCs w:val="22"/>
              </w:rPr>
              <w:t xml:space="preserve"> combustible cladding). The community would expect that records relating to significant building safety incidents are retained for a significant </w:t>
            </w:r>
            <w:r w:rsidR="00BB4AD6" w:rsidRPr="00A7221E">
              <w:rPr>
                <w:rFonts w:cs="Arial"/>
                <w:szCs w:val="22"/>
              </w:rPr>
              <w:t>period</w:t>
            </w:r>
            <w:r w:rsidRPr="00A7221E">
              <w:rPr>
                <w:rFonts w:cs="Arial"/>
                <w:szCs w:val="22"/>
              </w:rPr>
              <w:t xml:space="preserve"> to provide evidence of actions and decisions and support the rights and entitlements of any affected parties. A permanent retention ensures these records will also be available for ongoing accountability and legal requirements (</w:t>
            </w:r>
            <w:r w:rsidR="00BB4AD6" w:rsidRPr="00A7221E">
              <w:rPr>
                <w:rFonts w:cs="Arial"/>
                <w:szCs w:val="22"/>
              </w:rPr>
              <w:t>e.g.,</w:t>
            </w:r>
            <w:r w:rsidRPr="00A7221E">
              <w:rPr>
                <w:rFonts w:cs="Arial"/>
                <w:szCs w:val="22"/>
              </w:rPr>
              <w:t xml:space="preserve"> major formal inquires such as the Grenfell Tower Inquiry in the UK).</w:t>
            </w:r>
          </w:p>
          <w:p w14:paraId="0F542194" w14:textId="27E13DDD" w:rsidR="00F8629C" w:rsidRPr="00634D63" w:rsidRDefault="00F8629C" w:rsidP="0096605B">
            <w:pPr>
              <w:pStyle w:val="Tablesub-heading"/>
            </w:pPr>
            <w:r w:rsidRPr="00634D63">
              <w:t>Applicable legislation/standards:</w:t>
            </w:r>
          </w:p>
          <w:p w14:paraId="790288E7" w14:textId="1CD4A6CD" w:rsidR="00B030ED" w:rsidRPr="00C66CC8" w:rsidRDefault="00B030ED" w:rsidP="00B030ED">
            <w:pPr>
              <w:pStyle w:val="Heading2"/>
              <w:rPr>
                <w:rFonts w:ascii="Arial" w:hAnsi="Arial" w:cs="Arial"/>
                <w:b w:val="0"/>
                <w:noProof/>
                <w:szCs w:val="22"/>
              </w:rPr>
            </w:pPr>
            <w:r w:rsidRPr="00C66CC8">
              <w:rPr>
                <w:rFonts w:ascii="Arial" w:hAnsi="Arial" w:cs="Arial"/>
                <w:b w:val="0"/>
                <w:noProof/>
                <w:szCs w:val="22"/>
              </w:rPr>
              <w:t>See the list of applicable legislation and standards for public</w:t>
            </w:r>
            <w:r>
              <w:rPr>
                <w:rFonts w:ascii="Arial" w:hAnsi="Arial" w:cs="Arial"/>
                <w:b w:val="0"/>
                <w:noProof/>
                <w:szCs w:val="22"/>
              </w:rPr>
              <w:t xml:space="preserve"> </w:t>
            </w:r>
            <w:r w:rsidRPr="00C66CC8">
              <w:rPr>
                <w:rFonts w:ascii="Arial" w:hAnsi="Arial" w:cs="Arial"/>
                <w:b w:val="0"/>
                <w:noProof/>
                <w:szCs w:val="22"/>
              </w:rPr>
              <w:t xml:space="preserve">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w:t>
            </w:r>
            <w:r w:rsidR="00BD45BA">
              <w:rPr>
                <w:rFonts w:ascii="Arial" w:hAnsi="Arial" w:cs="Arial"/>
                <w:b w:val="0"/>
                <w:noProof/>
                <w:szCs w:val="22"/>
              </w:rPr>
              <w:t xml:space="preserve"> </w:t>
            </w:r>
            <w:r w:rsidRPr="00C66CC8">
              <w:rPr>
                <w:rFonts w:ascii="Arial" w:hAnsi="Arial" w:cs="Arial"/>
                <w:b w:val="0"/>
                <w:noProof/>
                <w:szCs w:val="22"/>
              </w:rPr>
              <w:t>of this appraisal log.</w:t>
            </w:r>
          </w:p>
          <w:p w14:paraId="6B951F89" w14:textId="77777777" w:rsidR="00F8629C" w:rsidRPr="00634D63" w:rsidRDefault="00F8629C" w:rsidP="00941840">
            <w:pPr>
              <w:pStyle w:val="Heading2"/>
            </w:pPr>
            <w:r w:rsidRPr="00634D63">
              <w:t xml:space="preserve">QSA permanent appraisal characteristics: </w:t>
            </w:r>
          </w:p>
          <w:p w14:paraId="398BCD8E" w14:textId="52F97AFA" w:rsidR="00B030ED" w:rsidRDefault="00F8629C" w:rsidP="00B030ED">
            <w:pPr>
              <w:pStyle w:val="Tablesub-heading"/>
              <w:spacing w:before="60" w:after="60"/>
              <w:rPr>
                <w:b w:val="0"/>
                <w:szCs w:val="22"/>
              </w:rPr>
            </w:pPr>
            <w:r>
              <w:rPr>
                <w:b w:val="0"/>
                <w:szCs w:val="22"/>
              </w:rPr>
              <w:t xml:space="preserve">These records provide evidence of the following characteristics from the </w:t>
            </w:r>
            <w:r w:rsidRPr="00AD0DD6">
              <w:rPr>
                <w:b w:val="0"/>
                <w:szCs w:val="22"/>
              </w:rPr>
              <w:t>Queensland State Archives Appraisal Statement</w:t>
            </w:r>
            <w:r>
              <w:rPr>
                <w:b w:val="0"/>
                <w:szCs w:val="22"/>
              </w:rPr>
              <w:t xml:space="preserve"> and should be retained as archival records for future research:</w:t>
            </w:r>
          </w:p>
          <w:p w14:paraId="18196941" w14:textId="6BABD15D" w:rsidR="00F8629C" w:rsidRPr="00B030ED" w:rsidRDefault="00F8629C" w:rsidP="00500F64">
            <w:pPr>
              <w:pStyle w:val="Tablesub-heading"/>
              <w:numPr>
                <w:ilvl w:val="0"/>
                <w:numId w:val="6"/>
              </w:numPr>
              <w:rPr>
                <w:b w:val="0"/>
                <w:szCs w:val="22"/>
              </w:rPr>
            </w:pPr>
            <w:r w:rsidRPr="00B030ED">
              <w:rPr>
                <w:b w:val="0"/>
                <w:szCs w:val="22"/>
              </w:rPr>
              <w:t>4 – significant impact on individuals</w:t>
            </w:r>
          </w:p>
          <w:p w14:paraId="21E7AE25" w14:textId="77777777" w:rsidR="00F8629C" w:rsidRDefault="00F8629C" w:rsidP="00500F64">
            <w:pPr>
              <w:pStyle w:val="Tablesub-heading"/>
              <w:numPr>
                <w:ilvl w:val="0"/>
                <w:numId w:val="6"/>
              </w:numPr>
              <w:rPr>
                <w:b w:val="0"/>
                <w:szCs w:val="22"/>
              </w:rPr>
            </w:pPr>
            <w:r>
              <w:rPr>
                <w:b w:val="0"/>
                <w:szCs w:val="22"/>
              </w:rPr>
              <w:t>5 – substantial contribution to community memory</w:t>
            </w:r>
          </w:p>
          <w:p w14:paraId="22EC26D6" w14:textId="77777777" w:rsidR="00F8629C" w:rsidRPr="00634D63" w:rsidRDefault="00F8629C" w:rsidP="00941840">
            <w:pPr>
              <w:pStyle w:val="Heading2"/>
            </w:pPr>
            <w:r w:rsidRPr="00634D63">
              <w:t xml:space="preserve">Comparison with other schedules' retention period: </w:t>
            </w:r>
          </w:p>
          <w:p w14:paraId="07E37D9E" w14:textId="77777777" w:rsidR="002F2A37" w:rsidRPr="00465257" w:rsidRDefault="002F2A37" w:rsidP="002F2A37">
            <w:pPr>
              <w:pStyle w:val="Tablesub-heading"/>
              <w:rPr>
                <w:b w:val="0"/>
                <w:noProof/>
                <w:szCs w:val="22"/>
              </w:rPr>
            </w:pPr>
            <w:r w:rsidRPr="00237200">
              <w:rPr>
                <w:b w:val="0"/>
                <w:i/>
                <w:iCs/>
                <w:noProof/>
                <w:szCs w:val="22"/>
              </w:rPr>
              <w:t>QDAN 480 v.4, Local Government Sector retention and disposal schedule</w:t>
            </w:r>
            <w:r>
              <w:rPr>
                <w:b w:val="0"/>
                <w:i/>
                <w:iCs/>
                <w:noProof/>
                <w:szCs w:val="22"/>
              </w:rPr>
              <w:t xml:space="preserve"> – </w:t>
            </w:r>
            <w:r>
              <w:rPr>
                <w:b w:val="0"/>
                <w:noProof/>
                <w:szCs w:val="22"/>
              </w:rPr>
              <w:t>24.3.4 – Investigations and Inspections – Major – Retain Permanently.</w:t>
            </w:r>
          </w:p>
          <w:p w14:paraId="3D56CA79" w14:textId="5BD3FC64" w:rsidR="002F2A37" w:rsidRDefault="002F2A37" w:rsidP="002F2A37">
            <w:pPr>
              <w:pStyle w:val="Tablesub-heading"/>
              <w:rPr>
                <w:b w:val="0"/>
                <w:noProof/>
                <w:szCs w:val="22"/>
              </w:rPr>
            </w:pPr>
            <w:r w:rsidRPr="003A01B4">
              <w:rPr>
                <w:b w:val="0"/>
                <w:i/>
                <w:iCs/>
                <w:noProof/>
                <w:szCs w:val="22"/>
              </w:rPr>
              <w:t>GA39, Local Government Records – Compliance – Serious Breaches -</w:t>
            </w:r>
            <w:r>
              <w:rPr>
                <w:b w:val="0"/>
                <w:noProof/>
                <w:szCs w:val="22"/>
              </w:rPr>
              <w:t xml:space="preserve"> 20.2.1 - Retain Permanently - as issued by NSW State Archives and Records</w:t>
            </w:r>
            <w:r w:rsidR="000E17FB">
              <w:rPr>
                <w:b w:val="0"/>
                <w:noProof/>
                <w:szCs w:val="22"/>
              </w:rPr>
              <w:t xml:space="preserve"> Authority</w:t>
            </w:r>
            <w:r>
              <w:rPr>
                <w:b w:val="0"/>
                <w:noProof/>
                <w:szCs w:val="22"/>
              </w:rPr>
              <w:t xml:space="preserve"> (SARA).</w:t>
            </w:r>
          </w:p>
          <w:p w14:paraId="45A26703" w14:textId="77777777" w:rsidR="002F2A37" w:rsidRDefault="002F2A37" w:rsidP="002F2A37">
            <w:pPr>
              <w:pStyle w:val="Tablesub-heading"/>
              <w:rPr>
                <w:b w:val="0"/>
                <w:noProof/>
                <w:szCs w:val="22"/>
              </w:rPr>
            </w:pPr>
            <w:r w:rsidRPr="003A01B4">
              <w:rPr>
                <w:b w:val="0"/>
                <w:i/>
                <w:iCs/>
                <w:noProof/>
                <w:szCs w:val="22"/>
              </w:rPr>
              <w:t>PROS 20/01, Victorian Building Authority (VBA), 2.1</w:t>
            </w:r>
            <w:r>
              <w:rPr>
                <w:b w:val="0"/>
                <w:noProof/>
                <w:szCs w:val="22"/>
              </w:rPr>
              <w:t xml:space="preserve"> – Compliance Management – Substantive Matters - Retain Permanently - as issued by the Public Record Office Victoria (PROV).</w:t>
            </w:r>
            <w:r w:rsidDel="006D4D34">
              <w:rPr>
                <w:b w:val="0"/>
                <w:noProof/>
                <w:szCs w:val="22"/>
              </w:rPr>
              <w:t xml:space="preserve"> </w:t>
            </w:r>
          </w:p>
          <w:p w14:paraId="41D725EC" w14:textId="77777777" w:rsidR="00F8629C" w:rsidRPr="00634D63" w:rsidRDefault="00F8629C" w:rsidP="00941840">
            <w:pPr>
              <w:pStyle w:val="Heading2"/>
            </w:pPr>
            <w:r w:rsidRPr="00634D63">
              <w:t>Other comments/factors for consideration:</w:t>
            </w:r>
          </w:p>
          <w:p w14:paraId="75D6B143" w14:textId="2DF4CDED" w:rsidR="00F8629C" w:rsidRPr="004A453A" w:rsidRDefault="002F2A37" w:rsidP="00941840">
            <w:pPr>
              <w:pStyle w:val="Tablesub-heading"/>
              <w:rPr>
                <w:b w:val="0"/>
                <w:szCs w:val="22"/>
              </w:rPr>
            </w:pPr>
            <w:r w:rsidRPr="00257A92">
              <w:rPr>
                <w:rFonts w:cs="Arial"/>
                <w:b w:val="0"/>
                <w:i/>
                <w:iCs/>
                <w:noProof/>
                <w:szCs w:val="22"/>
              </w:rPr>
              <w:lastRenderedPageBreak/>
              <w:t>Building and Construction Legislation (Non-Conforming Building Products – Chain of Responsibility and Other Matters) Amendment Act</w:t>
            </w:r>
            <w:r w:rsidRPr="00257A92">
              <w:rPr>
                <w:b w:val="0"/>
                <w:i/>
                <w:iCs/>
                <w:noProof/>
                <w:szCs w:val="22"/>
              </w:rPr>
              <w:t xml:space="preserve"> </w:t>
            </w:r>
            <w:r w:rsidRPr="00257A92">
              <w:rPr>
                <w:rFonts w:cs="Arial"/>
                <w:b w:val="0"/>
                <w:i/>
                <w:iCs/>
                <w:noProof/>
                <w:szCs w:val="22"/>
              </w:rPr>
              <w:t>2017</w:t>
            </w:r>
            <w:r w:rsidRPr="00257A92">
              <w:rPr>
                <w:rFonts w:cs="Arial"/>
                <w:b w:val="0"/>
                <w:noProof/>
                <w:szCs w:val="22"/>
              </w:rPr>
              <w:t>, s.74AZ(3) ~ Recall Orders remain in force until the end of 2 years unless sooner revoked by the Minister.</w:t>
            </w:r>
          </w:p>
          <w:p w14:paraId="485B5212" w14:textId="77777777" w:rsidR="00F8629C" w:rsidRPr="00634D63" w:rsidRDefault="00F8629C" w:rsidP="00941840">
            <w:pPr>
              <w:pStyle w:val="Heading2"/>
            </w:pPr>
            <w:r w:rsidRPr="00634D63">
              <w:t>Previous schedule references:</w:t>
            </w:r>
          </w:p>
          <w:p w14:paraId="72686AC1" w14:textId="739DC6FE" w:rsidR="00F8629C" w:rsidRPr="002F2A37" w:rsidRDefault="002F2A37" w:rsidP="00941840">
            <w:pPr>
              <w:pStyle w:val="Tablesub-heading"/>
              <w:rPr>
                <w:b w:val="0"/>
                <w:bCs/>
                <w:szCs w:val="22"/>
              </w:rPr>
            </w:pPr>
            <w:r w:rsidRPr="002F2A37">
              <w:rPr>
                <w:rFonts w:cs="Arial"/>
                <w:b w:val="0"/>
                <w:bCs/>
                <w:noProof/>
              </w:rPr>
              <w:t>New disposal authorisation.</w:t>
            </w:r>
          </w:p>
        </w:tc>
      </w:tr>
      <w:bookmarkEnd w:id="8"/>
      <w:tr w:rsidR="00F8629C" w:rsidRPr="004A453A" w14:paraId="5B4E69D3" w14:textId="77777777" w:rsidTr="00384B0E">
        <w:tc>
          <w:tcPr>
            <w:tcW w:w="567" w:type="pct"/>
            <w:tcBorders>
              <w:top w:val="single" w:sz="6" w:space="0" w:color="C0C0C0"/>
              <w:bottom w:val="single" w:sz="6" w:space="0" w:color="C0C0C0"/>
            </w:tcBorders>
            <w:shd w:val="clear" w:color="auto" w:fill="auto"/>
          </w:tcPr>
          <w:p w14:paraId="33B57E72" w14:textId="67D134DB" w:rsidR="00F8629C" w:rsidRPr="004A453A" w:rsidRDefault="00483405" w:rsidP="00941840">
            <w:pPr>
              <w:pStyle w:val="Tablesub-heading"/>
              <w:rPr>
                <w:b w:val="0"/>
                <w:szCs w:val="22"/>
              </w:rPr>
            </w:pPr>
            <w:r>
              <w:rPr>
                <w:b w:val="0"/>
                <w:szCs w:val="22"/>
              </w:rPr>
              <w:lastRenderedPageBreak/>
              <w:t>2765</w:t>
            </w:r>
          </w:p>
        </w:tc>
        <w:tc>
          <w:tcPr>
            <w:tcW w:w="914" w:type="pct"/>
            <w:tcBorders>
              <w:top w:val="single" w:sz="6" w:space="0" w:color="C0C0C0"/>
              <w:bottom w:val="single" w:sz="6" w:space="0" w:color="C0C0C0"/>
            </w:tcBorders>
            <w:shd w:val="clear" w:color="auto" w:fill="auto"/>
          </w:tcPr>
          <w:p w14:paraId="20BEFA57" w14:textId="77777777" w:rsidR="00A9405D" w:rsidRDefault="00A9405D" w:rsidP="00A9405D">
            <w:pPr>
              <w:pStyle w:val="Heading3"/>
              <w:rPr>
                <w:noProof/>
              </w:rPr>
            </w:pPr>
            <w:r>
              <w:rPr>
                <w:noProof/>
              </w:rPr>
              <w:t>Building Product Assessments, Complaints and Investigations – Non-Conforming Building Products - Other</w:t>
            </w:r>
          </w:p>
          <w:p w14:paraId="2149FBED" w14:textId="77777777" w:rsidR="00A9405D" w:rsidRDefault="00A9405D" w:rsidP="00A9405D">
            <w:pPr>
              <w:pStyle w:val="Tablesub-heading"/>
              <w:rPr>
                <w:b w:val="0"/>
                <w:szCs w:val="22"/>
              </w:rPr>
            </w:pPr>
            <w:r>
              <w:rPr>
                <w:b w:val="0"/>
                <w:noProof/>
                <w:szCs w:val="22"/>
              </w:rPr>
              <w:t>Records relating to the management of assessments and/or complaints that require investigation and/or a specific response.</w:t>
            </w:r>
          </w:p>
          <w:p w14:paraId="3190DFC4" w14:textId="77777777" w:rsidR="00F8629C" w:rsidRPr="00634D63" w:rsidRDefault="00F8629C" w:rsidP="00941840">
            <w:pPr>
              <w:pStyle w:val="Heading2"/>
            </w:pPr>
            <w:r w:rsidRPr="00634D63">
              <w:t xml:space="preserve">Disposal action – </w:t>
            </w:r>
          </w:p>
          <w:p w14:paraId="551BD242" w14:textId="77777777" w:rsidR="00A9405D" w:rsidRDefault="00A9405D" w:rsidP="00A9405D">
            <w:pPr>
              <w:pStyle w:val="Tablesub-heading"/>
              <w:rPr>
                <w:b w:val="0"/>
                <w:noProof/>
              </w:rPr>
            </w:pPr>
            <w:r>
              <w:rPr>
                <w:b w:val="0"/>
                <w:noProof/>
              </w:rPr>
              <w:t>10 years after conclusion of investigation</w:t>
            </w:r>
          </w:p>
          <w:p w14:paraId="275E1C93" w14:textId="77777777" w:rsidR="00A9405D" w:rsidRDefault="00A9405D" w:rsidP="00A9405D">
            <w:pPr>
              <w:pStyle w:val="Tablesub-heading"/>
              <w:rPr>
                <w:b w:val="0"/>
              </w:rPr>
            </w:pPr>
            <w:r>
              <w:rPr>
                <w:b w:val="0"/>
              </w:rPr>
              <w:t>OR</w:t>
            </w:r>
          </w:p>
          <w:p w14:paraId="1DE52079" w14:textId="607AEAC6" w:rsidR="00F8629C" w:rsidRPr="004A453A" w:rsidRDefault="00A9405D" w:rsidP="00A9405D">
            <w:pPr>
              <w:pStyle w:val="Tablesub-heading"/>
              <w:rPr>
                <w:b w:val="0"/>
              </w:rPr>
            </w:pPr>
            <w:r>
              <w:rPr>
                <w:b w:val="0"/>
              </w:rPr>
              <w:t>10 years after the expiry of the related recall order, whichever is later.</w:t>
            </w:r>
          </w:p>
        </w:tc>
        <w:tc>
          <w:tcPr>
            <w:tcW w:w="3519" w:type="pct"/>
            <w:tcBorders>
              <w:top w:val="single" w:sz="6" w:space="0" w:color="C0C0C0"/>
              <w:bottom w:val="single" w:sz="6" w:space="0" w:color="C0C0C0"/>
            </w:tcBorders>
            <w:shd w:val="clear" w:color="auto" w:fill="auto"/>
          </w:tcPr>
          <w:p w14:paraId="7A1B7342" w14:textId="082F93A4" w:rsidR="00F8629C" w:rsidRPr="004A453A" w:rsidRDefault="00F8629C" w:rsidP="00F8629C">
            <w:pPr>
              <w:pStyle w:val="Tablesub-heading"/>
              <w:rPr>
                <w:b w:val="0"/>
                <w:szCs w:val="22"/>
              </w:rPr>
            </w:pPr>
            <w:r>
              <w:t xml:space="preserve">Date authorised: </w:t>
            </w:r>
            <w:r w:rsidR="00067BF0">
              <w:rPr>
                <w:b w:val="0"/>
              </w:rPr>
              <w:t>15 December 2023</w:t>
            </w:r>
          </w:p>
          <w:p w14:paraId="0A2198C0" w14:textId="77777777" w:rsidR="00F8629C" w:rsidRPr="00634D63" w:rsidRDefault="00F8629C" w:rsidP="00941840">
            <w:pPr>
              <w:pStyle w:val="Heading2"/>
            </w:pPr>
            <w:r w:rsidRPr="00634D63">
              <w:t>Why are these records created:</w:t>
            </w:r>
          </w:p>
          <w:p w14:paraId="10B32EC7" w14:textId="77777777" w:rsidR="00083F72" w:rsidRPr="00523937" w:rsidRDefault="00083F72" w:rsidP="00083F72">
            <w:pPr>
              <w:pStyle w:val="Tablesub-heading"/>
              <w:shd w:val="clear" w:color="auto" w:fill="FFFFFF"/>
              <w:rPr>
                <w:b w:val="0"/>
                <w:szCs w:val="22"/>
              </w:rPr>
            </w:pPr>
            <w:r w:rsidRPr="00523937">
              <w:rPr>
                <w:b w:val="0"/>
                <w:szCs w:val="22"/>
              </w:rPr>
              <w:t xml:space="preserve">A non-conforming building product </w:t>
            </w:r>
            <w:r w:rsidRPr="006F1D11">
              <w:rPr>
                <w:b w:val="0"/>
                <w:szCs w:val="22"/>
              </w:rPr>
              <w:t>(NCBP)</w:t>
            </w:r>
            <w:r>
              <w:rPr>
                <w:b w:val="0"/>
                <w:szCs w:val="22"/>
              </w:rPr>
              <w:t xml:space="preserve"> </w:t>
            </w:r>
            <w:r w:rsidRPr="00523937">
              <w:rPr>
                <w:b w:val="0"/>
                <w:szCs w:val="22"/>
              </w:rPr>
              <w:t>is a building product that:</w:t>
            </w:r>
          </w:p>
          <w:p w14:paraId="45165518" w14:textId="77777777" w:rsidR="00083F72" w:rsidRPr="00523937" w:rsidRDefault="00083F72" w:rsidP="00500F64">
            <w:pPr>
              <w:pStyle w:val="Tablesub-heading"/>
              <w:numPr>
                <w:ilvl w:val="0"/>
                <w:numId w:val="13"/>
              </w:numPr>
              <w:shd w:val="clear" w:color="auto" w:fill="FFFFFF"/>
              <w:rPr>
                <w:b w:val="0"/>
                <w:szCs w:val="22"/>
              </w:rPr>
            </w:pPr>
            <w:r w:rsidRPr="00523937">
              <w:rPr>
                <w:b w:val="0"/>
                <w:szCs w:val="22"/>
              </w:rPr>
              <w:t>Is not, or will not be safe; or</w:t>
            </w:r>
          </w:p>
          <w:p w14:paraId="04CB5A88" w14:textId="77777777" w:rsidR="00083F72" w:rsidRPr="006F1D11" w:rsidRDefault="00083F72" w:rsidP="00500F64">
            <w:pPr>
              <w:pStyle w:val="Tablesub-heading"/>
              <w:numPr>
                <w:ilvl w:val="0"/>
                <w:numId w:val="13"/>
              </w:numPr>
              <w:shd w:val="clear" w:color="auto" w:fill="FFFFFF"/>
              <w:rPr>
                <w:b w:val="0"/>
                <w:szCs w:val="22"/>
              </w:rPr>
            </w:pPr>
            <w:r w:rsidRPr="006F1D11">
              <w:rPr>
                <w:b w:val="0"/>
                <w:szCs w:val="22"/>
              </w:rPr>
              <w:t>Does not, or will not, comply with the relevant regulatory provisions</w:t>
            </w:r>
            <w:r>
              <w:rPr>
                <w:b w:val="0"/>
                <w:szCs w:val="22"/>
              </w:rPr>
              <w:t xml:space="preserve"> </w:t>
            </w:r>
            <w:r w:rsidRPr="006F1D11">
              <w:rPr>
                <w:b w:val="0"/>
                <w:szCs w:val="22"/>
              </w:rPr>
              <w:t>or</w:t>
            </w:r>
            <w:r>
              <w:rPr>
                <w:b w:val="0"/>
                <w:szCs w:val="22"/>
              </w:rPr>
              <w:t xml:space="preserve"> standards; or</w:t>
            </w:r>
          </w:p>
          <w:p w14:paraId="085CBA99" w14:textId="77777777" w:rsidR="00083F72" w:rsidRPr="005C758D" w:rsidRDefault="00083F72" w:rsidP="00500F64">
            <w:pPr>
              <w:pStyle w:val="Tablesub-heading"/>
              <w:numPr>
                <w:ilvl w:val="0"/>
                <w:numId w:val="13"/>
              </w:numPr>
              <w:shd w:val="clear" w:color="auto" w:fill="FFFFFF"/>
              <w:rPr>
                <w:b w:val="0"/>
                <w:szCs w:val="22"/>
              </w:rPr>
            </w:pPr>
            <w:r w:rsidRPr="006F1D11">
              <w:rPr>
                <w:b w:val="0"/>
                <w:szCs w:val="22"/>
              </w:rPr>
              <w:t>The product does not perform, or is not capable of performing, for the use to the standard it is</w:t>
            </w:r>
            <w:r>
              <w:rPr>
                <w:b w:val="0"/>
                <w:szCs w:val="22"/>
              </w:rPr>
              <w:t xml:space="preserve"> </w:t>
            </w:r>
            <w:r w:rsidRPr="005C758D">
              <w:rPr>
                <w:b w:val="0"/>
                <w:szCs w:val="22"/>
              </w:rPr>
              <w:t>represented to perform by or for a person in the chain of responsibility for the product.</w:t>
            </w:r>
          </w:p>
          <w:p w14:paraId="686F32FB" w14:textId="77777777" w:rsidR="00083F72" w:rsidRDefault="00083F72" w:rsidP="00083F72">
            <w:pPr>
              <w:pStyle w:val="Tablesub-heading"/>
              <w:shd w:val="clear" w:color="auto" w:fill="FFFFFF"/>
              <w:rPr>
                <w:b w:val="0"/>
                <w:szCs w:val="22"/>
              </w:rPr>
            </w:pPr>
            <w:r w:rsidRPr="006F1D11">
              <w:rPr>
                <w:b w:val="0"/>
                <w:szCs w:val="22"/>
              </w:rPr>
              <w:t>When the QBCC is made aware of a potential non-conforming building product, the Commission will undertake a preliminary assessment to consider the safety risk of the potential NCBP and respond based on the level of risk.</w:t>
            </w:r>
          </w:p>
          <w:p w14:paraId="0D03B841" w14:textId="77777777" w:rsidR="00083F72" w:rsidRPr="00BD45BA" w:rsidRDefault="00083F72" w:rsidP="00BD45BA">
            <w:pPr>
              <w:pStyle w:val="Tablesub-heading"/>
              <w:shd w:val="clear" w:color="auto" w:fill="FFFFFF"/>
              <w:rPr>
                <w:b w:val="0"/>
                <w:szCs w:val="22"/>
              </w:rPr>
            </w:pPr>
            <w:r w:rsidRPr="00BD45BA">
              <w:rPr>
                <w:b w:val="0"/>
                <w:szCs w:val="22"/>
              </w:rPr>
              <w:t>Everyone in the building product supply chain, including designers, importers, manufacturers, suppliers, architects, engineers, installers and homeowners are responsible for ensuring that all building products are fit for their intended purpose and are not NCBPs.</w:t>
            </w:r>
          </w:p>
          <w:p w14:paraId="064DA2B2" w14:textId="1DB2663B" w:rsidR="00083F72" w:rsidRPr="00BD45BA" w:rsidRDefault="00083F72" w:rsidP="00BD45BA">
            <w:pPr>
              <w:pStyle w:val="Tablesub-heading"/>
              <w:shd w:val="clear" w:color="auto" w:fill="FFFFFF"/>
              <w:rPr>
                <w:b w:val="0"/>
                <w:szCs w:val="22"/>
              </w:rPr>
            </w:pPr>
            <w:r w:rsidRPr="00BD45BA">
              <w:rPr>
                <w:b w:val="0"/>
                <w:szCs w:val="22"/>
              </w:rPr>
              <w:t xml:space="preserve">Under section </w:t>
            </w:r>
            <w:r w:rsidRPr="009A33B0">
              <w:rPr>
                <w:b w:val="0"/>
                <w:i/>
                <w:iCs/>
                <w:szCs w:val="22"/>
              </w:rPr>
              <w:t>74AF of the QBCC Act</w:t>
            </w:r>
            <w:r w:rsidR="00E76ECD" w:rsidRPr="009A33B0">
              <w:rPr>
                <w:b w:val="0"/>
                <w:i/>
                <w:iCs/>
                <w:szCs w:val="22"/>
              </w:rPr>
              <w:t xml:space="preserve"> 1991</w:t>
            </w:r>
            <w:r w:rsidRPr="00BD45BA">
              <w:rPr>
                <w:b w:val="0"/>
                <w:szCs w:val="22"/>
              </w:rPr>
              <w:t>, each person within the chain of responsibility has a duty to ensure their actions do not lead to an NCBP being supplied and/or used in association with a building.</w:t>
            </w:r>
          </w:p>
          <w:p w14:paraId="7098FAFB" w14:textId="77777777" w:rsidR="00083F72" w:rsidRDefault="00083F72" w:rsidP="00083F72">
            <w:pPr>
              <w:rPr>
                <w:lang w:eastAsia="en-AU"/>
              </w:rPr>
            </w:pPr>
            <w:r>
              <w:rPr>
                <w:lang w:eastAsia="en-AU"/>
              </w:rPr>
              <w:t>Each person in the chain of responsibility has a duty to:</w:t>
            </w:r>
          </w:p>
          <w:p w14:paraId="37E174A2" w14:textId="77777777" w:rsidR="00083F72" w:rsidRDefault="00083F72" w:rsidP="00500F64">
            <w:pPr>
              <w:numPr>
                <w:ilvl w:val="0"/>
                <w:numId w:val="15"/>
              </w:numPr>
              <w:ind w:left="614" w:hanging="284"/>
              <w:rPr>
                <w:lang w:eastAsia="en-AU"/>
              </w:rPr>
            </w:pPr>
            <w:r>
              <w:rPr>
                <w:lang w:eastAsia="en-AU"/>
              </w:rPr>
              <w:t>Ensure a building product is not a non-conforming building product for an intended use.</w:t>
            </w:r>
          </w:p>
          <w:p w14:paraId="5F4431A8" w14:textId="77777777" w:rsidR="00083F72" w:rsidRDefault="00083F72" w:rsidP="00500F64">
            <w:pPr>
              <w:numPr>
                <w:ilvl w:val="0"/>
                <w:numId w:val="15"/>
              </w:numPr>
              <w:ind w:left="614" w:hanging="284"/>
              <w:rPr>
                <w:lang w:eastAsia="en-AU"/>
              </w:rPr>
            </w:pPr>
            <w:r>
              <w:rPr>
                <w:lang w:eastAsia="en-AU"/>
              </w:rPr>
              <w:t>Provide required information about the product and for its intended use.</w:t>
            </w:r>
          </w:p>
          <w:p w14:paraId="5631ECD2" w14:textId="77777777" w:rsidR="00083F72" w:rsidRDefault="00083F72" w:rsidP="00500F64">
            <w:pPr>
              <w:numPr>
                <w:ilvl w:val="0"/>
                <w:numId w:val="15"/>
              </w:numPr>
              <w:ind w:left="614" w:hanging="284"/>
              <w:rPr>
                <w:lang w:eastAsia="en-AU"/>
              </w:rPr>
            </w:pPr>
            <w:r>
              <w:rPr>
                <w:lang w:eastAsia="en-AU"/>
              </w:rPr>
              <w:t>Understand the product and its intended use.</w:t>
            </w:r>
          </w:p>
          <w:p w14:paraId="5457189E" w14:textId="77777777" w:rsidR="00083F72" w:rsidRDefault="00083F72" w:rsidP="00500F64">
            <w:pPr>
              <w:numPr>
                <w:ilvl w:val="0"/>
                <w:numId w:val="15"/>
              </w:numPr>
              <w:ind w:left="614" w:hanging="284"/>
              <w:rPr>
                <w:lang w:eastAsia="en-AU"/>
              </w:rPr>
            </w:pPr>
            <w:r>
              <w:rPr>
                <w:lang w:eastAsia="en-AU"/>
              </w:rPr>
              <w:t>Report non-conforming building products to the QBCC.</w:t>
            </w:r>
          </w:p>
          <w:p w14:paraId="51BDEA7A" w14:textId="77777777" w:rsidR="00083F72" w:rsidRDefault="00083F72" w:rsidP="00500F64">
            <w:pPr>
              <w:numPr>
                <w:ilvl w:val="0"/>
                <w:numId w:val="15"/>
              </w:numPr>
              <w:ind w:left="614" w:hanging="284"/>
              <w:rPr>
                <w:lang w:eastAsia="en-AU"/>
              </w:rPr>
            </w:pPr>
            <w:r>
              <w:rPr>
                <w:lang w:eastAsia="en-AU"/>
              </w:rPr>
              <w:t>Give notice of a notifiable incident involving a non-conforming building product.</w:t>
            </w:r>
          </w:p>
          <w:p w14:paraId="7DD926A1" w14:textId="77777777" w:rsidR="00083F72" w:rsidRDefault="00083F72" w:rsidP="00500F64">
            <w:pPr>
              <w:numPr>
                <w:ilvl w:val="0"/>
                <w:numId w:val="15"/>
              </w:numPr>
              <w:ind w:left="614" w:hanging="284"/>
              <w:rPr>
                <w:lang w:eastAsia="en-AU"/>
              </w:rPr>
            </w:pPr>
            <w:r>
              <w:rPr>
                <w:lang w:eastAsia="en-AU"/>
              </w:rPr>
              <w:t>Comply with Recall Orders.</w:t>
            </w:r>
          </w:p>
          <w:p w14:paraId="0EABE64D" w14:textId="008808DB" w:rsidR="00083F72" w:rsidRPr="004A453A" w:rsidRDefault="00083F72" w:rsidP="00083F72">
            <w:pPr>
              <w:pStyle w:val="Tablesub-heading"/>
              <w:rPr>
                <w:b w:val="0"/>
                <w:szCs w:val="22"/>
              </w:rPr>
            </w:pPr>
            <w:r>
              <w:rPr>
                <w:b w:val="0"/>
                <w:noProof/>
                <w:szCs w:val="22"/>
              </w:rPr>
              <w:lastRenderedPageBreak/>
              <w:t>Records relating to comp</w:t>
            </w:r>
            <w:r w:rsidR="00BD45BA">
              <w:rPr>
                <w:b w:val="0"/>
                <w:noProof/>
                <w:szCs w:val="22"/>
              </w:rPr>
              <w:t>l</w:t>
            </w:r>
            <w:r>
              <w:rPr>
                <w:b w:val="0"/>
                <w:noProof/>
                <w:szCs w:val="22"/>
              </w:rPr>
              <w:t>aints about building products including the provision of detailed information or advice to clients and remedial action (undertakings) against suppliers of non-conforming products.  Includes site inspections, proactive audits and evidence (photos etc.).</w:t>
            </w:r>
          </w:p>
          <w:p w14:paraId="4B5008C2" w14:textId="77777777" w:rsidR="00F8629C" w:rsidRPr="00634D63" w:rsidRDefault="00F8629C" w:rsidP="00941840">
            <w:pPr>
              <w:pStyle w:val="Heading2"/>
            </w:pPr>
            <w:r w:rsidRPr="00634D63">
              <w:t>Why the records are retained for this retention period:</w:t>
            </w:r>
          </w:p>
          <w:p w14:paraId="374A9BB3" w14:textId="77777777" w:rsidR="008F1DCF" w:rsidRDefault="008F1DCF" w:rsidP="008F1DCF">
            <w:pPr>
              <w:pStyle w:val="Tablesub-heading"/>
              <w:rPr>
                <w:b w:val="0"/>
                <w:szCs w:val="22"/>
              </w:rPr>
            </w:pPr>
            <w:r>
              <w:rPr>
                <w:b w:val="0"/>
                <w:noProof/>
                <w:szCs w:val="22"/>
              </w:rPr>
              <w:t xml:space="preserve">Gathering of evidence for potential regulatory or legal action. </w:t>
            </w:r>
          </w:p>
          <w:p w14:paraId="4443F25A" w14:textId="28A8B10E" w:rsidR="008F1DCF" w:rsidRDefault="008F1DCF" w:rsidP="008F1DCF">
            <w:pPr>
              <w:pStyle w:val="Tablesub-heading"/>
              <w:shd w:val="clear" w:color="auto" w:fill="FFFFFF"/>
              <w:rPr>
                <w:b w:val="0"/>
                <w:bCs/>
              </w:rPr>
            </w:pPr>
            <w:r w:rsidRPr="00F3037C">
              <w:rPr>
                <w:b w:val="0"/>
                <w:bCs/>
              </w:rPr>
              <w:t xml:space="preserve">A </w:t>
            </w:r>
            <w:r>
              <w:rPr>
                <w:b w:val="0"/>
                <w:bCs/>
              </w:rPr>
              <w:t>10-year retention</w:t>
            </w:r>
            <w:r w:rsidRPr="00F3037C">
              <w:rPr>
                <w:b w:val="0"/>
                <w:bCs/>
              </w:rPr>
              <w:t xml:space="preserve"> period for complaints ensures that the records are available in the event of any legal claims brought in accordance with s.10 of the </w:t>
            </w:r>
            <w:r w:rsidRPr="00BB4D28">
              <w:rPr>
                <w:b w:val="0"/>
                <w:bCs/>
                <w:i/>
                <w:iCs/>
              </w:rPr>
              <w:t>Limitation of Actions Act 1974</w:t>
            </w:r>
            <w:r>
              <w:rPr>
                <w:b w:val="0"/>
                <w:bCs/>
              </w:rPr>
              <w:t>.</w:t>
            </w:r>
            <w:r w:rsidRPr="00F3037C">
              <w:rPr>
                <w:b w:val="0"/>
                <w:bCs/>
              </w:rPr>
              <w:t xml:space="preserve"> </w:t>
            </w:r>
            <w:r>
              <w:rPr>
                <w:b w:val="0"/>
                <w:bCs/>
              </w:rPr>
              <w:t xml:space="preserve"> </w:t>
            </w:r>
          </w:p>
          <w:p w14:paraId="586CDB82" w14:textId="0BFAB03B" w:rsidR="00F8629C" w:rsidRPr="004A453A" w:rsidRDefault="008F1DCF" w:rsidP="008F1DCF">
            <w:pPr>
              <w:pStyle w:val="Tablesub-heading"/>
              <w:rPr>
                <w:b w:val="0"/>
                <w:szCs w:val="22"/>
              </w:rPr>
            </w:pPr>
            <w:r>
              <w:rPr>
                <w:b w:val="0"/>
                <w:bCs/>
              </w:rPr>
              <w:t>The ten-year retention period supports the decisions of the business by providing evidence of actions taken and ensures that records are available for a sufficient period of time to be referred back to if so required</w:t>
            </w:r>
            <w:r w:rsidR="00BD45BA">
              <w:rPr>
                <w:b w:val="0"/>
                <w:bCs/>
              </w:rPr>
              <w:t>.</w:t>
            </w:r>
          </w:p>
          <w:p w14:paraId="632DECAE" w14:textId="77777777" w:rsidR="00F8629C" w:rsidRPr="00634D63" w:rsidRDefault="00F8629C" w:rsidP="00941840">
            <w:pPr>
              <w:pStyle w:val="Heading2"/>
            </w:pPr>
            <w:r w:rsidRPr="00634D63">
              <w:t>Applicable legislation/standards:</w:t>
            </w:r>
          </w:p>
          <w:p w14:paraId="76372C3B" w14:textId="77777777" w:rsidR="008F1DCF" w:rsidRPr="00C66CC8" w:rsidRDefault="008F1DCF" w:rsidP="008F1DCF">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r>
              <w:rPr>
                <w:rFonts w:ascii="Arial" w:hAnsi="Arial" w:cs="Arial"/>
                <w:b w:val="0"/>
                <w:noProof/>
                <w:szCs w:val="22"/>
              </w:rPr>
              <w:t>.</w:t>
            </w:r>
          </w:p>
          <w:p w14:paraId="736F947E" w14:textId="77777777" w:rsidR="00F8629C" w:rsidRPr="00634D63" w:rsidRDefault="00F8629C" w:rsidP="00941840">
            <w:pPr>
              <w:pStyle w:val="Heading2"/>
            </w:pPr>
            <w:r w:rsidRPr="00634D63">
              <w:t xml:space="preserve">Comparison with other schedules' retention period: </w:t>
            </w:r>
          </w:p>
          <w:p w14:paraId="66971289" w14:textId="77777777" w:rsidR="008F1DCF" w:rsidRDefault="008F1DCF" w:rsidP="008F1DCF">
            <w:pPr>
              <w:pStyle w:val="Tablesub-heading"/>
              <w:rPr>
                <w:b w:val="0"/>
                <w:noProof/>
                <w:szCs w:val="22"/>
              </w:rPr>
            </w:pPr>
            <w:r w:rsidRPr="00C27A21">
              <w:rPr>
                <w:b w:val="0"/>
                <w:i/>
                <w:iCs/>
                <w:noProof/>
                <w:szCs w:val="22"/>
              </w:rPr>
              <w:t>General Retention and Diposal Schedule</w:t>
            </w:r>
            <w:r>
              <w:rPr>
                <w:b w:val="0"/>
                <w:noProof/>
                <w:szCs w:val="22"/>
              </w:rPr>
              <w:t xml:space="preserve"> (GRDS) – 1073 - Enquiries, Complaints and suggestions – Investigations or Legal significance – retain for 7 years after business action completed.</w:t>
            </w:r>
          </w:p>
          <w:p w14:paraId="4CAEF86C" w14:textId="77777777" w:rsidR="008F1DCF" w:rsidRDefault="008F1DCF" w:rsidP="008F1DCF">
            <w:pPr>
              <w:pStyle w:val="Tablesub-heading"/>
              <w:rPr>
                <w:b w:val="0"/>
                <w:noProof/>
                <w:szCs w:val="22"/>
              </w:rPr>
            </w:pPr>
            <w:r w:rsidRPr="003A01B4">
              <w:rPr>
                <w:b w:val="0"/>
                <w:i/>
                <w:iCs/>
                <w:noProof/>
                <w:szCs w:val="22"/>
              </w:rPr>
              <w:t>RA 2019/00447636 for the Australian Building and Construction Commission</w:t>
            </w:r>
            <w:r>
              <w:rPr>
                <w:b w:val="0"/>
                <w:noProof/>
                <w:szCs w:val="22"/>
              </w:rPr>
              <w:t xml:space="preserve"> (ABCC), 62698, Investigation Cases (Initial Complaint/s, Interviews, Site Visits, Photographs, Notices, Actions, Decisions), retain for 7 years - as issued by the National Archives of Australia (NAA).</w:t>
            </w:r>
          </w:p>
          <w:p w14:paraId="6F7D1B3A" w14:textId="77777777" w:rsidR="008F1DCF" w:rsidRPr="004A453A" w:rsidRDefault="008F1DCF" w:rsidP="008F1DCF">
            <w:pPr>
              <w:pStyle w:val="Tablesub-heading"/>
              <w:rPr>
                <w:b w:val="0"/>
                <w:szCs w:val="22"/>
              </w:rPr>
            </w:pPr>
            <w:r w:rsidRPr="00576C54">
              <w:rPr>
                <w:b w:val="0"/>
                <w:i/>
                <w:iCs/>
                <w:noProof/>
                <w:szCs w:val="22"/>
              </w:rPr>
              <w:t>QDAN 480 v.4, Local Government sector retention &amp; disposal schedule</w:t>
            </w:r>
            <w:r>
              <w:rPr>
                <w:b w:val="0"/>
                <w:noProof/>
                <w:szCs w:val="22"/>
              </w:rPr>
              <w:t xml:space="preserve"> -7.4.1 – Approval of Building Products – retain for 5 years after last action. </w:t>
            </w:r>
          </w:p>
          <w:p w14:paraId="2068356E" w14:textId="77777777" w:rsidR="00F8629C" w:rsidRPr="00634D63" w:rsidRDefault="00F8629C" w:rsidP="00941840">
            <w:pPr>
              <w:pStyle w:val="Heading2"/>
            </w:pPr>
            <w:r w:rsidRPr="00634D63">
              <w:t>Other comments/factors for consideration:</w:t>
            </w:r>
          </w:p>
          <w:p w14:paraId="7DAB2776" w14:textId="77777777" w:rsidR="008F1DCF" w:rsidRPr="00257A92" w:rsidRDefault="008F1DCF" w:rsidP="008F1DCF">
            <w:pPr>
              <w:pStyle w:val="Heading2"/>
              <w:rPr>
                <w:rFonts w:ascii="Arial" w:hAnsi="Arial" w:cs="Arial"/>
                <w:b w:val="0"/>
                <w:szCs w:val="22"/>
              </w:rPr>
            </w:pPr>
            <w:r w:rsidRPr="00257A92">
              <w:rPr>
                <w:rFonts w:ascii="Arial" w:hAnsi="Arial" w:cs="Arial"/>
                <w:b w:val="0"/>
                <w:i/>
                <w:iCs/>
                <w:noProof/>
                <w:szCs w:val="22"/>
              </w:rPr>
              <w:t>Building and Construction Legislation (Non-Conforming Building Products – Chain of Responsibility and Other Matters) Amendment Act</w:t>
            </w:r>
            <w:r w:rsidRPr="00257A92">
              <w:rPr>
                <w:b w:val="0"/>
                <w:i/>
                <w:iCs/>
                <w:noProof/>
                <w:szCs w:val="22"/>
              </w:rPr>
              <w:t xml:space="preserve"> </w:t>
            </w:r>
            <w:r w:rsidRPr="00257A92">
              <w:rPr>
                <w:rFonts w:ascii="Arial" w:hAnsi="Arial" w:cs="Arial"/>
                <w:b w:val="0"/>
                <w:i/>
                <w:iCs/>
                <w:noProof/>
                <w:szCs w:val="22"/>
              </w:rPr>
              <w:t>2017</w:t>
            </w:r>
            <w:r w:rsidRPr="00257A92">
              <w:rPr>
                <w:rFonts w:ascii="Arial" w:hAnsi="Arial" w:cs="Arial"/>
                <w:b w:val="0"/>
                <w:noProof/>
                <w:szCs w:val="22"/>
              </w:rPr>
              <w:t>, s.74AZ(3) ~ Recall Orders remain in force until the end of 2 years unless sooner revoked by the Minister.</w:t>
            </w:r>
          </w:p>
          <w:p w14:paraId="39DA39DD" w14:textId="77777777" w:rsidR="00F8629C" w:rsidRPr="00634D63" w:rsidRDefault="00F8629C" w:rsidP="00941840">
            <w:pPr>
              <w:pStyle w:val="Heading2"/>
            </w:pPr>
            <w:r w:rsidRPr="00634D63">
              <w:t>Previous schedule references:</w:t>
            </w:r>
          </w:p>
          <w:p w14:paraId="03EAA1D0" w14:textId="2B478DF1" w:rsidR="00F8629C" w:rsidRPr="004A453A" w:rsidRDefault="008F1DCF" w:rsidP="00941840">
            <w:pPr>
              <w:pStyle w:val="Tablesub-heading"/>
              <w:rPr>
                <w:b w:val="0"/>
                <w:szCs w:val="22"/>
              </w:rPr>
            </w:pPr>
            <w:r>
              <w:rPr>
                <w:b w:val="0"/>
                <w:szCs w:val="22"/>
              </w:rPr>
              <w:t>New disposal authorisation</w:t>
            </w:r>
            <w:r w:rsidR="00BD45BA">
              <w:rPr>
                <w:b w:val="0"/>
                <w:szCs w:val="22"/>
              </w:rPr>
              <w:t>.</w:t>
            </w:r>
          </w:p>
        </w:tc>
      </w:tr>
    </w:tbl>
    <w:p w14:paraId="6A3EA582" w14:textId="264FDCB6" w:rsidR="009E0882" w:rsidRDefault="009E0882" w:rsidP="00F8629C"/>
    <w:p w14:paraId="37392511" w14:textId="77777777" w:rsidR="00C52CD1" w:rsidRDefault="009E0882" w:rsidP="00F8629C">
      <w:r>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9E0882" w:rsidRPr="004A453A" w14:paraId="5039D321" w14:textId="77777777" w:rsidTr="00F05985">
        <w:tc>
          <w:tcPr>
            <w:tcW w:w="5000" w:type="pct"/>
            <w:shd w:val="clear" w:color="auto" w:fill="E0E0E0"/>
          </w:tcPr>
          <w:p w14:paraId="7AF2D09B" w14:textId="77777777" w:rsidR="009E0882" w:rsidRPr="004A453A" w:rsidRDefault="009E0882" w:rsidP="00F05985">
            <w:pPr>
              <w:spacing w:before="60" w:after="60"/>
              <w:rPr>
                <w:b/>
                <w:lang w:eastAsia="en-AU"/>
              </w:rPr>
            </w:pPr>
            <w:r>
              <w:rPr>
                <w:b/>
                <w:lang w:eastAsia="en-AU"/>
              </w:rPr>
              <w:lastRenderedPageBreak/>
              <w:t>Activity</w:t>
            </w:r>
          </w:p>
        </w:tc>
      </w:tr>
      <w:tr w:rsidR="009E0882" w:rsidRPr="004A453A" w14:paraId="2E1B95E6" w14:textId="77777777" w:rsidTr="00F05985">
        <w:tc>
          <w:tcPr>
            <w:tcW w:w="5000" w:type="pct"/>
          </w:tcPr>
          <w:p w14:paraId="705C5B4A" w14:textId="77777777" w:rsidR="009E0882" w:rsidRPr="00CB5D3E" w:rsidRDefault="009E0882" w:rsidP="009E0882">
            <w:pPr>
              <w:pStyle w:val="Heading2"/>
            </w:pPr>
            <w:r>
              <w:rPr>
                <w:noProof/>
              </w:rPr>
              <w:t>LICENSING AND PERMIT MANAGEMENT</w:t>
            </w:r>
          </w:p>
          <w:p w14:paraId="5565668A" w14:textId="7480876A" w:rsidR="009E0882" w:rsidRPr="00E35904" w:rsidRDefault="009E0882" w:rsidP="009E0882">
            <w:pPr>
              <w:pStyle w:val="Scopenote"/>
            </w:pPr>
            <w:r w:rsidRPr="00872F10">
              <w:rPr>
                <w:rFonts w:cs="Arial"/>
                <w:szCs w:val="22"/>
              </w:rPr>
              <w:t>The activities associated with granting licences in accordance with t</w:t>
            </w:r>
            <w:r>
              <w:rPr>
                <w:rFonts w:cs="Arial"/>
                <w:szCs w:val="22"/>
              </w:rPr>
              <w:t xml:space="preserve">he QBCC Act 1991 for building </w:t>
            </w:r>
            <w:r w:rsidRPr="00872F10">
              <w:rPr>
                <w:rFonts w:cs="Arial"/>
                <w:szCs w:val="22"/>
              </w:rPr>
              <w:t>and trade contractors. Includes approving and renewing business (commercial) and occupational licences, assessing and determining individual licence applications, annual renewal returns, issuance of license cards or certific</w:t>
            </w:r>
            <w:r>
              <w:rPr>
                <w:rFonts w:cs="Arial"/>
                <w:szCs w:val="22"/>
              </w:rPr>
              <w:t xml:space="preserve">ates, updating licensee details, reporting </w:t>
            </w:r>
            <w:r w:rsidRPr="00872F10">
              <w:rPr>
                <w:rFonts w:cs="Arial"/>
                <w:szCs w:val="22"/>
              </w:rPr>
              <w:t>and issuing owner builder permits.</w:t>
            </w:r>
          </w:p>
        </w:tc>
      </w:tr>
    </w:tbl>
    <w:p w14:paraId="53F50CA4" w14:textId="23C2A83A" w:rsidR="009E0882" w:rsidRDefault="009E0882"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2721"/>
        <w:gridCol w:w="10477"/>
      </w:tblGrid>
      <w:tr w:rsidR="009E0882" w:rsidRPr="004A453A" w14:paraId="2479A342" w14:textId="77777777" w:rsidTr="00384B0E">
        <w:trPr>
          <w:tblHeader/>
        </w:trPr>
        <w:tc>
          <w:tcPr>
            <w:tcW w:w="567" w:type="pct"/>
            <w:tcBorders>
              <w:top w:val="single" w:sz="6" w:space="0" w:color="C0C0C0"/>
              <w:bottom w:val="single" w:sz="6" w:space="0" w:color="C0C0C0"/>
            </w:tcBorders>
            <w:shd w:val="clear" w:color="auto" w:fill="C0C0C0"/>
            <w:vAlign w:val="center"/>
          </w:tcPr>
          <w:p w14:paraId="40ED84E9" w14:textId="77777777" w:rsidR="009E0882" w:rsidRPr="003B6B5D" w:rsidRDefault="009E0882" w:rsidP="00F05985">
            <w:pPr>
              <w:pStyle w:val="Tablesub-heading"/>
              <w:rPr>
                <w:szCs w:val="22"/>
              </w:rPr>
            </w:pPr>
            <w:r w:rsidRPr="003B6B5D">
              <w:t>Disposal Authorisation</w:t>
            </w:r>
          </w:p>
        </w:tc>
        <w:tc>
          <w:tcPr>
            <w:tcW w:w="914" w:type="pct"/>
            <w:tcBorders>
              <w:top w:val="single" w:sz="6" w:space="0" w:color="C0C0C0"/>
              <w:bottom w:val="single" w:sz="6" w:space="0" w:color="C0C0C0"/>
            </w:tcBorders>
            <w:shd w:val="clear" w:color="auto" w:fill="C0C0C0"/>
            <w:vAlign w:val="center"/>
          </w:tcPr>
          <w:p w14:paraId="7310B7E2" w14:textId="77777777" w:rsidR="009E0882" w:rsidRPr="004A453A" w:rsidRDefault="009E0882" w:rsidP="00F05985">
            <w:pPr>
              <w:pStyle w:val="Tablesub-heading"/>
            </w:pPr>
            <w:r>
              <w:t>Record class</w:t>
            </w:r>
            <w:r w:rsidRPr="004A453A">
              <w:t xml:space="preserve"> and retention period</w:t>
            </w:r>
          </w:p>
        </w:tc>
        <w:tc>
          <w:tcPr>
            <w:tcW w:w="3519" w:type="pct"/>
            <w:tcBorders>
              <w:top w:val="single" w:sz="6" w:space="0" w:color="C0C0C0"/>
              <w:bottom w:val="single" w:sz="6" w:space="0" w:color="C0C0C0"/>
            </w:tcBorders>
            <w:shd w:val="clear" w:color="auto" w:fill="C0C0C0"/>
            <w:vAlign w:val="center"/>
          </w:tcPr>
          <w:p w14:paraId="636B3FC0" w14:textId="77777777" w:rsidR="009E0882" w:rsidRPr="004A453A" w:rsidRDefault="009E0882" w:rsidP="00F05985">
            <w:pPr>
              <w:pStyle w:val="Tablesub-heading"/>
            </w:pPr>
            <w:r>
              <w:t>Justifying</w:t>
            </w:r>
            <w:r w:rsidRPr="004A453A">
              <w:t xml:space="preserve"> </w:t>
            </w:r>
            <w:r>
              <w:t>the</w:t>
            </w:r>
            <w:r w:rsidRPr="004A453A">
              <w:t xml:space="preserve"> retention period</w:t>
            </w:r>
          </w:p>
        </w:tc>
      </w:tr>
      <w:tr w:rsidR="009E0882" w:rsidRPr="004A453A" w14:paraId="0EACAEBD" w14:textId="77777777" w:rsidTr="00384B0E">
        <w:tc>
          <w:tcPr>
            <w:tcW w:w="567" w:type="pct"/>
            <w:tcBorders>
              <w:top w:val="single" w:sz="6" w:space="0" w:color="C0C0C0"/>
              <w:bottom w:val="single" w:sz="6" w:space="0" w:color="C0C0C0"/>
            </w:tcBorders>
            <w:shd w:val="clear" w:color="auto" w:fill="auto"/>
          </w:tcPr>
          <w:p w14:paraId="6978F424" w14:textId="5C3FF1D5" w:rsidR="009E0882" w:rsidRPr="004A453A" w:rsidRDefault="00004D60" w:rsidP="00F05985">
            <w:pPr>
              <w:pStyle w:val="Tablesub-heading"/>
              <w:rPr>
                <w:b w:val="0"/>
                <w:szCs w:val="22"/>
              </w:rPr>
            </w:pPr>
            <w:r>
              <w:rPr>
                <w:b w:val="0"/>
                <w:szCs w:val="22"/>
              </w:rPr>
              <w:t>2766</w:t>
            </w:r>
          </w:p>
        </w:tc>
        <w:tc>
          <w:tcPr>
            <w:tcW w:w="914" w:type="pct"/>
            <w:tcBorders>
              <w:top w:val="single" w:sz="6" w:space="0" w:color="C0C0C0"/>
              <w:bottom w:val="single" w:sz="6" w:space="0" w:color="C0C0C0"/>
            </w:tcBorders>
            <w:shd w:val="clear" w:color="auto" w:fill="auto"/>
          </w:tcPr>
          <w:p w14:paraId="5DD747F9" w14:textId="77777777" w:rsidR="009E0882" w:rsidRPr="00917033" w:rsidRDefault="009E0882" w:rsidP="009E0882">
            <w:pPr>
              <w:pStyle w:val="Tablesub-heading"/>
              <w:rPr>
                <w:i/>
                <w:szCs w:val="22"/>
              </w:rPr>
            </w:pPr>
            <w:r>
              <w:rPr>
                <w:i/>
                <w:noProof/>
                <w:szCs w:val="22"/>
              </w:rPr>
              <w:t>Licensing files</w:t>
            </w:r>
          </w:p>
          <w:p w14:paraId="385EF97E" w14:textId="3CD52374" w:rsidR="009E0882" w:rsidRPr="004A453A" w:rsidRDefault="009E0882" w:rsidP="009E0882">
            <w:pPr>
              <w:pStyle w:val="Tablesub-heading"/>
              <w:rPr>
                <w:szCs w:val="22"/>
              </w:rPr>
            </w:pPr>
            <w:r>
              <w:rPr>
                <w:b w:val="0"/>
                <w:noProof/>
                <w:szCs w:val="22"/>
              </w:rPr>
              <w:t xml:space="preserve">Records relating to licences issued by the Queensland Building &amp; Construction Commission under s.30 of the </w:t>
            </w:r>
            <w:r w:rsidRPr="009A33B0">
              <w:rPr>
                <w:b w:val="0"/>
                <w:i/>
                <w:iCs/>
                <w:noProof/>
                <w:szCs w:val="22"/>
              </w:rPr>
              <w:t>QBCC Act 1991</w:t>
            </w:r>
            <w:r>
              <w:rPr>
                <w:b w:val="0"/>
                <w:noProof/>
                <w:szCs w:val="22"/>
              </w:rPr>
              <w:t xml:space="preserve"> and granting of licences per s.12 of the </w:t>
            </w:r>
            <w:r w:rsidRPr="009A33B0">
              <w:rPr>
                <w:b w:val="0"/>
                <w:i/>
                <w:iCs/>
                <w:noProof/>
                <w:szCs w:val="22"/>
              </w:rPr>
              <w:t>Plumbing and Drainage Act</w:t>
            </w:r>
            <w:r>
              <w:rPr>
                <w:b w:val="0"/>
                <w:noProof/>
                <w:szCs w:val="22"/>
              </w:rPr>
              <w:t xml:space="preserve">. </w:t>
            </w:r>
          </w:p>
          <w:p w14:paraId="5B6179DB" w14:textId="77777777" w:rsidR="009E0882" w:rsidRPr="00634D63" w:rsidRDefault="009E0882" w:rsidP="00F05985">
            <w:pPr>
              <w:pStyle w:val="Heading2"/>
            </w:pPr>
            <w:r w:rsidRPr="00634D63">
              <w:t xml:space="preserve">Disposal action – </w:t>
            </w:r>
          </w:p>
          <w:p w14:paraId="7F3859AA" w14:textId="77777777" w:rsidR="009E0882" w:rsidRDefault="009E0882" w:rsidP="009E0882">
            <w:pPr>
              <w:pStyle w:val="Tablesub-heading"/>
              <w:rPr>
                <w:b w:val="0"/>
              </w:rPr>
            </w:pPr>
            <w:r>
              <w:rPr>
                <w:b w:val="0"/>
                <w:noProof/>
              </w:rPr>
              <w:t>60 years after registration of licence</w:t>
            </w:r>
          </w:p>
          <w:p w14:paraId="2FD4CF1C" w14:textId="77777777" w:rsidR="009E0882" w:rsidRDefault="009E0882" w:rsidP="00BD45BA">
            <w:pPr>
              <w:pStyle w:val="Tablesub-heading"/>
            </w:pPr>
            <w:r w:rsidRPr="00727D91">
              <w:t xml:space="preserve">OR </w:t>
            </w:r>
          </w:p>
          <w:p w14:paraId="121A44DC" w14:textId="77777777" w:rsidR="009E0882" w:rsidRPr="00525184" w:rsidRDefault="009E0882" w:rsidP="009E0882">
            <w:pPr>
              <w:pStyle w:val="Tablesub-heading"/>
              <w:rPr>
                <w:b w:val="0"/>
                <w:bCs/>
              </w:rPr>
            </w:pPr>
            <w:r w:rsidRPr="00525184">
              <w:rPr>
                <w:b w:val="0"/>
                <w:bCs/>
              </w:rPr>
              <w:t xml:space="preserve">12 </w:t>
            </w:r>
            <w:r>
              <w:rPr>
                <w:b w:val="0"/>
                <w:bCs/>
              </w:rPr>
              <w:t>years after cessation of a licence for a registered business or company</w:t>
            </w:r>
          </w:p>
          <w:p w14:paraId="14D05DAD" w14:textId="77777777" w:rsidR="009E0882" w:rsidRPr="00727D91" w:rsidRDefault="009E0882" w:rsidP="00BD45BA">
            <w:pPr>
              <w:pStyle w:val="Tablesub-heading"/>
            </w:pPr>
            <w:r w:rsidRPr="00727D91">
              <w:t>OR</w:t>
            </w:r>
          </w:p>
          <w:p w14:paraId="458CB201" w14:textId="18A680B4" w:rsidR="009E0882" w:rsidRPr="004A453A" w:rsidRDefault="009E0882" w:rsidP="009E0882">
            <w:pPr>
              <w:pStyle w:val="Tablesub-heading"/>
              <w:rPr>
                <w:b w:val="0"/>
              </w:rPr>
            </w:pPr>
            <w:r w:rsidRPr="00D81EF2">
              <w:rPr>
                <w:b w:val="0"/>
                <w:bCs/>
                <w:shd w:val="clear" w:color="auto" w:fill="FFFFFF"/>
              </w:rPr>
              <w:t>3 years after death of licensee.</w:t>
            </w:r>
          </w:p>
        </w:tc>
        <w:tc>
          <w:tcPr>
            <w:tcW w:w="3519" w:type="pct"/>
            <w:tcBorders>
              <w:top w:val="single" w:sz="6" w:space="0" w:color="C0C0C0"/>
              <w:bottom w:val="single" w:sz="6" w:space="0" w:color="C0C0C0"/>
            </w:tcBorders>
            <w:shd w:val="clear" w:color="auto" w:fill="auto"/>
          </w:tcPr>
          <w:p w14:paraId="4195BC56" w14:textId="03DCCFCC" w:rsidR="009E0882" w:rsidRPr="004A453A" w:rsidRDefault="009E0882" w:rsidP="00F05985">
            <w:pPr>
              <w:pStyle w:val="Tablesub-heading"/>
              <w:rPr>
                <w:b w:val="0"/>
                <w:szCs w:val="22"/>
              </w:rPr>
            </w:pPr>
            <w:r>
              <w:t xml:space="preserve">Date authorised: </w:t>
            </w:r>
            <w:r w:rsidR="00067BF0">
              <w:rPr>
                <w:b w:val="0"/>
              </w:rPr>
              <w:t>15 December 2023</w:t>
            </w:r>
          </w:p>
          <w:p w14:paraId="2866FF44" w14:textId="77777777" w:rsidR="009E0882" w:rsidRPr="00634D63" w:rsidRDefault="009E0882" w:rsidP="00F05985">
            <w:pPr>
              <w:pStyle w:val="Heading2"/>
            </w:pPr>
            <w:r w:rsidRPr="00634D63">
              <w:t>Why are these records created:</w:t>
            </w:r>
          </w:p>
          <w:p w14:paraId="2ACB2198" w14:textId="77777777" w:rsidR="002F43B4" w:rsidRPr="00523937" w:rsidRDefault="002F43B4" w:rsidP="002F43B4">
            <w:pPr>
              <w:pStyle w:val="Tablesub-heading"/>
              <w:shd w:val="clear" w:color="auto" w:fill="FFFFFF"/>
              <w:rPr>
                <w:b w:val="0"/>
                <w:szCs w:val="22"/>
              </w:rPr>
            </w:pPr>
            <w:r w:rsidRPr="00523937">
              <w:rPr>
                <w:b w:val="0"/>
                <w:noProof/>
                <w:szCs w:val="22"/>
              </w:rPr>
              <w:t xml:space="preserve">To ensure that building and construction industry practitioners </w:t>
            </w:r>
            <w:r w:rsidRPr="00057427">
              <w:rPr>
                <w:b w:val="0"/>
                <w:noProof/>
                <w:szCs w:val="22"/>
              </w:rPr>
              <w:t>(including building certifiers)</w:t>
            </w:r>
            <w:r>
              <w:rPr>
                <w:b w:val="0"/>
                <w:noProof/>
                <w:szCs w:val="22"/>
              </w:rPr>
              <w:t xml:space="preserve"> </w:t>
            </w:r>
            <w:r w:rsidRPr="00523937">
              <w:rPr>
                <w:b w:val="0"/>
                <w:noProof/>
                <w:szCs w:val="22"/>
              </w:rPr>
              <w:t>are suitably qualified and comply to codes of practice for licence holders covering both individuals and companies.</w:t>
            </w:r>
            <w:r w:rsidRPr="00523937">
              <w:rPr>
                <w:b w:val="0"/>
                <w:szCs w:val="22"/>
              </w:rPr>
              <w:t xml:space="preserve"> </w:t>
            </w:r>
          </w:p>
          <w:p w14:paraId="4DD49AAF" w14:textId="77777777" w:rsidR="002F43B4" w:rsidRPr="00523937" w:rsidRDefault="002F43B4" w:rsidP="002F43B4">
            <w:pPr>
              <w:pStyle w:val="Tablesub-heading"/>
              <w:shd w:val="clear" w:color="auto" w:fill="FFFFFF"/>
              <w:rPr>
                <w:b w:val="0"/>
                <w:szCs w:val="22"/>
              </w:rPr>
            </w:pPr>
            <w:r w:rsidRPr="00523937">
              <w:rPr>
                <w:b w:val="0"/>
                <w:szCs w:val="22"/>
              </w:rPr>
              <w:t xml:space="preserve">Associated activities include approving and renewing business and occupational licences, assessing and determining licence applications, compulsory continuous professional development (CCPD) and skills accreditation, issuance of annual renewals etc. </w:t>
            </w:r>
          </w:p>
          <w:p w14:paraId="703F1CF0" w14:textId="77777777" w:rsidR="002F43B4" w:rsidRPr="004A453A" w:rsidRDefault="002F43B4" w:rsidP="002F43B4">
            <w:pPr>
              <w:pStyle w:val="Tablesub-heading"/>
              <w:shd w:val="clear" w:color="auto" w:fill="FFFFFF"/>
              <w:rPr>
                <w:b w:val="0"/>
                <w:szCs w:val="22"/>
              </w:rPr>
            </w:pPr>
            <w:r w:rsidRPr="00523937">
              <w:rPr>
                <w:b w:val="0"/>
                <w:szCs w:val="22"/>
              </w:rPr>
              <w:t>A licence can be terminated by cancellation, retirement, suspension, expiry or death of the licensee.</w:t>
            </w:r>
          </w:p>
          <w:p w14:paraId="6211FFAF" w14:textId="77777777" w:rsidR="009E0882" w:rsidRPr="00634D63" w:rsidRDefault="009E0882" w:rsidP="00F05985">
            <w:pPr>
              <w:pStyle w:val="Heading2"/>
            </w:pPr>
            <w:r w:rsidRPr="00634D63">
              <w:t>Why the records are retained for this retention period:</w:t>
            </w:r>
          </w:p>
          <w:p w14:paraId="356990B3" w14:textId="77777777" w:rsidR="002F43B4" w:rsidRDefault="002F43B4" w:rsidP="002F43B4">
            <w:pPr>
              <w:pStyle w:val="Tablesub-heading"/>
              <w:rPr>
                <w:b w:val="0"/>
                <w:szCs w:val="22"/>
              </w:rPr>
            </w:pPr>
            <w:r>
              <w:rPr>
                <w:b w:val="0"/>
                <w:noProof/>
                <w:szCs w:val="22"/>
              </w:rPr>
              <w:t>Records of licensees need to be kept for the working life of the licence holder. Retention is intended to represent this based on assumed average age of new licence holders to be approx 25-30 years old.</w:t>
            </w:r>
            <w:r>
              <w:rPr>
                <w:b w:val="0"/>
                <w:szCs w:val="22"/>
              </w:rPr>
              <w:t xml:space="preserve"> </w:t>
            </w:r>
          </w:p>
          <w:p w14:paraId="2DE100B0" w14:textId="77777777" w:rsidR="002F43B4" w:rsidRPr="00057427" w:rsidRDefault="002F43B4" w:rsidP="002F43B4">
            <w:pPr>
              <w:pStyle w:val="Heading2"/>
              <w:rPr>
                <w:b w:val="0"/>
                <w:szCs w:val="22"/>
              </w:rPr>
            </w:pPr>
            <w:r w:rsidRPr="00057427">
              <w:rPr>
                <w:rFonts w:ascii="Arial" w:hAnsi="Arial" w:cs="Arial"/>
                <w:b w:val="0"/>
                <w:bCs/>
              </w:rPr>
              <w:t>This single record for the licensee holds the history of all actions associated with the industry practitioner and covers the initial registration process, any compulsory continuing professional development, reports   to the agency, audits, caution notices, suspensions etc.</w:t>
            </w:r>
          </w:p>
          <w:p w14:paraId="2BE43BBA" w14:textId="77777777" w:rsidR="002F43B4" w:rsidRDefault="002F43B4" w:rsidP="002F43B4">
            <w:pPr>
              <w:pStyle w:val="Tablesub-heading"/>
              <w:rPr>
                <w:b w:val="0"/>
                <w:szCs w:val="22"/>
              </w:rPr>
            </w:pPr>
            <w:r w:rsidRPr="00057427">
              <w:rPr>
                <w:b w:val="0"/>
                <w:szCs w:val="22"/>
              </w:rPr>
              <w:t>Whilst this appears to be a significant difference in retention from the previous authorisation of 12 years after termination of licence, the assumption of the previous retention was that the licence is held for the majority of the licensee’s working life.  This assumption also underpins the current retention period but has been differentiated between individuals and corporations for clarity.</w:t>
            </w:r>
            <w:r>
              <w:rPr>
                <w:b w:val="0"/>
                <w:szCs w:val="22"/>
              </w:rPr>
              <w:t xml:space="preserve"> </w:t>
            </w:r>
          </w:p>
          <w:p w14:paraId="6DD4159A" w14:textId="08E74899" w:rsidR="002F43B4" w:rsidRDefault="002F43B4" w:rsidP="002F43B4">
            <w:pPr>
              <w:pStyle w:val="Tablesub-heading"/>
              <w:shd w:val="clear" w:color="auto" w:fill="FFFFFF"/>
              <w:jc w:val="both"/>
              <w:rPr>
                <w:b w:val="0"/>
                <w:szCs w:val="22"/>
              </w:rPr>
            </w:pPr>
            <w:r>
              <w:rPr>
                <w:b w:val="0"/>
                <w:szCs w:val="22"/>
              </w:rPr>
              <w:t xml:space="preserve">The other driver for </w:t>
            </w:r>
            <w:r w:rsidR="006D7624">
              <w:rPr>
                <w:b w:val="0"/>
                <w:szCs w:val="22"/>
              </w:rPr>
              <w:t xml:space="preserve">the </w:t>
            </w:r>
            <w:r>
              <w:rPr>
                <w:b w:val="0"/>
                <w:szCs w:val="22"/>
              </w:rPr>
              <w:t xml:space="preserve">retention of </w:t>
            </w:r>
            <w:r w:rsidR="006D7624">
              <w:rPr>
                <w:b w:val="0"/>
                <w:szCs w:val="22"/>
              </w:rPr>
              <w:t xml:space="preserve">the </w:t>
            </w:r>
            <w:r>
              <w:rPr>
                <w:b w:val="0"/>
                <w:szCs w:val="22"/>
              </w:rPr>
              <w:t xml:space="preserve">licence record for </w:t>
            </w:r>
            <w:r w:rsidR="006D7624">
              <w:rPr>
                <w:b w:val="0"/>
                <w:szCs w:val="22"/>
              </w:rPr>
              <w:t xml:space="preserve">the </w:t>
            </w:r>
            <w:r>
              <w:rPr>
                <w:b w:val="0"/>
                <w:szCs w:val="22"/>
              </w:rPr>
              <w:t xml:space="preserve">working life is for </w:t>
            </w:r>
            <w:r w:rsidR="006D7624">
              <w:rPr>
                <w:b w:val="0"/>
                <w:szCs w:val="22"/>
              </w:rPr>
              <w:t xml:space="preserve">the </w:t>
            </w:r>
            <w:r>
              <w:rPr>
                <w:b w:val="0"/>
                <w:szCs w:val="22"/>
              </w:rPr>
              <w:t>purpose of mutual recognition processes. This covers individuals who move interstate and want to convert their Queensland licence to the nearest equivalent licence in the state or territory that they are moving to. This reciprocal arrangement also applies to New Zealand in certain circumstances.</w:t>
            </w:r>
          </w:p>
          <w:p w14:paraId="7C4D9646" w14:textId="58C7E45D" w:rsidR="002F43B4" w:rsidRDefault="002F43B4" w:rsidP="002F43B4">
            <w:pPr>
              <w:pStyle w:val="Tablesub-heading"/>
              <w:shd w:val="clear" w:color="auto" w:fill="FFFFFF"/>
              <w:jc w:val="both"/>
              <w:rPr>
                <w:b w:val="0"/>
                <w:szCs w:val="22"/>
              </w:rPr>
            </w:pPr>
            <w:r>
              <w:rPr>
                <w:b w:val="0"/>
                <w:szCs w:val="22"/>
              </w:rPr>
              <w:lastRenderedPageBreak/>
              <w:t xml:space="preserve">Another aspect of </w:t>
            </w:r>
            <w:r w:rsidR="006D7624">
              <w:rPr>
                <w:b w:val="0"/>
                <w:szCs w:val="22"/>
              </w:rPr>
              <w:t xml:space="preserve">retaining the </w:t>
            </w:r>
            <w:r>
              <w:rPr>
                <w:b w:val="0"/>
                <w:szCs w:val="22"/>
              </w:rPr>
              <w:t xml:space="preserve">licence record for working life is for instances of where the licensee has been suspended for a nominated period (usually 5 years). After the lapsing of a suspension, an individual may reapply for an (occupational) licence. If this is approved or not, this forms part of the original licence file. </w:t>
            </w:r>
          </w:p>
          <w:p w14:paraId="478AF9D5" w14:textId="07934DE6" w:rsidR="002F43B4" w:rsidRDefault="002F43B4" w:rsidP="002F43B4">
            <w:pPr>
              <w:pStyle w:val="Tablesub-heading"/>
              <w:shd w:val="clear" w:color="auto" w:fill="FFFFFF"/>
              <w:jc w:val="both"/>
              <w:rPr>
                <w:b w:val="0"/>
                <w:szCs w:val="22"/>
              </w:rPr>
            </w:pPr>
            <w:r>
              <w:rPr>
                <w:b w:val="0"/>
                <w:szCs w:val="22"/>
              </w:rPr>
              <w:t xml:space="preserve">Records of commercial licensees, such as a registered business or company will be retained for 12 years after cessation of the licence in accordance with s.10(3) of the </w:t>
            </w:r>
            <w:r w:rsidRPr="008D6470">
              <w:rPr>
                <w:b w:val="0"/>
                <w:i/>
                <w:iCs/>
                <w:szCs w:val="22"/>
              </w:rPr>
              <w:t xml:space="preserve">Limitation of Actions Act </w:t>
            </w:r>
            <w:r w:rsidRPr="009A33B0">
              <w:rPr>
                <w:b w:val="0"/>
                <w:i/>
                <w:iCs/>
                <w:szCs w:val="22"/>
              </w:rPr>
              <w:t>1974</w:t>
            </w:r>
            <w:r>
              <w:rPr>
                <w:b w:val="0"/>
                <w:szCs w:val="22"/>
              </w:rPr>
              <w:t>.</w:t>
            </w:r>
          </w:p>
          <w:p w14:paraId="399F4AB4" w14:textId="77777777" w:rsidR="002F43B4" w:rsidRDefault="002F43B4" w:rsidP="002F43B4">
            <w:pPr>
              <w:pStyle w:val="Tablesub-heading"/>
              <w:shd w:val="clear" w:color="auto" w:fill="FFFFFF"/>
              <w:jc w:val="both"/>
              <w:rPr>
                <w:b w:val="0"/>
                <w:szCs w:val="22"/>
              </w:rPr>
            </w:pPr>
            <w:r>
              <w:rPr>
                <w:b w:val="0"/>
                <w:szCs w:val="22"/>
              </w:rPr>
              <w:t>In summary, the retention of licence registration files for the working life of the licensee serves to promote confidence and continuity in the professional activities of licence holders and to ensure that persons involved in the Building and Construction Industry are held responsible for the standards and safety of their work. It also provides a consistent history of professional conduct across jurisdictions.</w:t>
            </w:r>
          </w:p>
          <w:p w14:paraId="51EBF681" w14:textId="77777777" w:rsidR="009E0882" w:rsidRPr="00634D63" w:rsidRDefault="009E0882" w:rsidP="00F05985">
            <w:pPr>
              <w:pStyle w:val="Heading2"/>
            </w:pPr>
            <w:r w:rsidRPr="00634D63">
              <w:t>Applicable legislation/standards:</w:t>
            </w:r>
          </w:p>
          <w:p w14:paraId="3EACD70B" w14:textId="77777777" w:rsidR="002F43B4" w:rsidRPr="00C66CC8" w:rsidRDefault="002F43B4" w:rsidP="002F43B4">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r>
              <w:rPr>
                <w:rFonts w:ascii="Arial" w:hAnsi="Arial" w:cs="Arial"/>
                <w:b w:val="0"/>
                <w:noProof/>
                <w:szCs w:val="22"/>
              </w:rPr>
              <w:t>.</w:t>
            </w:r>
          </w:p>
          <w:p w14:paraId="09EA22F3" w14:textId="77777777" w:rsidR="009E0882" w:rsidRPr="00634D63" w:rsidRDefault="009E0882" w:rsidP="00F05985">
            <w:pPr>
              <w:pStyle w:val="Heading2"/>
            </w:pPr>
            <w:r w:rsidRPr="00634D63">
              <w:t xml:space="preserve">Comparison with other schedules' retention period: </w:t>
            </w:r>
          </w:p>
          <w:p w14:paraId="66376867" w14:textId="77777777" w:rsidR="002F43B4" w:rsidRPr="00FE28CC" w:rsidRDefault="002F43B4" w:rsidP="00FE28CC">
            <w:pPr>
              <w:pStyle w:val="Tablesub-heading"/>
              <w:rPr>
                <w:b w:val="0"/>
                <w:i/>
                <w:iCs/>
                <w:noProof/>
                <w:szCs w:val="22"/>
              </w:rPr>
            </w:pPr>
            <w:r w:rsidRPr="003A01B4">
              <w:rPr>
                <w:b w:val="0"/>
                <w:i/>
                <w:iCs/>
                <w:noProof/>
                <w:szCs w:val="22"/>
              </w:rPr>
              <w:t xml:space="preserve">PROS 20/01, Victorian Building Authority (VBA), 1.2 – </w:t>
            </w:r>
            <w:r w:rsidRPr="00FE28CC">
              <w:rPr>
                <w:b w:val="0"/>
                <w:i/>
                <w:iCs/>
                <w:noProof/>
                <w:szCs w:val="22"/>
              </w:rPr>
              <w:t>Licence Registration, retain for 75 years – as issued by the Public Record Office, Victoria (PROV).</w:t>
            </w:r>
          </w:p>
          <w:p w14:paraId="76AD37FE" w14:textId="77777777" w:rsidR="002F43B4" w:rsidRPr="00FE28CC" w:rsidRDefault="002F43B4" w:rsidP="00FE28CC">
            <w:pPr>
              <w:pStyle w:val="Tablesub-heading"/>
              <w:rPr>
                <w:b w:val="0"/>
                <w:i/>
                <w:iCs/>
                <w:noProof/>
                <w:szCs w:val="22"/>
              </w:rPr>
            </w:pPr>
            <w:r w:rsidRPr="003A01B4">
              <w:rPr>
                <w:b w:val="0"/>
                <w:i/>
                <w:iCs/>
                <w:noProof/>
                <w:szCs w:val="22"/>
              </w:rPr>
              <w:t>PROS 19/01, Gambling &amp; Liquor Regulation, 1.2</w:t>
            </w:r>
            <w:r w:rsidRPr="00FE28CC">
              <w:rPr>
                <w:b w:val="0"/>
                <w:i/>
                <w:iCs/>
                <w:noProof/>
                <w:szCs w:val="22"/>
              </w:rPr>
              <w:t xml:space="preserve"> – Licensing Management, retain 65 years – as issued by the Public Record Office, Victoria (PROV).</w:t>
            </w:r>
          </w:p>
          <w:p w14:paraId="6E49FFC9" w14:textId="77777777" w:rsidR="002F43B4" w:rsidRPr="00FE28CC" w:rsidRDefault="002F43B4" w:rsidP="00FE28CC">
            <w:pPr>
              <w:pStyle w:val="Tablesub-heading"/>
              <w:rPr>
                <w:b w:val="0"/>
                <w:i/>
                <w:iCs/>
                <w:noProof/>
                <w:szCs w:val="22"/>
              </w:rPr>
            </w:pPr>
            <w:r w:rsidRPr="003A01B4">
              <w:rPr>
                <w:b w:val="0"/>
                <w:i/>
                <w:iCs/>
                <w:noProof/>
                <w:szCs w:val="22"/>
              </w:rPr>
              <w:t>QDAN 742, v.2, Qld Racing Integrity Commission (QRIC) - 1.16.2</w:t>
            </w:r>
            <w:r w:rsidRPr="00FE28CC">
              <w:rPr>
                <w:b w:val="0"/>
                <w:i/>
                <w:iCs/>
                <w:noProof/>
                <w:szCs w:val="22"/>
              </w:rPr>
              <w:t xml:space="preserve"> – Licences &amp; Permits Granted - Other - retain 25 years after licence/permit expires or ceases.</w:t>
            </w:r>
          </w:p>
          <w:p w14:paraId="49B967B7" w14:textId="77777777" w:rsidR="009E0882" w:rsidRPr="00634D63" w:rsidRDefault="009E0882" w:rsidP="00F05985">
            <w:pPr>
              <w:pStyle w:val="Heading2"/>
            </w:pPr>
            <w:r w:rsidRPr="00634D63">
              <w:t>Other comments/factors for consideration:</w:t>
            </w:r>
          </w:p>
          <w:p w14:paraId="5EAAD46C" w14:textId="77777777" w:rsidR="002F43B4" w:rsidRPr="004A453A" w:rsidRDefault="002F43B4" w:rsidP="002F43B4">
            <w:pPr>
              <w:pStyle w:val="Tablesub-heading"/>
              <w:rPr>
                <w:b w:val="0"/>
                <w:szCs w:val="22"/>
              </w:rPr>
            </w:pPr>
            <w:r>
              <w:rPr>
                <w:b w:val="0"/>
                <w:noProof/>
                <w:szCs w:val="22"/>
              </w:rPr>
              <w:t>The information exchanged between the corporate information management system (Content Manager) and the QBCC case management system (SalesForce) concerning history of licensees is not altogether comprehensive, so it’s difficult to readily ascertain the current status of a licence holder. Using a retention period based on the assumed working life of a licensee is more practical and workable.</w:t>
            </w:r>
          </w:p>
          <w:p w14:paraId="0EA774E1" w14:textId="77777777" w:rsidR="009E0882" w:rsidRPr="00634D63" w:rsidRDefault="009E0882" w:rsidP="00F05985">
            <w:pPr>
              <w:pStyle w:val="Heading2"/>
            </w:pPr>
            <w:r w:rsidRPr="00634D63">
              <w:t>Previous schedule references:</w:t>
            </w:r>
          </w:p>
          <w:p w14:paraId="6DC5CA27" w14:textId="754A9FFB" w:rsidR="00B905AF" w:rsidRPr="00B905AF" w:rsidRDefault="002F43B4" w:rsidP="00B905AF">
            <w:pPr>
              <w:pStyle w:val="Tablesub-heading"/>
              <w:rPr>
                <w:b w:val="0"/>
                <w:noProof/>
                <w:szCs w:val="22"/>
                <w:shd w:val="clear" w:color="auto" w:fill="FFFFFF"/>
              </w:rPr>
            </w:pPr>
            <w:r w:rsidRPr="00370029">
              <w:rPr>
                <w:rFonts w:cs="Arial"/>
                <w:b w:val="0"/>
                <w:i/>
                <w:iCs/>
                <w:noProof/>
                <w:szCs w:val="22"/>
              </w:rPr>
              <w:t xml:space="preserve">QDAN 185 v.2 Queensland Building and Construction Commission </w:t>
            </w:r>
            <w:r>
              <w:rPr>
                <w:rFonts w:cs="Arial"/>
                <w:b w:val="0"/>
                <w:i/>
                <w:iCs/>
                <w:noProof/>
                <w:szCs w:val="22"/>
              </w:rPr>
              <w:t>Re</w:t>
            </w:r>
            <w:r w:rsidRPr="00370029">
              <w:rPr>
                <w:rFonts w:cs="Arial"/>
                <w:b w:val="0"/>
                <w:i/>
                <w:iCs/>
                <w:noProof/>
                <w:szCs w:val="22"/>
              </w:rPr>
              <w:t xml:space="preserve">tention and </w:t>
            </w:r>
            <w:r>
              <w:rPr>
                <w:rFonts w:cs="Arial"/>
                <w:b w:val="0"/>
                <w:i/>
                <w:iCs/>
                <w:noProof/>
                <w:szCs w:val="22"/>
              </w:rPr>
              <w:t>D</w:t>
            </w:r>
            <w:r w:rsidRPr="00370029">
              <w:rPr>
                <w:rFonts w:cs="Arial"/>
                <w:b w:val="0"/>
                <w:i/>
                <w:iCs/>
                <w:noProof/>
                <w:szCs w:val="22"/>
              </w:rPr>
              <w:t xml:space="preserve">isposal </w:t>
            </w:r>
            <w:r w:rsidR="00B905AF">
              <w:rPr>
                <w:rFonts w:cs="Arial"/>
                <w:b w:val="0"/>
                <w:i/>
                <w:iCs/>
                <w:noProof/>
                <w:szCs w:val="22"/>
              </w:rPr>
              <w:t>Schedule:</w:t>
            </w:r>
          </w:p>
          <w:p w14:paraId="585BAC59" w14:textId="4E7839B4" w:rsidR="009E0882" w:rsidRDefault="002F43B4" w:rsidP="00500F64">
            <w:pPr>
              <w:pStyle w:val="Tablesub-heading"/>
              <w:numPr>
                <w:ilvl w:val="0"/>
                <w:numId w:val="16"/>
              </w:numPr>
              <w:rPr>
                <w:b w:val="0"/>
                <w:noProof/>
                <w:szCs w:val="22"/>
                <w:shd w:val="clear" w:color="auto" w:fill="FFFFFF"/>
              </w:rPr>
            </w:pPr>
            <w:r w:rsidRPr="00D81EF2">
              <w:rPr>
                <w:b w:val="0"/>
                <w:noProof/>
                <w:szCs w:val="22"/>
                <w:shd w:val="clear" w:color="auto" w:fill="FFFFFF"/>
              </w:rPr>
              <w:t>1.2.1</w:t>
            </w:r>
            <w:r>
              <w:rPr>
                <w:b w:val="0"/>
                <w:noProof/>
                <w:szCs w:val="22"/>
                <w:shd w:val="clear" w:color="auto" w:fill="FFFFFF"/>
              </w:rPr>
              <w:t xml:space="preserve"> – retain for 12 years after termination or refusal of licence.</w:t>
            </w:r>
          </w:p>
          <w:p w14:paraId="493B9AC1" w14:textId="23D90168" w:rsidR="00B905AF" w:rsidRPr="002F43B4" w:rsidRDefault="00B905AF" w:rsidP="00500F64">
            <w:pPr>
              <w:pStyle w:val="Tablesub-heading"/>
              <w:numPr>
                <w:ilvl w:val="0"/>
                <w:numId w:val="16"/>
              </w:numPr>
              <w:rPr>
                <w:b w:val="0"/>
                <w:noProof/>
                <w:szCs w:val="22"/>
                <w:shd w:val="clear" w:color="auto" w:fill="FFFFFF"/>
              </w:rPr>
            </w:pPr>
            <w:r w:rsidRPr="00D81EF2">
              <w:rPr>
                <w:b w:val="0"/>
                <w:noProof/>
                <w:szCs w:val="22"/>
                <w:shd w:val="clear" w:color="auto" w:fill="FFFFFF"/>
              </w:rPr>
              <w:t>1.</w:t>
            </w:r>
            <w:r>
              <w:rPr>
                <w:b w:val="0"/>
                <w:noProof/>
                <w:szCs w:val="22"/>
                <w:shd w:val="clear" w:color="auto" w:fill="FFFFFF"/>
              </w:rPr>
              <w:t>3</w:t>
            </w:r>
            <w:r w:rsidRPr="00D81EF2">
              <w:rPr>
                <w:b w:val="0"/>
                <w:noProof/>
                <w:szCs w:val="22"/>
                <w:shd w:val="clear" w:color="auto" w:fill="FFFFFF"/>
              </w:rPr>
              <w:t>.1</w:t>
            </w:r>
            <w:r>
              <w:rPr>
                <w:b w:val="0"/>
                <w:noProof/>
                <w:szCs w:val="22"/>
                <w:shd w:val="clear" w:color="auto" w:fill="FFFFFF"/>
              </w:rPr>
              <w:t xml:space="preserve"> – retain for 12 years after termination or refusal of licence.</w:t>
            </w:r>
          </w:p>
        </w:tc>
      </w:tr>
      <w:tr w:rsidR="009E0882" w:rsidRPr="004A453A" w14:paraId="228A628A" w14:textId="77777777" w:rsidTr="00384B0E">
        <w:tc>
          <w:tcPr>
            <w:tcW w:w="567" w:type="pct"/>
            <w:tcBorders>
              <w:top w:val="single" w:sz="6" w:space="0" w:color="C0C0C0"/>
              <w:bottom w:val="single" w:sz="6" w:space="0" w:color="C0C0C0"/>
            </w:tcBorders>
            <w:shd w:val="clear" w:color="auto" w:fill="auto"/>
          </w:tcPr>
          <w:p w14:paraId="11B84D39" w14:textId="2AE4C04B" w:rsidR="009E0882" w:rsidRPr="004A453A" w:rsidRDefault="000E553A" w:rsidP="00F05985">
            <w:pPr>
              <w:pStyle w:val="Tablesub-heading"/>
              <w:rPr>
                <w:b w:val="0"/>
                <w:szCs w:val="22"/>
              </w:rPr>
            </w:pPr>
            <w:bookmarkStart w:id="9" w:name="_Hlk150339385"/>
            <w:r>
              <w:rPr>
                <w:b w:val="0"/>
                <w:szCs w:val="22"/>
              </w:rPr>
              <w:lastRenderedPageBreak/>
              <w:t>2767</w:t>
            </w:r>
          </w:p>
        </w:tc>
        <w:tc>
          <w:tcPr>
            <w:tcW w:w="914" w:type="pct"/>
            <w:tcBorders>
              <w:top w:val="single" w:sz="6" w:space="0" w:color="C0C0C0"/>
              <w:bottom w:val="single" w:sz="6" w:space="0" w:color="C0C0C0"/>
            </w:tcBorders>
            <w:shd w:val="clear" w:color="auto" w:fill="auto"/>
          </w:tcPr>
          <w:p w14:paraId="6CDF05CB" w14:textId="77777777" w:rsidR="00C8170B" w:rsidRPr="00634D63" w:rsidRDefault="00C8170B" w:rsidP="00C8170B">
            <w:pPr>
              <w:pStyle w:val="Heading3"/>
            </w:pPr>
            <w:r>
              <w:rPr>
                <w:noProof/>
              </w:rPr>
              <w:t>Licensing Exemptions</w:t>
            </w:r>
          </w:p>
          <w:p w14:paraId="4FFFAB93" w14:textId="5337568E" w:rsidR="00C8170B" w:rsidRDefault="00C8170B" w:rsidP="00C8170B">
            <w:pPr>
              <w:pStyle w:val="Tablesub-heading"/>
              <w:rPr>
                <w:b w:val="0"/>
                <w:szCs w:val="22"/>
              </w:rPr>
            </w:pPr>
            <w:r>
              <w:rPr>
                <w:b w:val="0"/>
                <w:noProof/>
                <w:szCs w:val="22"/>
              </w:rPr>
              <w:t>Records relating to applications for exemption from licensing requirements per schedule 1(10) of QBCC Regulation 2018 for charitable or community organisations.</w:t>
            </w:r>
          </w:p>
          <w:p w14:paraId="42922E84" w14:textId="77777777" w:rsidR="009E0882" w:rsidRPr="00634D63" w:rsidRDefault="009E0882" w:rsidP="00F05985">
            <w:pPr>
              <w:pStyle w:val="Heading2"/>
            </w:pPr>
            <w:r w:rsidRPr="00634D63">
              <w:t xml:space="preserve">Disposal action – </w:t>
            </w:r>
          </w:p>
          <w:p w14:paraId="7D0F4C66" w14:textId="66B3E9F2" w:rsidR="009E0882" w:rsidRPr="004A453A" w:rsidRDefault="00C8170B" w:rsidP="0059418F">
            <w:pPr>
              <w:pStyle w:val="Tablesub-heading"/>
              <w:rPr>
                <w:b w:val="0"/>
              </w:rPr>
            </w:pPr>
            <w:r>
              <w:rPr>
                <w:b w:val="0"/>
                <w:noProof/>
              </w:rPr>
              <w:t>7 years after business action completed.</w:t>
            </w:r>
          </w:p>
        </w:tc>
        <w:tc>
          <w:tcPr>
            <w:tcW w:w="3519" w:type="pct"/>
            <w:tcBorders>
              <w:top w:val="single" w:sz="6" w:space="0" w:color="C0C0C0"/>
              <w:bottom w:val="single" w:sz="6" w:space="0" w:color="C0C0C0"/>
            </w:tcBorders>
            <w:shd w:val="clear" w:color="auto" w:fill="auto"/>
          </w:tcPr>
          <w:p w14:paraId="4EF2EC13" w14:textId="1148D487" w:rsidR="009E0882" w:rsidRPr="004A453A" w:rsidRDefault="009E0882" w:rsidP="00F05985">
            <w:pPr>
              <w:pStyle w:val="Tablesub-heading"/>
              <w:rPr>
                <w:b w:val="0"/>
                <w:szCs w:val="22"/>
              </w:rPr>
            </w:pPr>
            <w:r>
              <w:t xml:space="preserve">Date authorised: </w:t>
            </w:r>
            <w:r w:rsidR="00067BF0">
              <w:rPr>
                <w:b w:val="0"/>
              </w:rPr>
              <w:t>15 December 2023</w:t>
            </w:r>
          </w:p>
          <w:p w14:paraId="58577B07" w14:textId="77777777" w:rsidR="009E0882" w:rsidRPr="00634D63" w:rsidRDefault="009E0882" w:rsidP="00F05985">
            <w:pPr>
              <w:pStyle w:val="Heading2"/>
            </w:pPr>
            <w:r w:rsidRPr="00634D63">
              <w:t>Why are these records created:</w:t>
            </w:r>
          </w:p>
          <w:p w14:paraId="5A8E6AA8" w14:textId="77777777" w:rsidR="0059418F" w:rsidRDefault="0059418F" w:rsidP="0059418F">
            <w:pPr>
              <w:pStyle w:val="Tablesub-heading"/>
              <w:rPr>
                <w:b w:val="0"/>
                <w:szCs w:val="22"/>
              </w:rPr>
            </w:pPr>
            <w:r>
              <w:rPr>
                <w:b w:val="0"/>
                <w:noProof/>
                <w:szCs w:val="22"/>
              </w:rPr>
              <w:t xml:space="preserve">Used for assessment of applications from charitable or community organisations for exemption from licensing requirements for building works. </w:t>
            </w:r>
          </w:p>
          <w:p w14:paraId="249EA785" w14:textId="14857B06" w:rsidR="0059418F" w:rsidRPr="00211D94" w:rsidRDefault="0059418F" w:rsidP="0059418F">
            <w:pPr>
              <w:pStyle w:val="Tablesub-heading"/>
              <w:shd w:val="clear" w:color="auto" w:fill="FFFFFF"/>
              <w:rPr>
                <w:b w:val="0"/>
                <w:bCs/>
                <w:szCs w:val="22"/>
              </w:rPr>
            </w:pPr>
            <w:r w:rsidRPr="00211D94">
              <w:rPr>
                <w:b w:val="0"/>
                <w:bCs/>
                <w:szCs w:val="22"/>
              </w:rPr>
              <w:t>Under schedule 1</w:t>
            </w:r>
            <w:r>
              <w:rPr>
                <w:b w:val="0"/>
                <w:bCs/>
                <w:szCs w:val="22"/>
              </w:rPr>
              <w:t xml:space="preserve">, </w:t>
            </w:r>
            <w:r w:rsidRPr="00211D94">
              <w:rPr>
                <w:b w:val="0"/>
                <w:bCs/>
                <w:szCs w:val="22"/>
              </w:rPr>
              <w:t xml:space="preserve">section 10 of the </w:t>
            </w:r>
            <w:r w:rsidRPr="009A33B0">
              <w:rPr>
                <w:b w:val="0"/>
                <w:bCs/>
                <w:i/>
                <w:iCs/>
                <w:szCs w:val="22"/>
              </w:rPr>
              <w:t>QBCC Regulation</w:t>
            </w:r>
            <w:r w:rsidR="007C2F69" w:rsidRPr="009A33B0">
              <w:rPr>
                <w:b w:val="0"/>
                <w:bCs/>
                <w:i/>
                <w:iCs/>
                <w:szCs w:val="22"/>
              </w:rPr>
              <w:t xml:space="preserve"> 2018</w:t>
            </w:r>
            <w:r w:rsidRPr="00211D94">
              <w:rPr>
                <w:b w:val="0"/>
                <w:bCs/>
                <w:szCs w:val="22"/>
              </w:rPr>
              <w:t>, work performed by a charitable or community organisation for its</w:t>
            </w:r>
            <w:r>
              <w:rPr>
                <w:b w:val="0"/>
                <w:bCs/>
                <w:szCs w:val="22"/>
              </w:rPr>
              <w:t>’</w:t>
            </w:r>
            <w:r w:rsidRPr="00211D94">
              <w:rPr>
                <w:b w:val="0"/>
                <w:bCs/>
                <w:szCs w:val="22"/>
              </w:rPr>
              <w:t xml:space="preserve"> own use is not building work and does not require a contractor licence </w:t>
            </w:r>
            <w:r>
              <w:rPr>
                <w:b w:val="0"/>
                <w:bCs/>
                <w:szCs w:val="22"/>
              </w:rPr>
              <w:t>per the</w:t>
            </w:r>
            <w:r w:rsidR="007C2F69">
              <w:rPr>
                <w:b w:val="0"/>
                <w:bCs/>
                <w:szCs w:val="22"/>
              </w:rPr>
              <w:t xml:space="preserve"> </w:t>
            </w:r>
            <w:r w:rsidRPr="007C2F69">
              <w:rPr>
                <w:b w:val="0"/>
                <w:bCs/>
                <w:i/>
                <w:iCs/>
                <w:szCs w:val="22"/>
              </w:rPr>
              <w:t>QBCC Act</w:t>
            </w:r>
            <w:r w:rsidRPr="00211D94">
              <w:rPr>
                <w:b w:val="0"/>
                <w:bCs/>
                <w:szCs w:val="22"/>
              </w:rPr>
              <w:t xml:space="preserve"> </w:t>
            </w:r>
            <w:r w:rsidR="007C2F69" w:rsidRPr="009A33B0">
              <w:rPr>
                <w:b w:val="0"/>
                <w:bCs/>
                <w:i/>
                <w:iCs/>
                <w:szCs w:val="22"/>
              </w:rPr>
              <w:t>1991</w:t>
            </w:r>
            <w:r w:rsidR="007C2F69">
              <w:rPr>
                <w:b w:val="0"/>
                <w:bCs/>
                <w:szCs w:val="22"/>
              </w:rPr>
              <w:t xml:space="preserve"> </w:t>
            </w:r>
            <w:r w:rsidRPr="00211D94">
              <w:rPr>
                <w:b w:val="0"/>
                <w:bCs/>
                <w:szCs w:val="22"/>
              </w:rPr>
              <w:t>if the C</w:t>
            </w:r>
            <w:r>
              <w:rPr>
                <w:b w:val="0"/>
                <w:bCs/>
                <w:szCs w:val="22"/>
              </w:rPr>
              <w:t xml:space="preserve">ommission </w:t>
            </w:r>
            <w:r w:rsidRPr="00211D94">
              <w:rPr>
                <w:b w:val="0"/>
                <w:bCs/>
                <w:szCs w:val="22"/>
              </w:rPr>
              <w:t xml:space="preserve">gives the organisation written notice that the work can be </w:t>
            </w:r>
            <w:r w:rsidR="007C2F69">
              <w:rPr>
                <w:b w:val="0"/>
                <w:bCs/>
                <w:szCs w:val="22"/>
              </w:rPr>
              <w:t>e</w:t>
            </w:r>
            <w:r w:rsidRPr="00211D94">
              <w:rPr>
                <w:b w:val="0"/>
                <w:bCs/>
                <w:szCs w:val="22"/>
              </w:rPr>
              <w:t>xcluded from</w:t>
            </w:r>
            <w:r w:rsidR="007C2F69">
              <w:rPr>
                <w:b w:val="0"/>
                <w:bCs/>
                <w:szCs w:val="22"/>
              </w:rPr>
              <w:t xml:space="preserve"> </w:t>
            </w:r>
            <w:r w:rsidRPr="00211D94">
              <w:rPr>
                <w:b w:val="0"/>
                <w:bCs/>
                <w:szCs w:val="22"/>
              </w:rPr>
              <w:t xml:space="preserve">the definition </w:t>
            </w:r>
            <w:r>
              <w:rPr>
                <w:b w:val="0"/>
                <w:bCs/>
                <w:szCs w:val="22"/>
              </w:rPr>
              <w:t xml:space="preserve">of </w:t>
            </w:r>
            <w:r w:rsidRPr="00211D94">
              <w:rPr>
                <w:b w:val="0"/>
                <w:bCs/>
                <w:szCs w:val="22"/>
              </w:rPr>
              <w:t>building work.</w:t>
            </w:r>
          </w:p>
          <w:p w14:paraId="758D4FC9" w14:textId="77777777" w:rsidR="0059418F" w:rsidRPr="00211D94" w:rsidRDefault="0059418F" w:rsidP="0059418F">
            <w:pPr>
              <w:pStyle w:val="Tablesub-heading"/>
              <w:shd w:val="clear" w:color="auto" w:fill="FFFFFF"/>
              <w:rPr>
                <w:b w:val="0"/>
                <w:bCs/>
                <w:szCs w:val="22"/>
              </w:rPr>
            </w:pPr>
            <w:r w:rsidRPr="00211D94">
              <w:rPr>
                <w:b w:val="0"/>
                <w:bCs/>
                <w:szCs w:val="22"/>
              </w:rPr>
              <w:t xml:space="preserve">In considering whether to give the notice, the QBCC must have regard to the qualifications and experience of the persons who are supervising the work. </w:t>
            </w:r>
            <w:r>
              <w:rPr>
                <w:b w:val="0"/>
                <w:bCs/>
                <w:szCs w:val="22"/>
              </w:rPr>
              <w:t>T</w:t>
            </w:r>
            <w:r w:rsidRPr="00211D94">
              <w:rPr>
                <w:b w:val="0"/>
                <w:bCs/>
                <w:szCs w:val="22"/>
              </w:rPr>
              <w:t xml:space="preserve">he QBCC </w:t>
            </w:r>
            <w:r>
              <w:rPr>
                <w:b w:val="0"/>
                <w:bCs/>
                <w:szCs w:val="22"/>
              </w:rPr>
              <w:t xml:space="preserve">also </w:t>
            </w:r>
            <w:r w:rsidRPr="00211D94">
              <w:rPr>
                <w:b w:val="0"/>
                <w:bCs/>
                <w:szCs w:val="22"/>
              </w:rPr>
              <w:t>cannot give an exclusion for residential construction work.</w:t>
            </w:r>
          </w:p>
          <w:p w14:paraId="3A1A9C1F" w14:textId="77777777" w:rsidR="009E0882" w:rsidRPr="00634D63" w:rsidRDefault="009E0882" w:rsidP="00F05985">
            <w:pPr>
              <w:pStyle w:val="Heading2"/>
            </w:pPr>
            <w:r w:rsidRPr="00634D63">
              <w:t>Why the records are retained for this retention period:</w:t>
            </w:r>
          </w:p>
          <w:p w14:paraId="29E43691" w14:textId="5C8AA58E" w:rsidR="009E0882" w:rsidRPr="004A453A" w:rsidRDefault="0059418F" w:rsidP="00F05985">
            <w:pPr>
              <w:pStyle w:val="Tablesub-heading"/>
              <w:rPr>
                <w:b w:val="0"/>
                <w:szCs w:val="22"/>
              </w:rPr>
            </w:pPr>
            <w:r>
              <w:rPr>
                <w:b w:val="0"/>
                <w:noProof/>
                <w:szCs w:val="22"/>
              </w:rPr>
              <w:t>The recommended retention period allows building work that takes a considerable amount of time to be completed.  Based on QBCC experience, projects of this nature are usually completed or discontinued within 7 years from the date of granting or refusing the exemption. This work is not covered by the Home Warranty Scheme.</w:t>
            </w:r>
          </w:p>
          <w:p w14:paraId="330E2255" w14:textId="77777777" w:rsidR="009E0882" w:rsidRPr="00634D63" w:rsidRDefault="009E0882" w:rsidP="00F05985">
            <w:pPr>
              <w:pStyle w:val="Heading2"/>
            </w:pPr>
            <w:r w:rsidRPr="00634D63">
              <w:t>Applicable legislation/standards:</w:t>
            </w:r>
          </w:p>
          <w:p w14:paraId="144A01D4" w14:textId="77777777" w:rsidR="0059418F" w:rsidRPr="00C66CC8" w:rsidRDefault="0059418F" w:rsidP="0059418F">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p>
          <w:p w14:paraId="6309D00D" w14:textId="77777777" w:rsidR="009E0882" w:rsidRPr="00634D63" w:rsidRDefault="009E0882" w:rsidP="00F05985">
            <w:pPr>
              <w:pStyle w:val="Heading2"/>
            </w:pPr>
            <w:r w:rsidRPr="00634D63">
              <w:t xml:space="preserve">Comparison with other schedules' retention period: </w:t>
            </w:r>
          </w:p>
          <w:p w14:paraId="65859E9E" w14:textId="77777777" w:rsidR="0059418F" w:rsidRDefault="0059418F" w:rsidP="0059418F">
            <w:pPr>
              <w:pStyle w:val="Tablesub-heading"/>
              <w:rPr>
                <w:b w:val="0"/>
                <w:noProof/>
                <w:szCs w:val="22"/>
              </w:rPr>
            </w:pPr>
            <w:r w:rsidRPr="003A01B4">
              <w:rPr>
                <w:b w:val="0"/>
                <w:i/>
                <w:iCs/>
                <w:noProof/>
                <w:szCs w:val="22"/>
              </w:rPr>
              <w:t>GA28, General Retention &amp; Disposal Authority for New South Wales Public Offices, 12.7.2</w:t>
            </w:r>
            <w:r>
              <w:rPr>
                <w:b w:val="0"/>
                <w:noProof/>
                <w:szCs w:val="22"/>
              </w:rPr>
              <w:t xml:space="preserve"> – Exemptions for Complying with Statutory Requirements – retain for 10 years – as issued by the NSW State Archive &amp; Records Authority (SARA).</w:t>
            </w:r>
          </w:p>
          <w:p w14:paraId="52230883" w14:textId="77777777" w:rsidR="0059418F" w:rsidRDefault="0059418F" w:rsidP="0059418F">
            <w:pPr>
              <w:pStyle w:val="Tablesub-heading"/>
              <w:rPr>
                <w:b w:val="0"/>
                <w:noProof/>
                <w:szCs w:val="22"/>
              </w:rPr>
            </w:pPr>
            <w:r w:rsidRPr="003A01B4">
              <w:rPr>
                <w:b w:val="0"/>
                <w:i/>
                <w:iCs/>
                <w:noProof/>
                <w:szCs w:val="22"/>
              </w:rPr>
              <w:t xml:space="preserve">QDAN 711, General Retention and Disposal Authority for Administrative Records of National Bodies, 6.11.3 </w:t>
            </w:r>
            <w:r>
              <w:rPr>
                <w:b w:val="0"/>
                <w:noProof/>
                <w:szCs w:val="22"/>
              </w:rPr>
              <w:t>– Exemptions - Financial Management and Legislation – retain for 7 years after expiry or refusal of exemption.</w:t>
            </w:r>
          </w:p>
          <w:p w14:paraId="7B6F225F" w14:textId="77777777" w:rsidR="0059418F" w:rsidRDefault="0059418F" w:rsidP="0059418F">
            <w:pPr>
              <w:pStyle w:val="Tablesub-heading"/>
              <w:rPr>
                <w:b w:val="0"/>
                <w:noProof/>
                <w:szCs w:val="22"/>
              </w:rPr>
            </w:pPr>
            <w:r w:rsidRPr="00122BC4">
              <w:rPr>
                <w:b w:val="0"/>
                <w:i/>
                <w:iCs/>
                <w:noProof/>
                <w:szCs w:val="22"/>
              </w:rPr>
              <w:t>QDAN 480 v.4, Local Government Sector retention and disposal schedule - 7.10.1</w:t>
            </w:r>
            <w:r>
              <w:rPr>
                <w:b w:val="0"/>
                <w:noProof/>
                <w:szCs w:val="22"/>
              </w:rPr>
              <w:t xml:space="preserve"> - Approved Swimming Pool Fencing Exemptions - retain for 7 years after exemption ceases.</w:t>
            </w:r>
          </w:p>
          <w:p w14:paraId="71869B48" w14:textId="77777777" w:rsidR="0059418F" w:rsidRDefault="0059418F" w:rsidP="0059418F">
            <w:pPr>
              <w:pStyle w:val="Tablesub-heading"/>
              <w:rPr>
                <w:b w:val="0"/>
                <w:noProof/>
                <w:szCs w:val="22"/>
              </w:rPr>
            </w:pPr>
            <w:r w:rsidRPr="00122BC4">
              <w:rPr>
                <w:b w:val="0"/>
                <w:i/>
                <w:iCs/>
                <w:noProof/>
                <w:szCs w:val="22"/>
              </w:rPr>
              <w:lastRenderedPageBreak/>
              <w:t>PROS 09/05, Var 2, Retention &amp; Disposal Authority for Local Government Functions, 6.1.2</w:t>
            </w:r>
            <w:r>
              <w:rPr>
                <w:b w:val="0"/>
                <w:noProof/>
                <w:szCs w:val="22"/>
              </w:rPr>
              <w:t xml:space="preserve"> – Exemptions for Registration by Council of a Business – retain for 7 years after last action - as issued by the Public Record Office Victoria (PROV).</w:t>
            </w:r>
          </w:p>
          <w:p w14:paraId="52BD9D1F" w14:textId="77777777" w:rsidR="009E0882" w:rsidRPr="00634D63" w:rsidRDefault="009E0882" w:rsidP="00F05985">
            <w:pPr>
              <w:pStyle w:val="Heading2"/>
            </w:pPr>
            <w:r w:rsidRPr="00634D63">
              <w:t>Previous schedule references:</w:t>
            </w:r>
          </w:p>
          <w:p w14:paraId="4F4198A9" w14:textId="6F26A8CB" w:rsidR="009E0882" w:rsidRPr="004A453A" w:rsidRDefault="0059418F" w:rsidP="00F05985">
            <w:pPr>
              <w:pStyle w:val="Tablesub-heading"/>
              <w:rPr>
                <w:b w:val="0"/>
                <w:szCs w:val="22"/>
              </w:rPr>
            </w:pPr>
            <w:r w:rsidRPr="00370029">
              <w:rPr>
                <w:rFonts w:cs="Arial"/>
                <w:b w:val="0"/>
                <w:i/>
                <w:iCs/>
                <w:noProof/>
                <w:szCs w:val="22"/>
              </w:rPr>
              <w:t>QDAN 185 v.2 Queensland Building and Construction Commission retention and disposal schedule</w:t>
            </w:r>
            <w:r>
              <w:rPr>
                <w:rFonts w:cs="Arial"/>
                <w:b w:val="0"/>
                <w:i/>
                <w:iCs/>
                <w:noProof/>
                <w:szCs w:val="22"/>
              </w:rPr>
              <w:t xml:space="preserve"> </w:t>
            </w:r>
            <w:r>
              <w:rPr>
                <w:b w:val="0"/>
                <w:noProof/>
                <w:szCs w:val="22"/>
              </w:rPr>
              <w:t xml:space="preserve">- </w:t>
            </w:r>
            <w:r w:rsidRPr="002003ED">
              <w:rPr>
                <w:b w:val="0"/>
                <w:noProof/>
                <w:szCs w:val="22"/>
              </w:rPr>
              <w:t>1.2.2</w:t>
            </w:r>
            <w:r>
              <w:rPr>
                <w:b w:val="0"/>
                <w:noProof/>
                <w:szCs w:val="22"/>
              </w:rPr>
              <w:t xml:space="preserve"> - Exemptions – retain for 7 years after expiry or refusal of exemption.</w:t>
            </w:r>
          </w:p>
        </w:tc>
      </w:tr>
      <w:tr w:rsidR="00604220" w:rsidRPr="004A453A" w14:paraId="6BDE2A5D" w14:textId="77777777" w:rsidTr="00384B0E">
        <w:tc>
          <w:tcPr>
            <w:tcW w:w="567" w:type="pct"/>
            <w:tcBorders>
              <w:top w:val="single" w:sz="6" w:space="0" w:color="C0C0C0"/>
              <w:bottom w:val="single" w:sz="6" w:space="0" w:color="C0C0C0"/>
            </w:tcBorders>
            <w:shd w:val="clear" w:color="auto" w:fill="auto"/>
          </w:tcPr>
          <w:p w14:paraId="3D3F8F43" w14:textId="62D262D2" w:rsidR="00604220" w:rsidRPr="004A453A" w:rsidRDefault="00453820" w:rsidP="002215E0">
            <w:pPr>
              <w:pStyle w:val="Tablesub-heading"/>
              <w:rPr>
                <w:b w:val="0"/>
                <w:szCs w:val="22"/>
              </w:rPr>
            </w:pPr>
            <w:bookmarkStart w:id="10" w:name="_Hlk150339543"/>
            <w:bookmarkEnd w:id="9"/>
            <w:r>
              <w:rPr>
                <w:b w:val="0"/>
                <w:szCs w:val="22"/>
              </w:rPr>
              <w:lastRenderedPageBreak/>
              <w:t>2768</w:t>
            </w:r>
          </w:p>
        </w:tc>
        <w:tc>
          <w:tcPr>
            <w:tcW w:w="914" w:type="pct"/>
            <w:tcBorders>
              <w:top w:val="single" w:sz="6" w:space="0" w:color="C0C0C0"/>
              <w:bottom w:val="single" w:sz="6" w:space="0" w:color="C0C0C0"/>
            </w:tcBorders>
            <w:shd w:val="clear" w:color="auto" w:fill="auto"/>
          </w:tcPr>
          <w:p w14:paraId="23D3F9C9" w14:textId="77777777" w:rsidR="00604220" w:rsidRPr="00917033" w:rsidRDefault="00604220" w:rsidP="00604220">
            <w:pPr>
              <w:pStyle w:val="Tablesub-heading"/>
              <w:rPr>
                <w:i/>
                <w:szCs w:val="22"/>
              </w:rPr>
            </w:pPr>
            <w:r>
              <w:rPr>
                <w:i/>
                <w:noProof/>
                <w:szCs w:val="22"/>
              </w:rPr>
              <w:t>Owner Builder Permits</w:t>
            </w:r>
          </w:p>
          <w:p w14:paraId="55256807" w14:textId="2B040080" w:rsidR="00604220" w:rsidRPr="004A453A" w:rsidRDefault="00604220" w:rsidP="00604220">
            <w:pPr>
              <w:pStyle w:val="Tablesub-heading"/>
              <w:rPr>
                <w:szCs w:val="22"/>
              </w:rPr>
            </w:pPr>
            <w:r>
              <w:rPr>
                <w:b w:val="0"/>
                <w:noProof/>
                <w:szCs w:val="22"/>
              </w:rPr>
              <w:t xml:space="preserve">Records relating to owner builder permits issued under s.44 of the </w:t>
            </w:r>
            <w:r w:rsidRPr="009A33B0">
              <w:rPr>
                <w:b w:val="0"/>
                <w:i/>
                <w:iCs/>
                <w:noProof/>
                <w:szCs w:val="22"/>
              </w:rPr>
              <w:t>Queensland Building &amp; Construction Commission Act 1991</w:t>
            </w:r>
            <w:r>
              <w:rPr>
                <w:b w:val="0"/>
                <w:noProof/>
                <w:szCs w:val="22"/>
              </w:rPr>
              <w:t>.</w:t>
            </w:r>
          </w:p>
          <w:p w14:paraId="6AD49B4A" w14:textId="77777777" w:rsidR="00604220" w:rsidRPr="00634D63" w:rsidRDefault="00604220" w:rsidP="002215E0">
            <w:pPr>
              <w:pStyle w:val="Heading2"/>
            </w:pPr>
            <w:r w:rsidRPr="00634D63">
              <w:t xml:space="preserve">Disposal action – </w:t>
            </w:r>
          </w:p>
          <w:p w14:paraId="79566927" w14:textId="2DC80575" w:rsidR="00604220" w:rsidRPr="004A453A" w:rsidRDefault="00604220" w:rsidP="002215E0">
            <w:pPr>
              <w:pStyle w:val="Tablesub-heading"/>
              <w:rPr>
                <w:b w:val="0"/>
              </w:rPr>
            </w:pPr>
            <w:r>
              <w:rPr>
                <w:rFonts w:cs="Arial"/>
                <w:b w:val="0"/>
                <w:iCs/>
                <w:noProof/>
              </w:rPr>
              <w:t>7</w:t>
            </w:r>
            <w:r w:rsidRPr="003820B5">
              <w:rPr>
                <w:rFonts w:cs="Arial"/>
                <w:b w:val="0"/>
                <w:iCs/>
                <w:noProof/>
              </w:rPr>
              <w:t xml:space="preserve"> years after business action completed.</w:t>
            </w:r>
          </w:p>
        </w:tc>
        <w:tc>
          <w:tcPr>
            <w:tcW w:w="3519" w:type="pct"/>
            <w:tcBorders>
              <w:top w:val="single" w:sz="6" w:space="0" w:color="C0C0C0"/>
              <w:bottom w:val="single" w:sz="6" w:space="0" w:color="C0C0C0"/>
            </w:tcBorders>
            <w:shd w:val="clear" w:color="auto" w:fill="auto"/>
          </w:tcPr>
          <w:p w14:paraId="030D065E" w14:textId="09A12E91" w:rsidR="00604220" w:rsidRPr="004A453A" w:rsidRDefault="00604220" w:rsidP="002215E0">
            <w:pPr>
              <w:pStyle w:val="Tablesub-heading"/>
              <w:rPr>
                <w:b w:val="0"/>
                <w:szCs w:val="22"/>
              </w:rPr>
            </w:pPr>
            <w:r>
              <w:t xml:space="preserve">Date authorised: </w:t>
            </w:r>
            <w:r w:rsidR="00067BF0">
              <w:rPr>
                <w:b w:val="0"/>
              </w:rPr>
              <w:t>15 December 2023</w:t>
            </w:r>
          </w:p>
          <w:p w14:paraId="25B9E7BE" w14:textId="77777777" w:rsidR="00604220" w:rsidRPr="00634D63" w:rsidRDefault="00604220" w:rsidP="002215E0">
            <w:pPr>
              <w:pStyle w:val="Heading2"/>
            </w:pPr>
            <w:r w:rsidRPr="00634D63">
              <w:t>Why are these records created:</w:t>
            </w:r>
          </w:p>
          <w:p w14:paraId="65591D01" w14:textId="77777777" w:rsidR="00604220" w:rsidRDefault="00604220" w:rsidP="00604220">
            <w:pPr>
              <w:pStyle w:val="Tablesub-heading"/>
              <w:rPr>
                <w:b w:val="0"/>
                <w:szCs w:val="22"/>
              </w:rPr>
            </w:pPr>
            <w:r>
              <w:rPr>
                <w:b w:val="0"/>
                <w:szCs w:val="22"/>
              </w:rPr>
              <w:t xml:space="preserve">Assessment of </w:t>
            </w:r>
            <w:r>
              <w:rPr>
                <w:b w:val="0"/>
                <w:noProof/>
                <w:szCs w:val="22"/>
              </w:rPr>
              <w:t>applications for issuance of owner builder permits and any attendant activities for life of permit (usually 6 years).</w:t>
            </w:r>
          </w:p>
          <w:p w14:paraId="26BA9E42" w14:textId="704D4914" w:rsidR="00604220" w:rsidRPr="004A453A" w:rsidRDefault="00604220" w:rsidP="00604220">
            <w:pPr>
              <w:pStyle w:val="Tablesub-heading"/>
              <w:shd w:val="clear" w:color="auto" w:fill="FFFFFF"/>
              <w:rPr>
                <w:b w:val="0"/>
                <w:szCs w:val="22"/>
              </w:rPr>
            </w:pPr>
            <w:r>
              <w:rPr>
                <w:b w:val="0"/>
                <w:szCs w:val="22"/>
              </w:rPr>
              <w:t>The Titles Office enters a Notice in the Property Register stating that building works ha</w:t>
            </w:r>
            <w:r w:rsidR="006D7624">
              <w:rPr>
                <w:b w:val="0"/>
                <w:szCs w:val="22"/>
              </w:rPr>
              <w:t>ve</w:t>
            </w:r>
            <w:r>
              <w:rPr>
                <w:b w:val="0"/>
                <w:szCs w:val="22"/>
              </w:rPr>
              <w:t xml:space="preserve"> been performed by an owner builder. The amendment is held for seven (7) years.</w:t>
            </w:r>
          </w:p>
          <w:p w14:paraId="4EB97FAE" w14:textId="77777777" w:rsidR="00604220" w:rsidRPr="00634D63" w:rsidRDefault="00604220" w:rsidP="002215E0">
            <w:pPr>
              <w:pStyle w:val="Heading2"/>
            </w:pPr>
            <w:r w:rsidRPr="00634D63">
              <w:t>Why the records are retained for this retention period:</w:t>
            </w:r>
          </w:p>
          <w:p w14:paraId="3D641F09" w14:textId="250566CA" w:rsidR="00604220" w:rsidRPr="004A453A" w:rsidRDefault="00604220" w:rsidP="002215E0">
            <w:pPr>
              <w:pStyle w:val="Tablesub-heading"/>
              <w:rPr>
                <w:b w:val="0"/>
                <w:szCs w:val="22"/>
              </w:rPr>
            </w:pPr>
            <w:r w:rsidRPr="003820B5">
              <w:rPr>
                <w:b w:val="0"/>
                <w:i/>
                <w:iCs/>
                <w:noProof/>
                <w:szCs w:val="22"/>
              </w:rPr>
              <w:t>QBCC Act</w:t>
            </w:r>
            <w:r>
              <w:rPr>
                <w:b w:val="0"/>
                <w:noProof/>
                <w:szCs w:val="22"/>
              </w:rPr>
              <w:t xml:space="preserve"> </w:t>
            </w:r>
            <w:r w:rsidRPr="009A33B0">
              <w:rPr>
                <w:b w:val="0"/>
                <w:i/>
                <w:iCs/>
                <w:noProof/>
                <w:szCs w:val="22"/>
              </w:rPr>
              <w:t>1991</w:t>
            </w:r>
            <w:r>
              <w:rPr>
                <w:b w:val="0"/>
                <w:noProof/>
                <w:szCs w:val="22"/>
              </w:rPr>
              <w:t>, s.44D permit ends 6 years after issuance. A note is placed against the property by the Titles Office for 7 years. The statutory Home Warranty Insurance scheme does not apply to work done by owner builders.</w:t>
            </w:r>
            <w:r>
              <w:rPr>
                <w:b w:val="0"/>
                <w:szCs w:val="22"/>
              </w:rPr>
              <w:t xml:space="preserve"> </w:t>
            </w:r>
          </w:p>
          <w:p w14:paraId="45077A88" w14:textId="77777777" w:rsidR="00604220" w:rsidRPr="00634D63" w:rsidRDefault="00604220" w:rsidP="002215E0">
            <w:pPr>
              <w:pStyle w:val="Heading2"/>
            </w:pPr>
            <w:r w:rsidRPr="00634D63">
              <w:t>Applicable legislation/standards:</w:t>
            </w:r>
          </w:p>
          <w:p w14:paraId="6730C1DB" w14:textId="77777777" w:rsidR="00DF085C" w:rsidRDefault="00DF085C" w:rsidP="00DF085C">
            <w:pPr>
              <w:pStyle w:val="Tablesub-heading"/>
              <w:spacing w:before="60" w:after="60"/>
              <w:rPr>
                <w:b w:val="0"/>
                <w:szCs w:val="22"/>
              </w:rPr>
            </w:pPr>
            <w:r w:rsidRPr="00803790">
              <w:rPr>
                <w:b w:val="0"/>
                <w:noProof/>
                <w:szCs w:val="22"/>
              </w:rPr>
              <w:t xml:space="preserve">See the list of applicable legislation and standards for public records created, kept and managed by the </w:t>
            </w:r>
            <w:r>
              <w:rPr>
                <w:b w:val="0"/>
                <w:noProof/>
                <w:szCs w:val="22"/>
              </w:rPr>
              <w:t>Building and Construction sector</w:t>
            </w:r>
            <w:r w:rsidRPr="00803790">
              <w:rPr>
                <w:b w:val="0"/>
                <w:noProof/>
                <w:szCs w:val="22"/>
              </w:rPr>
              <w:t xml:space="preserve"> located at the beginning of this appraisal log</w:t>
            </w:r>
            <w:r>
              <w:rPr>
                <w:b w:val="0"/>
                <w:szCs w:val="22"/>
              </w:rPr>
              <w:t>.</w:t>
            </w:r>
          </w:p>
          <w:p w14:paraId="7D097A54" w14:textId="77777777" w:rsidR="00604220" w:rsidRPr="00634D63" w:rsidRDefault="00604220" w:rsidP="002215E0">
            <w:pPr>
              <w:pStyle w:val="Heading2"/>
            </w:pPr>
            <w:r w:rsidRPr="00634D63">
              <w:t xml:space="preserve">Comparison with other schedules' retention period: </w:t>
            </w:r>
          </w:p>
          <w:p w14:paraId="177FD3FB" w14:textId="77777777" w:rsidR="0021367D" w:rsidRDefault="0021367D" w:rsidP="0021367D">
            <w:pPr>
              <w:pStyle w:val="Tablesub-heading"/>
              <w:rPr>
                <w:b w:val="0"/>
                <w:noProof/>
                <w:szCs w:val="22"/>
              </w:rPr>
            </w:pPr>
            <w:r w:rsidRPr="00850F2A">
              <w:rPr>
                <w:b w:val="0"/>
                <w:i/>
                <w:iCs/>
                <w:noProof/>
                <w:szCs w:val="22"/>
              </w:rPr>
              <w:t>QDAN 480 v.4 Local Government Sector Retention &amp; Disposal Schedule</w:t>
            </w:r>
            <w:r>
              <w:rPr>
                <w:b w:val="0"/>
                <w:noProof/>
                <w:szCs w:val="22"/>
              </w:rPr>
              <w:t xml:space="preserve"> - </w:t>
            </w:r>
            <w:r w:rsidRPr="00122BC4">
              <w:rPr>
                <w:b w:val="0"/>
                <w:i/>
                <w:iCs/>
                <w:noProof/>
                <w:szCs w:val="22"/>
              </w:rPr>
              <w:t>10.14.1</w:t>
            </w:r>
            <w:r>
              <w:rPr>
                <w:b w:val="0"/>
                <w:noProof/>
                <w:szCs w:val="22"/>
              </w:rPr>
              <w:t xml:space="preserve"> – Occupational Permits – retain for 7 years after permit expires.</w:t>
            </w:r>
          </w:p>
          <w:p w14:paraId="1DF40633" w14:textId="77777777" w:rsidR="0021367D" w:rsidRDefault="0021367D" w:rsidP="0021367D">
            <w:pPr>
              <w:pStyle w:val="Tablesub-heading"/>
              <w:rPr>
                <w:b w:val="0"/>
                <w:noProof/>
                <w:szCs w:val="22"/>
              </w:rPr>
            </w:pPr>
            <w:r w:rsidRPr="00122BC4">
              <w:rPr>
                <w:b w:val="0"/>
                <w:i/>
                <w:iCs/>
                <w:noProof/>
                <w:szCs w:val="22"/>
              </w:rPr>
              <w:t xml:space="preserve">NI2015-359, Road &amp; Rail Management Records, 188.014.002 - </w:t>
            </w:r>
            <w:r w:rsidRPr="003539F5">
              <w:rPr>
                <w:b w:val="0"/>
                <w:noProof/>
                <w:szCs w:val="22"/>
              </w:rPr>
              <w:t>Issue of Permits -</w:t>
            </w:r>
            <w:r>
              <w:rPr>
                <w:b w:val="0"/>
                <w:noProof/>
                <w:szCs w:val="22"/>
              </w:rPr>
              <w:t xml:space="preserve"> retain for 7 years, as issued by the Territory Records Office (ACT).</w:t>
            </w:r>
          </w:p>
          <w:p w14:paraId="7F298E33" w14:textId="78413CAD" w:rsidR="0021367D" w:rsidRPr="00C66CC8" w:rsidRDefault="0021367D" w:rsidP="0021367D">
            <w:pPr>
              <w:pStyle w:val="Tablesub-heading"/>
              <w:rPr>
                <w:b w:val="0"/>
                <w:bCs/>
              </w:rPr>
            </w:pPr>
            <w:r w:rsidRPr="00122BC4">
              <w:rPr>
                <w:b w:val="0"/>
                <w:bCs/>
                <w:i/>
                <w:iCs/>
              </w:rPr>
              <w:t>PROS 20/01 for the Victorian Building Authority, 3.3</w:t>
            </w:r>
            <w:r>
              <w:rPr>
                <w:b w:val="0"/>
                <w:bCs/>
              </w:rPr>
              <w:t xml:space="preserve"> - Applications for a Certificate of Consent to Operate as an Owner Builder – retain for 10 years - </w:t>
            </w:r>
            <w:r w:rsidRPr="00C66CC8">
              <w:rPr>
                <w:b w:val="0"/>
                <w:bCs/>
              </w:rPr>
              <w:t xml:space="preserve">as issued by </w:t>
            </w:r>
            <w:r>
              <w:rPr>
                <w:b w:val="0"/>
                <w:bCs/>
              </w:rPr>
              <w:t>Public Record Office, Victoria (</w:t>
            </w:r>
            <w:r w:rsidRPr="00C66CC8">
              <w:rPr>
                <w:b w:val="0"/>
                <w:bCs/>
              </w:rPr>
              <w:t>PROV</w:t>
            </w:r>
            <w:r>
              <w:rPr>
                <w:b w:val="0"/>
                <w:bCs/>
              </w:rPr>
              <w:t>)</w:t>
            </w:r>
            <w:r w:rsidRPr="00C66CC8">
              <w:rPr>
                <w:b w:val="0"/>
                <w:bCs/>
              </w:rPr>
              <w:t>.</w:t>
            </w:r>
          </w:p>
          <w:p w14:paraId="4ADCE953" w14:textId="77777777" w:rsidR="00604220" w:rsidRPr="00634D63" w:rsidRDefault="00604220" w:rsidP="002215E0">
            <w:pPr>
              <w:pStyle w:val="Heading2"/>
            </w:pPr>
            <w:r w:rsidRPr="00634D63">
              <w:t>Previous schedule references:</w:t>
            </w:r>
          </w:p>
          <w:p w14:paraId="17EFF6DD" w14:textId="157FE85D" w:rsidR="00604220" w:rsidRPr="004A453A" w:rsidRDefault="0021367D" w:rsidP="002215E0">
            <w:pPr>
              <w:pStyle w:val="Tablesub-heading"/>
              <w:rPr>
                <w:b w:val="0"/>
                <w:szCs w:val="22"/>
              </w:rPr>
            </w:pPr>
            <w:r w:rsidRPr="00370029">
              <w:rPr>
                <w:rFonts w:cs="Arial"/>
                <w:b w:val="0"/>
                <w:i/>
                <w:iCs/>
                <w:noProof/>
                <w:szCs w:val="22"/>
              </w:rPr>
              <w:lastRenderedPageBreak/>
              <w:t>QDAN 185 v.2 Queensland Building and Construction Commission retention and disposal schedule</w:t>
            </w:r>
            <w:r>
              <w:rPr>
                <w:rFonts w:cs="Arial"/>
                <w:b w:val="0"/>
                <w:noProof/>
                <w:szCs w:val="22"/>
              </w:rPr>
              <w:t xml:space="preserve"> </w:t>
            </w:r>
            <w:r>
              <w:rPr>
                <w:b w:val="0"/>
                <w:noProof/>
                <w:szCs w:val="22"/>
                <w:shd w:val="clear" w:color="auto" w:fill="FFFFFF"/>
              </w:rPr>
              <w:t xml:space="preserve"> </w:t>
            </w:r>
            <w:r>
              <w:rPr>
                <w:b w:val="0"/>
                <w:noProof/>
                <w:szCs w:val="22"/>
              </w:rPr>
              <w:t>-</w:t>
            </w:r>
            <w:r w:rsidRPr="003A5C3D">
              <w:rPr>
                <w:b w:val="0"/>
                <w:noProof/>
                <w:szCs w:val="22"/>
              </w:rPr>
              <w:t xml:space="preserve"> 1.2.3</w:t>
            </w:r>
            <w:r>
              <w:rPr>
                <w:b w:val="0"/>
                <w:noProof/>
                <w:szCs w:val="22"/>
              </w:rPr>
              <w:t xml:space="preserve"> – Owner Builder Permits – retain for 7 years after termination or refusal of permit.</w:t>
            </w:r>
          </w:p>
        </w:tc>
      </w:tr>
      <w:tr w:rsidR="00604220" w:rsidRPr="004A453A" w14:paraId="056FE85B" w14:textId="77777777" w:rsidTr="00384B0E">
        <w:tc>
          <w:tcPr>
            <w:tcW w:w="567" w:type="pct"/>
            <w:tcBorders>
              <w:top w:val="single" w:sz="6" w:space="0" w:color="C0C0C0"/>
              <w:bottom w:val="single" w:sz="6" w:space="0" w:color="C0C0C0"/>
            </w:tcBorders>
            <w:shd w:val="clear" w:color="auto" w:fill="auto"/>
          </w:tcPr>
          <w:p w14:paraId="3B9719A8" w14:textId="42E891D2" w:rsidR="00604220" w:rsidRPr="004A453A" w:rsidRDefault="006D6694" w:rsidP="002215E0">
            <w:pPr>
              <w:pStyle w:val="Tablesub-heading"/>
              <w:rPr>
                <w:b w:val="0"/>
                <w:szCs w:val="22"/>
              </w:rPr>
            </w:pPr>
            <w:bookmarkStart w:id="11" w:name="_Hlk150339725"/>
            <w:bookmarkEnd w:id="10"/>
            <w:r>
              <w:rPr>
                <w:b w:val="0"/>
                <w:szCs w:val="22"/>
              </w:rPr>
              <w:lastRenderedPageBreak/>
              <w:t>2769</w:t>
            </w:r>
          </w:p>
        </w:tc>
        <w:tc>
          <w:tcPr>
            <w:tcW w:w="914" w:type="pct"/>
            <w:tcBorders>
              <w:top w:val="single" w:sz="6" w:space="0" w:color="C0C0C0"/>
              <w:bottom w:val="single" w:sz="6" w:space="0" w:color="C0C0C0"/>
            </w:tcBorders>
            <w:shd w:val="clear" w:color="auto" w:fill="auto"/>
          </w:tcPr>
          <w:p w14:paraId="3314514B" w14:textId="77777777" w:rsidR="007C5CA3" w:rsidRPr="00917033" w:rsidRDefault="007C5CA3" w:rsidP="007C5CA3">
            <w:pPr>
              <w:pStyle w:val="Tablesub-heading"/>
              <w:rPr>
                <w:i/>
                <w:szCs w:val="22"/>
              </w:rPr>
            </w:pPr>
            <w:r>
              <w:rPr>
                <w:i/>
                <w:noProof/>
                <w:szCs w:val="22"/>
              </w:rPr>
              <w:t>Licence Enquiries, Liaison and Customer Communications</w:t>
            </w:r>
          </w:p>
          <w:p w14:paraId="109A3CC7" w14:textId="77777777" w:rsidR="007C5CA3" w:rsidRPr="004A453A" w:rsidRDefault="007C5CA3" w:rsidP="007C5CA3">
            <w:pPr>
              <w:pStyle w:val="Tablesub-heading"/>
              <w:rPr>
                <w:szCs w:val="22"/>
              </w:rPr>
            </w:pPr>
            <w:r>
              <w:rPr>
                <w:b w:val="0"/>
                <w:noProof/>
                <w:szCs w:val="22"/>
              </w:rPr>
              <w:t xml:space="preserve">Records relating to enquiries, general correspondence and liaison regarding licensing services. </w:t>
            </w:r>
          </w:p>
          <w:p w14:paraId="66953F68" w14:textId="77777777" w:rsidR="00604220" w:rsidRPr="00634D63" w:rsidRDefault="00604220" w:rsidP="002215E0">
            <w:pPr>
              <w:pStyle w:val="Heading2"/>
            </w:pPr>
            <w:r w:rsidRPr="00634D63">
              <w:t xml:space="preserve">Disposal action – </w:t>
            </w:r>
          </w:p>
          <w:p w14:paraId="06AE5C11" w14:textId="4B08A161" w:rsidR="00604220" w:rsidRPr="004A453A" w:rsidRDefault="007C5CA3" w:rsidP="002215E0">
            <w:pPr>
              <w:pStyle w:val="Tablesub-heading"/>
              <w:rPr>
                <w:b w:val="0"/>
              </w:rPr>
            </w:pPr>
            <w:r w:rsidRPr="00987696">
              <w:rPr>
                <w:rFonts w:cs="Arial"/>
                <w:b w:val="0"/>
                <w:iCs/>
                <w:noProof/>
              </w:rPr>
              <w:t>7 years after business action completed.</w:t>
            </w:r>
          </w:p>
        </w:tc>
        <w:tc>
          <w:tcPr>
            <w:tcW w:w="3519" w:type="pct"/>
            <w:tcBorders>
              <w:top w:val="single" w:sz="6" w:space="0" w:color="C0C0C0"/>
              <w:bottom w:val="single" w:sz="6" w:space="0" w:color="C0C0C0"/>
            </w:tcBorders>
            <w:shd w:val="clear" w:color="auto" w:fill="auto"/>
          </w:tcPr>
          <w:p w14:paraId="6A0E9F23" w14:textId="34F276E4" w:rsidR="00604220" w:rsidRPr="004A453A" w:rsidRDefault="00604220" w:rsidP="002215E0">
            <w:pPr>
              <w:pStyle w:val="Tablesub-heading"/>
              <w:rPr>
                <w:b w:val="0"/>
                <w:szCs w:val="22"/>
              </w:rPr>
            </w:pPr>
            <w:r>
              <w:t xml:space="preserve">Date authorised: </w:t>
            </w:r>
            <w:r w:rsidR="00067BF0">
              <w:rPr>
                <w:b w:val="0"/>
              </w:rPr>
              <w:t>15 December 2023</w:t>
            </w:r>
          </w:p>
          <w:p w14:paraId="4DFBECF0" w14:textId="77777777" w:rsidR="00604220" w:rsidRPr="00634D63" w:rsidRDefault="00604220" w:rsidP="002215E0">
            <w:pPr>
              <w:pStyle w:val="Heading2"/>
            </w:pPr>
            <w:r w:rsidRPr="00634D63">
              <w:t>Why are these records created:</w:t>
            </w:r>
          </w:p>
          <w:p w14:paraId="7E5C50B2" w14:textId="77777777" w:rsidR="007C5CA3" w:rsidRPr="004A453A" w:rsidRDefault="007C5CA3" w:rsidP="007C5CA3">
            <w:pPr>
              <w:pStyle w:val="Tablesub-heading"/>
              <w:jc w:val="both"/>
              <w:rPr>
                <w:b w:val="0"/>
                <w:szCs w:val="22"/>
              </w:rPr>
            </w:pPr>
            <w:r>
              <w:rPr>
                <w:b w:val="0"/>
                <w:noProof/>
                <w:szCs w:val="22"/>
              </w:rPr>
              <w:t xml:space="preserve">General files used to support licensing services provided by the agency. Includes providing information on licence requirements, what sort of work a licensee can do, </w:t>
            </w:r>
            <w:r w:rsidRPr="005A2D88">
              <w:rPr>
                <w:b w:val="0"/>
                <w:noProof/>
                <w:szCs w:val="22"/>
              </w:rPr>
              <w:t xml:space="preserve">legacy transitional licence and mutual recognition matters, web </w:t>
            </w:r>
            <w:r>
              <w:rPr>
                <w:b w:val="0"/>
                <w:noProof/>
                <w:szCs w:val="22"/>
              </w:rPr>
              <w:t xml:space="preserve">reports and other </w:t>
            </w:r>
            <w:r w:rsidRPr="005A2D88">
              <w:rPr>
                <w:b w:val="0"/>
                <w:noProof/>
                <w:szCs w:val="22"/>
              </w:rPr>
              <w:t>info</w:t>
            </w:r>
            <w:r>
              <w:rPr>
                <w:b w:val="0"/>
                <w:noProof/>
                <w:szCs w:val="22"/>
              </w:rPr>
              <w:t>rmation</w:t>
            </w:r>
            <w:r w:rsidRPr="005A2D88">
              <w:rPr>
                <w:b w:val="0"/>
                <w:noProof/>
                <w:szCs w:val="22"/>
              </w:rPr>
              <w:t xml:space="preserve">, mail-outs to notify clients of </w:t>
            </w:r>
            <w:r>
              <w:rPr>
                <w:b w:val="0"/>
                <w:noProof/>
                <w:szCs w:val="22"/>
              </w:rPr>
              <w:t xml:space="preserve">licensing process </w:t>
            </w:r>
            <w:r w:rsidRPr="005A2D88">
              <w:rPr>
                <w:b w:val="0"/>
                <w:noProof/>
                <w:szCs w:val="22"/>
              </w:rPr>
              <w:t xml:space="preserve">changes </w:t>
            </w:r>
            <w:r>
              <w:rPr>
                <w:b w:val="0"/>
                <w:noProof/>
                <w:szCs w:val="22"/>
              </w:rPr>
              <w:t xml:space="preserve">such as fees, </w:t>
            </w:r>
            <w:r w:rsidRPr="005A2D88">
              <w:rPr>
                <w:b w:val="0"/>
                <w:noProof/>
                <w:szCs w:val="22"/>
              </w:rPr>
              <w:t>reporting</w:t>
            </w:r>
            <w:r>
              <w:rPr>
                <w:b w:val="0"/>
                <w:noProof/>
                <w:szCs w:val="22"/>
              </w:rPr>
              <w:t xml:space="preserve"> </w:t>
            </w:r>
            <w:r w:rsidRPr="005A2D88">
              <w:rPr>
                <w:b w:val="0"/>
                <w:noProof/>
                <w:szCs w:val="22"/>
              </w:rPr>
              <w:t>requirements</w:t>
            </w:r>
            <w:r>
              <w:rPr>
                <w:b w:val="0"/>
                <w:noProof/>
                <w:szCs w:val="22"/>
              </w:rPr>
              <w:t xml:space="preserve"> and other licence conditions.</w:t>
            </w:r>
            <w:r>
              <w:rPr>
                <w:b w:val="0"/>
                <w:szCs w:val="22"/>
              </w:rPr>
              <w:t xml:space="preserve">  </w:t>
            </w:r>
          </w:p>
          <w:p w14:paraId="066DBC01" w14:textId="77777777" w:rsidR="00604220" w:rsidRPr="00634D63" w:rsidRDefault="00604220" w:rsidP="002215E0">
            <w:pPr>
              <w:pStyle w:val="Heading2"/>
            </w:pPr>
            <w:r w:rsidRPr="00634D63">
              <w:t>Why the records are retained for this retention period:</w:t>
            </w:r>
          </w:p>
          <w:p w14:paraId="43A6EF87" w14:textId="7ACDB64A" w:rsidR="007C5CA3" w:rsidRDefault="007C5CA3" w:rsidP="007C5CA3">
            <w:pPr>
              <w:pStyle w:val="Heading2"/>
              <w:shd w:val="clear" w:color="auto" w:fill="FFFFFF"/>
              <w:rPr>
                <w:rFonts w:ascii="Arial" w:hAnsi="Arial" w:cs="Arial"/>
                <w:b w:val="0"/>
                <w:bCs/>
              </w:rPr>
            </w:pPr>
            <w:r>
              <w:rPr>
                <w:rFonts w:ascii="Arial" w:hAnsi="Arial" w:cs="Arial"/>
                <w:b w:val="0"/>
                <w:bCs/>
              </w:rPr>
              <w:t xml:space="preserve">A </w:t>
            </w:r>
            <w:r w:rsidR="00917F5B">
              <w:rPr>
                <w:rFonts w:ascii="Arial" w:hAnsi="Arial" w:cs="Arial"/>
                <w:b w:val="0"/>
                <w:bCs/>
              </w:rPr>
              <w:t>seven-year</w:t>
            </w:r>
            <w:r>
              <w:rPr>
                <w:rFonts w:ascii="Arial" w:hAnsi="Arial" w:cs="Arial"/>
                <w:b w:val="0"/>
                <w:bCs/>
              </w:rPr>
              <w:t xml:space="preserve"> retention</w:t>
            </w:r>
            <w:r w:rsidRPr="00211D94">
              <w:rPr>
                <w:rFonts w:ascii="Arial" w:hAnsi="Arial" w:cs="Arial"/>
                <w:b w:val="0"/>
                <w:bCs/>
              </w:rPr>
              <w:t xml:space="preserve"> period ensures that the records are available in the event of any legal claims brought in accordance with s.10 of the </w:t>
            </w:r>
            <w:r w:rsidRPr="00987696">
              <w:rPr>
                <w:rFonts w:ascii="Arial" w:hAnsi="Arial" w:cs="Arial"/>
                <w:b w:val="0"/>
                <w:bCs/>
                <w:i/>
                <w:iCs/>
              </w:rPr>
              <w:t>Limitation of Actions Act</w:t>
            </w:r>
            <w:r>
              <w:rPr>
                <w:rFonts w:ascii="Arial" w:hAnsi="Arial" w:cs="Arial"/>
                <w:b w:val="0"/>
                <w:bCs/>
              </w:rPr>
              <w:t xml:space="preserve"> </w:t>
            </w:r>
            <w:r w:rsidRPr="009A33B0">
              <w:rPr>
                <w:rFonts w:ascii="Arial" w:hAnsi="Arial" w:cs="Arial"/>
                <w:b w:val="0"/>
                <w:bCs/>
                <w:i/>
                <w:iCs/>
              </w:rPr>
              <w:t>1974</w:t>
            </w:r>
            <w:r>
              <w:rPr>
                <w:rFonts w:ascii="Arial" w:hAnsi="Arial" w:cs="Arial"/>
                <w:b w:val="0"/>
                <w:bCs/>
              </w:rPr>
              <w:t>.</w:t>
            </w:r>
            <w:r w:rsidRPr="00211D94">
              <w:rPr>
                <w:rFonts w:ascii="Arial" w:hAnsi="Arial" w:cs="Arial"/>
                <w:b w:val="0"/>
                <w:bCs/>
              </w:rPr>
              <w:t xml:space="preserve"> </w:t>
            </w:r>
          </w:p>
          <w:p w14:paraId="3AD2246B" w14:textId="52016501" w:rsidR="00604220" w:rsidRPr="007C5CA3" w:rsidRDefault="007C5CA3" w:rsidP="007C5CA3">
            <w:pPr>
              <w:pStyle w:val="Heading2"/>
              <w:shd w:val="clear" w:color="auto" w:fill="FFFFFF"/>
              <w:rPr>
                <w:rFonts w:ascii="Arial" w:hAnsi="Arial" w:cs="Arial"/>
                <w:b w:val="0"/>
                <w:bCs/>
              </w:rPr>
            </w:pPr>
            <w:r>
              <w:rPr>
                <w:rFonts w:ascii="Arial" w:hAnsi="Arial" w:cs="Arial"/>
                <w:b w:val="0"/>
                <w:bCs/>
              </w:rPr>
              <w:t xml:space="preserve">The </w:t>
            </w:r>
            <w:r w:rsidR="00917F5B">
              <w:rPr>
                <w:rFonts w:ascii="Arial" w:hAnsi="Arial" w:cs="Arial"/>
                <w:b w:val="0"/>
                <w:bCs/>
              </w:rPr>
              <w:t>seven-year</w:t>
            </w:r>
            <w:r>
              <w:rPr>
                <w:rFonts w:ascii="Arial" w:hAnsi="Arial" w:cs="Arial"/>
                <w:b w:val="0"/>
                <w:bCs/>
              </w:rPr>
              <w:t xml:space="preserve"> retention period supports the decisions of the business by providing evidence of actions taken and ensures that records are available for a sufficient period of time to be referred back to if so required.</w:t>
            </w:r>
            <w:r w:rsidR="00604220">
              <w:rPr>
                <w:b w:val="0"/>
                <w:szCs w:val="22"/>
              </w:rPr>
              <w:t xml:space="preserve"> </w:t>
            </w:r>
          </w:p>
          <w:p w14:paraId="2ACBDD3C" w14:textId="77777777" w:rsidR="00604220" w:rsidRPr="00634D63" w:rsidRDefault="00604220" w:rsidP="002215E0">
            <w:pPr>
              <w:pStyle w:val="Heading2"/>
            </w:pPr>
            <w:r w:rsidRPr="00634D63">
              <w:t>Applicable legislation/standards:</w:t>
            </w:r>
          </w:p>
          <w:p w14:paraId="6EAF3A04" w14:textId="77777777" w:rsidR="007C5CA3" w:rsidRPr="00C66CC8" w:rsidRDefault="007C5CA3" w:rsidP="007C5CA3">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r>
              <w:rPr>
                <w:rFonts w:ascii="Arial" w:hAnsi="Arial" w:cs="Arial"/>
                <w:b w:val="0"/>
                <w:noProof/>
                <w:szCs w:val="22"/>
              </w:rPr>
              <w:t>.</w:t>
            </w:r>
          </w:p>
          <w:p w14:paraId="3FA4CC09" w14:textId="77777777" w:rsidR="00604220" w:rsidRPr="00634D63" w:rsidRDefault="00604220" w:rsidP="002215E0">
            <w:pPr>
              <w:pStyle w:val="Heading2"/>
            </w:pPr>
            <w:r w:rsidRPr="00634D63">
              <w:t xml:space="preserve">Comparison with other schedules' retention period: </w:t>
            </w:r>
          </w:p>
          <w:p w14:paraId="51BE69A9" w14:textId="77777777" w:rsidR="007C5CA3" w:rsidRDefault="007C5CA3" w:rsidP="007C5CA3">
            <w:pPr>
              <w:pStyle w:val="Tablesub-heading"/>
              <w:rPr>
                <w:b w:val="0"/>
                <w:noProof/>
                <w:szCs w:val="22"/>
              </w:rPr>
            </w:pPr>
            <w:r w:rsidRPr="00122BC4">
              <w:rPr>
                <w:b w:val="0"/>
                <w:i/>
                <w:iCs/>
                <w:noProof/>
                <w:szCs w:val="22"/>
              </w:rPr>
              <w:t xml:space="preserve">RA 2019/00447636, Australian Building and Construction Commission (ABCC), </w:t>
            </w:r>
            <w:r w:rsidRPr="006753C8">
              <w:rPr>
                <w:b w:val="0"/>
                <w:noProof/>
                <w:szCs w:val="22"/>
              </w:rPr>
              <w:t xml:space="preserve">62697 </w:t>
            </w:r>
            <w:r>
              <w:rPr>
                <w:b w:val="0"/>
                <w:noProof/>
                <w:szCs w:val="22"/>
              </w:rPr>
              <w:t>- General Enquiries – retain for 3 years – as issued by the National Archives of Australia (NAA).</w:t>
            </w:r>
          </w:p>
          <w:p w14:paraId="10E855E9" w14:textId="77777777" w:rsidR="007C5CA3" w:rsidRPr="004A453A" w:rsidRDefault="007C5CA3" w:rsidP="007C5CA3">
            <w:pPr>
              <w:pStyle w:val="Tablesub-heading"/>
              <w:rPr>
                <w:b w:val="0"/>
                <w:szCs w:val="22"/>
              </w:rPr>
            </w:pPr>
            <w:r w:rsidRPr="00122BC4">
              <w:rPr>
                <w:b w:val="0"/>
                <w:i/>
                <w:iCs/>
                <w:szCs w:val="22"/>
              </w:rPr>
              <w:t>GDS-30 v.2, General Disposal Schedule for State Government Agencies in South Australia</w:t>
            </w:r>
            <w:r>
              <w:rPr>
                <w:b w:val="0"/>
                <w:szCs w:val="22"/>
              </w:rPr>
              <w:t>, 3.4.1 – Enquiries requiring a routine or specific response – retain for 8 years - as issued by State Records of South Australia.</w:t>
            </w:r>
          </w:p>
          <w:p w14:paraId="35D0E8B7" w14:textId="77777777" w:rsidR="00604220" w:rsidRPr="00634D63" w:rsidRDefault="00604220" w:rsidP="002215E0">
            <w:pPr>
              <w:pStyle w:val="Heading2"/>
            </w:pPr>
            <w:r w:rsidRPr="00634D63">
              <w:t>Previous schedule references:</w:t>
            </w:r>
          </w:p>
          <w:p w14:paraId="27D7398F" w14:textId="77777777" w:rsidR="007C5CA3" w:rsidRDefault="007C5CA3" w:rsidP="007C5CA3">
            <w:pPr>
              <w:pStyle w:val="Heading2"/>
              <w:rPr>
                <w:b w:val="0"/>
                <w:noProof/>
                <w:szCs w:val="22"/>
                <w:shd w:val="clear" w:color="auto" w:fill="FFFFFF"/>
              </w:rPr>
            </w:pPr>
            <w:r w:rsidRPr="00370029">
              <w:rPr>
                <w:rFonts w:ascii="Arial" w:hAnsi="Arial" w:cs="Arial"/>
                <w:b w:val="0"/>
                <w:i/>
                <w:iCs/>
                <w:noProof/>
                <w:szCs w:val="22"/>
              </w:rPr>
              <w:t>QDAN 185 v.2 Queensland Building and Construction Commission retention and disposal schedule</w:t>
            </w:r>
            <w:r>
              <w:rPr>
                <w:rFonts w:ascii="Arial" w:hAnsi="Arial" w:cs="Arial"/>
                <w:b w:val="0"/>
                <w:noProof/>
                <w:szCs w:val="22"/>
              </w:rPr>
              <w:t xml:space="preserve"> </w:t>
            </w:r>
            <w:r>
              <w:rPr>
                <w:b w:val="0"/>
                <w:noProof/>
                <w:szCs w:val="22"/>
                <w:shd w:val="clear" w:color="auto" w:fill="FFFFFF"/>
              </w:rPr>
              <w:t xml:space="preserve"> :</w:t>
            </w:r>
          </w:p>
          <w:p w14:paraId="06C7E2B8" w14:textId="77777777" w:rsidR="007C5CA3" w:rsidRDefault="007C5CA3" w:rsidP="00500F64">
            <w:pPr>
              <w:pStyle w:val="Heading2"/>
              <w:numPr>
                <w:ilvl w:val="0"/>
                <w:numId w:val="17"/>
              </w:numPr>
              <w:rPr>
                <w:rFonts w:ascii="Arial" w:hAnsi="Arial" w:cs="Arial"/>
                <w:b w:val="0"/>
                <w:noProof/>
                <w:szCs w:val="22"/>
              </w:rPr>
            </w:pPr>
            <w:r w:rsidRPr="00987696">
              <w:rPr>
                <w:rFonts w:ascii="Arial" w:hAnsi="Arial" w:cs="Arial"/>
                <w:b w:val="0"/>
                <w:noProof/>
                <w:szCs w:val="22"/>
              </w:rPr>
              <w:t xml:space="preserve">1.2.4 </w:t>
            </w:r>
            <w:r>
              <w:rPr>
                <w:rFonts w:ascii="Arial" w:hAnsi="Arial" w:cs="Arial"/>
                <w:b w:val="0"/>
                <w:noProof/>
                <w:szCs w:val="22"/>
              </w:rPr>
              <w:t xml:space="preserve"> - General Licence Enquries – retain for 7 years after last action.</w:t>
            </w:r>
          </w:p>
          <w:p w14:paraId="2A7C810F" w14:textId="3D51500F" w:rsidR="00604220" w:rsidRPr="004A453A" w:rsidRDefault="007C5CA3" w:rsidP="00500F64">
            <w:pPr>
              <w:pStyle w:val="Tablesub-heading"/>
              <w:numPr>
                <w:ilvl w:val="0"/>
                <w:numId w:val="17"/>
              </w:numPr>
              <w:rPr>
                <w:b w:val="0"/>
                <w:szCs w:val="22"/>
              </w:rPr>
            </w:pPr>
            <w:r w:rsidRPr="00987696">
              <w:rPr>
                <w:rFonts w:cs="Arial"/>
                <w:b w:val="0"/>
                <w:noProof/>
                <w:szCs w:val="22"/>
              </w:rPr>
              <w:t>1.2.7</w:t>
            </w:r>
            <w:r>
              <w:rPr>
                <w:rFonts w:cs="Arial"/>
                <w:b w:val="0"/>
                <w:noProof/>
                <w:szCs w:val="22"/>
              </w:rPr>
              <w:t xml:space="preserve"> – General Enquries – retain for 2 years after last action.</w:t>
            </w:r>
          </w:p>
        </w:tc>
      </w:tr>
      <w:tr w:rsidR="00604220" w:rsidRPr="004A453A" w14:paraId="2886B1F1" w14:textId="77777777" w:rsidTr="00384B0E">
        <w:tc>
          <w:tcPr>
            <w:tcW w:w="567" w:type="pct"/>
            <w:tcBorders>
              <w:top w:val="single" w:sz="6" w:space="0" w:color="C0C0C0"/>
              <w:bottom w:val="single" w:sz="6" w:space="0" w:color="C0C0C0"/>
            </w:tcBorders>
            <w:shd w:val="clear" w:color="auto" w:fill="auto"/>
          </w:tcPr>
          <w:p w14:paraId="12C1DB2B" w14:textId="12B5AC6B" w:rsidR="00604220" w:rsidRPr="004A453A" w:rsidRDefault="00955751" w:rsidP="002215E0">
            <w:pPr>
              <w:pStyle w:val="Tablesub-heading"/>
              <w:rPr>
                <w:b w:val="0"/>
                <w:szCs w:val="22"/>
              </w:rPr>
            </w:pPr>
            <w:bookmarkStart w:id="12" w:name="_Hlk150339892"/>
            <w:bookmarkEnd w:id="11"/>
            <w:r>
              <w:rPr>
                <w:b w:val="0"/>
                <w:szCs w:val="22"/>
              </w:rPr>
              <w:lastRenderedPageBreak/>
              <w:t>2770</w:t>
            </w:r>
          </w:p>
        </w:tc>
        <w:tc>
          <w:tcPr>
            <w:tcW w:w="914" w:type="pct"/>
            <w:tcBorders>
              <w:top w:val="single" w:sz="6" w:space="0" w:color="C0C0C0"/>
              <w:bottom w:val="single" w:sz="6" w:space="0" w:color="C0C0C0"/>
            </w:tcBorders>
            <w:shd w:val="clear" w:color="auto" w:fill="auto"/>
          </w:tcPr>
          <w:p w14:paraId="64273BB3" w14:textId="77777777" w:rsidR="002B6BD4" w:rsidRPr="00CF06A4" w:rsidRDefault="002B6BD4" w:rsidP="002B6BD4">
            <w:pPr>
              <w:pStyle w:val="Tablesub-heading"/>
              <w:rPr>
                <w:i/>
                <w:noProof/>
                <w:szCs w:val="22"/>
              </w:rPr>
            </w:pPr>
            <w:r w:rsidRPr="00CF06A4">
              <w:rPr>
                <w:i/>
                <w:noProof/>
                <w:szCs w:val="22"/>
              </w:rPr>
              <w:t>Administration of Licensing</w:t>
            </w:r>
          </w:p>
          <w:p w14:paraId="62415D11" w14:textId="4D57E35E" w:rsidR="002B6BD4" w:rsidRPr="00FA3DFC" w:rsidRDefault="002B6BD4" w:rsidP="002B6BD4">
            <w:pPr>
              <w:pStyle w:val="Tablesub-heading"/>
              <w:rPr>
                <w:b w:val="0"/>
                <w:iCs/>
                <w:szCs w:val="22"/>
              </w:rPr>
            </w:pPr>
            <w:r w:rsidRPr="00FA3DFC">
              <w:rPr>
                <w:b w:val="0"/>
                <w:bCs/>
                <w:iCs/>
                <w:noProof/>
                <w:szCs w:val="22"/>
              </w:rPr>
              <w:t xml:space="preserve">General administrative records, primarily legacy working files, supporting processing of </w:t>
            </w:r>
            <w:r>
              <w:rPr>
                <w:b w:val="0"/>
                <w:bCs/>
                <w:iCs/>
                <w:noProof/>
                <w:szCs w:val="22"/>
              </w:rPr>
              <w:t xml:space="preserve">licence applications, </w:t>
            </w:r>
            <w:r w:rsidRPr="00FA3DFC">
              <w:rPr>
                <w:b w:val="0"/>
                <w:bCs/>
                <w:iCs/>
                <w:noProof/>
                <w:szCs w:val="22"/>
              </w:rPr>
              <w:t xml:space="preserve">renewals and production and/or </w:t>
            </w:r>
            <w:r w:rsidRPr="00FA3DFC">
              <w:rPr>
                <w:b w:val="0"/>
                <w:iCs/>
                <w:noProof/>
                <w:szCs w:val="22"/>
              </w:rPr>
              <w:t xml:space="preserve">issuance of licence </w:t>
            </w:r>
            <w:r>
              <w:rPr>
                <w:b w:val="0"/>
                <w:iCs/>
                <w:noProof/>
                <w:szCs w:val="22"/>
              </w:rPr>
              <w:t xml:space="preserve">registration identity ID </w:t>
            </w:r>
            <w:r w:rsidRPr="00FA3DFC">
              <w:rPr>
                <w:b w:val="0"/>
                <w:iCs/>
                <w:noProof/>
                <w:szCs w:val="22"/>
              </w:rPr>
              <w:t xml:space="preserve">cards. </w:t>
            </w:r>
          </w:p>
          <w:p w14:paraId="639EECEF" w14:textId="77777777" w:rsidR="00604220" w:rsidRPr="00634D63" w:rsidRDefault="00604220" w:rsidP="002215E0">
            <w:pPr>
              <w:pStyle w:val="Heading2"/>
            </w:pPr>
            <w:r w:rsidRPr="00634D63">
              <w:t xml:space="preserve">Disposal action – </w:t>
            </w:r>
          </w:p>
          <w:p w14:paraId="62F4695C" w14:textId="55705F75" w:rsidR="00604220" w:rsidRPr="004A453A" w:rsidRDefault="002B6BD4" w:rsidP="002215E0">
            <w:pPr>
              <w:pStyle w:val="Tablesub-heading"/>
              <w:rPr>
                <w:b w:val="0"/>
              </w:rPr>
            </w:pPr>
            <w:r w:rsidRPr="00987696">
              <w:rPr>
                <w:b w:val="0"/>
                <w:bCs/>
                <w:iCs/>
                <w:noProof/>
                <w:szCs w:val="22"/>
              </w:rPr>
              <w:t>7 years after business action completed</w:t>
            </w:r>
            <w:r w:rsidRPr="00CF06A4">
              <w:rPr>
                <w:i/>
                <w:noProof/>
                <w:szCs w:val="22"/>
              </w:rPr>
              <w:t>.</w:t>
            </w:r>
          </w:p>
        </w:tc>
        <w:tc>
          <w:tcPr>
            <w:tcW w:w="3519" w:type="pct"/>
            <w:tcBorders>
              <w:top w:val="single" w:sz="6" w:space="0" w:color="C0C0C0"/>
              <w:bottom w:val="single" w:sz="6" w:space="0" w:color="C0C0C0"/>
            </w:tcBorders>
            <w:shd w:val="clear" w:color="auto" w:fill="auto"/>
          </w:tcPr>
          <w:p w14:paraId="557AD4C6" w14:textId="0387FFD7" w:rsidR="00604220" w:rsidRPr="004A453A" w:rsidRDefault="00604220" w:rsidP="002215E0">
            <w:pPr>
              <w:pStyle w:val="Tablesub-heading"/>
              <w:rPr>
                <w:b w:val="0"/>
                <w:szCs w:val="22"/>
              </w:rPr>
            </w:pPr>
            <w:r>
              <w:t xml:space="preserve">Date authorised: </w:t>
            </w:r>
            <w:r w:rsidR="00067BF0">
              <w:rPr>
                <w:b w:val="0"/>
              </w:rPr>
              <w:t>15 December 2023</w:t>
            </w:r>
          </w:p>
          <w:p w14:paraId="64418E6A" w14:textId="77777777" w:rsidR="00604220" w:rsidRPr="00634D63" w:rsidRDefault="00604220" w:rsidP="002215E0">
            <w:pPr>
              <w:pStyle w:val="Heading2"/>
            </w:pPr>
            <w:r w:rsidRPr="00634D63">
              <w:t>Why are these records created:</w:t>
            </w:r>
          </w:p>
          <w:p w14:paraId="42015438" w14:textId="63F4E402" w:rsidR="00604220" w:rsidRPr="0067251F" w:rsidRDefault="0067251F" w:rsidP="002215E0">
            <w:pPr>
              <w:pStyle w:val="Tablesub-heading"/>
              <w:rPr>
                <w:b w:val="0"/>
                <w:bCs/>
              </w:rPr>
            </w:pPr>
            <w:r>
              <w:rPr>
                <w:b w:val="0"/>
                <w:bCs/>
              </w:rPr>
              <w:t>C</w:t>
            </w:r>
            <w:r w:rsidRPr="00C66CC8">
              <w:rPr>
                <w:b w:val="0"/>
                <w:bCs/>
              </w:rPr>
              <w:t>over</w:t>
            </w:r>
            <w:r>
              <w:rPr>
                <w:b w:val="0"/>
                <w:bCs/>
              </w:rPr>
              <w:t xml:space="preserve">s </w:t>
            </w:r>
            <w:r w:rsidRPr="00C66CC8">
              <w:rPr>
                <w:b w:val="0"/>
                <w:bCs/>
              </w:rPr>
              <w:t xml:space="preserve">administrative processes </w:t>
            </w:r>
            <w:r>
              <w:rPr>
                <w:b w:val="0"/>
                <w:bCs/>
              </w:rPr>
              <w:t xml:space="preserve">supporting </w:t>
            </w:r>
            <w:r w:rsidRPr="00C66CC8">
              <w:rPr>
                <w:b w:val="0"/>
                <w:bCs/>
              </w:rPr>
              <w:t>the licen</w:t>
            </w:r>
            <w:r>
              <w:rPr>
                <w:b w:val="0"/>
                <w:bCs/>
              </w:rPr>
              <w:t>s</w:t>
            </w:r>
            <w:r w:rsidRPr="00C66CC8">
              <w:rPr>
                <w:b w:val="0"/>
                <w:bCs/>
              </w:rPr>
              <w:t>ing function of the QBCC. Includes legacy licen</w:t>
            </w:r>
            <w:r>
              <w:rPr>
                <w:b w:val="0"/>
                <w:bCs/>
              </w:rPr>
              <w:t>s</w:t>
            </w:r>
            <w:r w:rsidRPr="00C66CC8">
              <w:rPr>
                <w:b w:val="0"/>
                <w:bCs/>
              </w:rPr>
              <w:t>ing</w:t>
            </w:r>
            <w:r w:rsidRPr="00C66CC8" w:rsidDel="00464036">
              <w:rPr>
                <w:b w:val="0"/>
                <w:bCs/>
              </w:rPr>
              <w:t xml:space="preserve"> </w:t>
            </w:r>
            <w:r>
              <w:rPr>
                <w:b w:val="0"/>
                <w:bCs/>
              </w:rPr>
              <w:t xml:space="preserve">administration files created by </w:t>
            </w:r>
            <w:r w:rsidRPr="00C66CC8">
              <w:rPr>
                <w:b w:val="0"/>
                <w:bCs/>
              </w:rPr>
              <w:t>the former Building Services Authority (BSA).</w:t>
            </w:r>
          </w:p>
          <w:p w14:paraId="4808CEC5" w14:textId="77777777" w:rsidR="00604220" w:rsidRPr="00634D63" w:rsidRDefault="00604220" w:rsidP="002215E0">
            <w:pPr>
              <w:pStyle w:val="Heading2"/>
            </w:pPr>
            <w:r w:rsidRPr="00634D63">
              <w:t>Why the records are retained for this retention period:</w:t>
            </w:r>
          </w:p>
          <w:p w14:paraId="46FCDDFB" w14:textId="3BAB03C9" w:rsidR="0067251F" w:rsidRPr="00C66CC8" w:rsidRDefault="0067251F" w:rsidP="0067251F">
            <w:pPr>
              <w:pStyle w:val="Tablesub-heading"/>
              <w:rPr>
                <w:b w:val="0"/>
                <w:bCs/>
              </w:rPr>
            </w:pPr>
            <w:r>
              <w:rPr>
                <w:b w:val="0"/>
                <w:bCs/>
              </w:rPr>
              <w:t xml:space="preserve">A </w:t>
            </w:r>
            <w:r w:rsidR="00917F5B">
              <w:rPr>
                <w:b w:val="0"/>
                <w:bCs/>
              </w:rPr>
              <w:t>seven-</w:t>
            </w:r>
            <w:r>
              <w:rPr>
                <w:b w:val="0"/>
                <w:bCs/>
              </w:rPr>
              <w:t>year retention</w:t>
            </w:r>
            <w:r w:rsidRPr="00C66CC8">
              <w:rPr>
                <w:b w:val="0"/>
                <w:bCs/>
              </w:rPr>
              <w:t xml:space="preserve"> period ensures that the records are available in the event of any legal claims brought in accordance with s.10 of the </w:t>
            </w:r>
            <w:r w:rsidRPr="009A33B0">
              <w:rPr>
                <w:b w:val="0"/>
                <w:bCs/>
                <w:i/>
                <w:iCs/>
              </w:rPr>
              <w:t>Limitation of Actions Act 1974</w:t>
            </w:r>
            <w:r w:rsidRPr="00C66CC8">
              <w:rPr>
                <w:b w:val="0"/>
                <w:bCs/>
              </w:rPr>
              <w:t xml:space="preserve">. </w:t>
            </w:r>
          </w:p>
          <w:p w14:paraId="14F14106" w14:textId="6A53F23A" w:rsidR="00604220" w:rsidRPr="00B2654C" w:rsidRDefault="0067251F" w:rsidP="002215E0">
            <w:pPr>
              <w:pStyle w:val="Tablesub-heading"/>
              <w:rPr>
                <w:b w:val="0"/>
                <w:bCs/>
              </w:rPr>
            </w:pPr>
            <w:r>
              <w:rPr>
                <w:b w:val="0"/>
                <w:bCs/>
              </w:rPr>
              <w:t>The</w:t>
            </w:r>
            <w:r w:rsidRPr="00C66CC8">
              <w:rPr>
                <w:b w:val="0"/>
                <w:bCs/>
              </w:rPr>
              <w:t xml:space="preserve"> </w:t>
            </w:r>
            <w:r w:rsidR="00917F5B">
              <w:rPr>
                <w:b w:val="0"/>
                <w:bCs/>
              </w:rPr>
              <w:t>seven-</w:t>
            </w:r>
            <w:r w:rsidRPr="00C66CC8">
              <w:rPr>
                <w:b w:val="0"/>
                <w:bCs/>
              </w:rPr>
              <w:t xml:space="preserve">year retention period supports the decisions of the business by providing evidence of actions taken and ensures that records are available for a sufficient period of time to be referred back to if </w:t>
            </w:r>
            <w:r>
              <w:rPr>
                <w:b w:val="0"/>
                <w:bCs/>
              </w:rPr>
              <w:t xml:space="preserve">so </w:t>
            </w:r>
            <w:r w:rsidRPr="00C66CC8">
              <w:rPr>
                <w:b w:val="0"/>
                <w:bCs/>
              </w:rPr>
              <w:t>required.</w:t>
            </w:r>
            <w:r w:rsidR="00604220">
              <w:rPr>
                <w:b w:val="0"/>
                <w:szCs w:val="22"/>
              </w:rPr>
              <w:t xml:space="preserve"> </w:t>
            </w:r>
          </w:p>
          <w:p w14:paraId="06583469" w14:textId="77777777" w:rsidR="00604220" w:rsidRPr="00634D63" w:rsidRDefault="00604220" w:rsidP="002215E0">
            <w:pPr>
              <w:pStyle w:val="Heading2"/>
            </w:pPr>
            <w:r w:rsidRPr="00634D63">
              <w:t>Applicable legislation/standards:</w:t>
            </w:r>
          </w:p>
          <w:p w14:paraId="52E73BF1" w14:textId="77777777" w:rsidR="00B2654C" w:rsidRPr="00C66CC8" w:rsidRDefault="00B2654C" w:rsidP="00B2654C">
            <w:pPr>
              <w:pStyle w:val="Tablesub-heading"/>
              <w:rPr>
                <w:b w:val="0"/>
                <w:bCs/>
              </w:rPr>
            </w:pPr>
            <w:r w:rsidRPr="00C66CC8">
              <w:rPr>
                <w:b w:val="0"/>
                <w:bCs/>
              </w:rPr>
              <w:t xml:space="preserve">See the list of applicable legislation and standards for public records created, kept and managed by the Building and Construction </w:t>
            </w:r>
            <w:r>
              <w:rPr>
                <w:b w:val="0"/>
                <w:bCs/>
              </w:rPr>
              <w:t>sector</w:t>
            </w:r>
            <w:r w:rsidRPr="00C66CC8">
              <w:rPr>
                <w:b w:val="0"/>
                <w:bCs/>
              </w:rPr>
              <w:t xml:space="preserve"> located at the beginning of this appraisal log.</w:t>
            </w:r>
          </w:p>
          <w:p w14:paraId="7607442E" w14:textId="77777777" w:rsidR="00604220" w:rsidRPr="00634D63" w:rsidRDefault="00604220" w:rsidP="002215E0">
            <w:pPr>
              <w:pStyle w:val="Heading2"/>
            </w:pPr>
            <w:r w:rsidRPr="00634D63">
              <w:t xml:space="preserve">Comparison with other schedules' retention period: </w:t>
            </w:r>
          </w:p>
          <w:p w14:paraId="7371B06A" w14:textId="77777777" w:rsidR="00010913" w:rsidRPr="00C66CC8" w:rsidRDefault="00010913" w:rsidP="00010913">
            <w:pPr>
              <w:pStyle w:val="Tablesub-heading"/>
              <w:rPr>
                <w:b w:val="0"/>
                <w:bCs/>
              </w:rPr>
            </w:pPr>
            <w:r w:rsidRPr="00122BC4">
              <w:rPr>
                <w:b w:val="0"/>
                <w:bCs/>
                <w:i/>
                <w:iCs/>
              </w:rPr>
              <w:t>PROS 20/01 for the Victorian Building Authority</w:t>
            </w:r>
            <w:r w:rsidRPr="00C66CC8">
              <w:rPr>
                <w:b w:val="0"/>
                <w:bCs/>
              </w:rPr>
              <w:t>, 1.3</w:t>
            </w:r>
            <w:r>
              <w:rPr>
                <w:b w:val="0"/>
                <w:bCs/>
              </w:rPr>
              <w:t xml:space="preserve"> – Administrative records documenting and supporting the Registration and Licensing function – retain 10 years – </w:t>
            </w:r>
            <w:r w:rsidRPr="00C66CC8">
              <w:rPr>
                <w:b w:val="0"/>
                <w:bCs/>
              </w:rPr>
              <w:t xml:space="preserve">as issued by </w:t>
            </w:r>
            <w:r>
              <w:rPr>
                <w:b w:val="0"/>
                <w:bCs/>
              </w:rPr>
              <w:t>the Public Record Office Victoria (</w:t>
            </w:r>
            <w:r w:rsidRPr="00C66CC8">
              <w:rPr>
                <w:b w:val="0"/>
                <w:bCs/>
              </w:rPr>
              <w:t>PROV</w:t>
            </w:r>
            <w:r>
              <w:rPr>
                <w:b w:val="0"/>
                <w:bCs/>
              </w:rPr>
              <w:t>)</w:t>
            </w:r>
            <w:r w:rsidRPr="00C66CC8">
              <w:rPr>
                <w:b w:val="0"/>
                <w:bCs/>
              </w:rPr>
              <w:t>.</w:t>
            </w:r>
          </w:p>
          <w:p w14:paraId="6B89BABB" w14:textId="77777777" w:rsidR="00010913" w:rsidRDefault="00010913" w:rsidP="00010913">
            <w:pPr>
              <w:pStyle w:val="Tablesub-heading"/>
              <w:rPr>
                <w:b w:val="0"/>
                <w:bCs/>
              </w:rPr>
            </w:pPr>
            <w:r w:rsidRPr="00122BC4">
              <w:rPr>
                <w:b w:val="0"/>
                <w:bCs/>
                <w:i/>
                <w:iCs/>
              </w:rPr>
              <w:t>PROS 19/01, Gambling &amp; Liquor Regulation, Licensing Management,</w:t>
            </w:r>
            <w:r w:rsidRPr="00C66CC8">
              <w:rPr>
                <w:b w:val="0"/>
                <w:bCs/>
              </w:rPr>
              <w:t xml:space="preserve"> </w:t>
            </w:r>
            <w:r>
              <w:rPr>
                <w:b w:val="0"/>
                <w:bCs/>
              </w:rPr>
              <w:t>1.3 – Licensing Management s</w:t>
            </w:r>
            <w:r w:rsidRPr="00C66CC8">
              <w:rPr>
                <w:b w:val="0"/>
                <w:bCs/>
              </w:rPr>
              <w:t>hort</w:t>
            </w:r>
            <w:r>
              <w:rPr>
                <w:b w:val="0"/>
                <w:bCs/>
              </w:rPr>
              <w:t xml:space="preserve"> t</w:t>
            </w:r>
            <w:r w:rsidRPr="00C66CC8">
              <w:rPr>
                <w:b w:val="0"/>
                <w:bCs/>
              </w:rPr>
              <w:t xml:space="preserve">erm </w:t>
            </w:r>
            <w:r>
              <w:rPr>
                <w:b w:val="0"/>
                <w:bCs/>
              </w:rPr>
              <w:t>a</w:t>
            </w:r>
            <w:r w:rsidRPr="00C66CC8">
              <w:rPr>
                <w:b w:val="0"/>
                <w:bCs/>
              </w:rPr>
              <w:t>dmin</w:t>
            </w:r>
            <w:r>
              <w:rPr>
                <w:b w:val="0"/>
                <w:bCs/>
              </w:rPr>
              <w:t>istrative r</w:t>
            </w:r>
            <w:r w:rsidRPr="00C66CC8">
              <w:rPr>
                <w:b w:val="0"/>
                <w:bCs/>
              </w:rPr>
              <w:t>ecords</w:t>
            </w:r>
            <w:r>
              <w:rPr>
                <w:b w:val="0"/>
                <w:bCs/>
              </w:rPr>
              <w:t xml:space="preserve"> – retain for 7 years – </w:t>
            </w:r>
            <w:r w:rsidRPr="00C66CC8">
              <w:rPr>
                <w:b w:val="0"/>
                <w:bCs/>
              </w:rPr>
              <w:t xml:space="preserve">as issued by </w:t>
            </w:r>
            <w:r>
              <w:rPr>
                <w:b w:val="0"/>
                <w:bCs/>
              </w:rPr>
              <w:t>the Public Record Office, Victoria (</w:t>
            </w:r>
            <w:r w:rsidRPr="00C66CC8">
              <w:rPr>
                <w:b w:val="0"/>
                <w:bCs/>
              </w:rPr>
              <w:t>PROV</w:t>
            </w:r>
            <w:r>
              <w:rPr>
                <w:b w:val="0"/>
                <w:bCs/>
              </w:rPr>
              <w:t>)</w:t>
            </w:r>
            <w:r w:rsidRPr="00C66CC8">
              <w:rPr>
                <w:b w:val="0"/>
                <w:bCs/>
              </w:rPr>
              <w:t>.</w:t>
            </w:r>
          </w:p>
          <w:p w14:paraId="1DCD8B40" w14:textId="77777777" w:rsidR="00010913" w:rsidRDefault="00010913" w:rsidP="00010913">
            <w:pPr>
              <w:pStyle w:val="Tablesub-heading"/>
              <w:rPr>
                <w:b w:val="0"/>
                <w:bCs/>
              </w:rPr>
            </w:pPr>
            <w:r w:rsidRPr="00122BC4">
              <w:rPr>
                <w:b w:val="0"/>
                <w:bCs/>
                <w:i/>
                <w:iCs/>
              </w:rPr>
              <w:t>RA 2019/00447636 - Australian Building and Construction Commission (ABCC),</w:t>
            </w:r>
            <w:r>
              <w:rPr>
                <w:b w:val="0"/>
                <w:bCs/>
              </w:rPr>
              <w:t xml:space="preserve"> 62698 – Routine Operational Administrative Tasks supporting Core Business Activities – retain for 7 years – as issued by the National Archives of Australia (NAA).</w:t>
            </w:r>
          </w:p>
          <w:p w14:paraId="64D19416" w14:textId="77777777" w:rsidR="00604220" w:rsidRPr="00634D63" w:rsidRDefault="00604220" w:rsidP="002215E0">
            <w:pPr>
              <w:pStyle w:val="Heading2"/>
            </w:pPr>
            <w:r w:rsidRPr="00634D63">
              <w:t>Previous schedule references:</w:t>
            </w:r>
          </w:p>
          <w:p w14:paraId="572B05B4" w14:textId="2DDC2163" w:rsidR="00604220" w:rsidRPr="004A453A" w:rsidRDefault="00010913" w:rsidP="002215E0">
            <w:pPr>
              <w:pStyle w:val="Tablesub-heading"/>
              <w:rPr>
                <w:b w:val="0"/>
                <w:szCs w:val="22"/>
              </w:rPr>
            </w:pPr>
            <w:r>
              <w:rPr>
                <w:rFonts w:cs="Arial"/>
                <w:b w:val="0"/>
              </w:rPr>
              <w:t>New disposal authorisation</w:t>
            </w:r>
          </w:p>
        </w:tc>
      </w:tr>
      <w:tr w:rsidR="00604220" w:rsidRPr="004A453A" w14:paraId="067E74CA" w14:textId="77777777" w:rsidTr="00384B0E">
        <w:tc>
          <w:tcPr>
            <w:tcW w:w="567" w:type="pct"/>
            <w:tcBorders>
              <w:top w:val="single" w:sz="6" w:space="0" w:color="C0C0C0"/>
              <w:bottom w:val="single" w:sz="6" w:space="0" w:color="C0C0C0"/>
            </w:tcBorders>
            <w:shd w:val="clear" w:color="auto" w:fill="auto"/>
          </w:tcPr>
          <w:p w14:paraId="3C30C477" w14:textId="402ACDEC" w:rsidR="00604220" w:rsidRPr="004A453A" w:rsidRDefault="0054796B" w:rsidP="002215E0">
            <w:pPr>
              <w:pStyle w:val="Tablesub-heading"/>
              <w:rPr>
                <w:b w:val="0"/>
                <w:szCs w:val="22"/>
              </w:rPr>
            </w:pPr>
            <w:bookmarkStart w:id="13" w:name="_Hlk150340107"/>
            <w:bookmarkEnd w:id="12"/>
            <w:r>
              <w:rPr>
                <w:b w:val="0"/>
                <w:szCs w:val="22"/>
              </w:rPr>
              <w:t>2771</w:t>
            </w:r>
          </w:p>
        </w:tc>
        <w:tc>
          <w:tcPr>
            <w:tcW w:w="914" w:type="pct"/>
            <w:tcBorders>
              <w:top w:val="single" w:sz="6" w:space="0" w:color="C0C0C0"/>
              <w:bottom w:val="single" w:sz="6" w:space="0" w:color="C0C0C0"/>
            </w:tcBorders>
            <w:shd w:val="clear" w:color="auto" w:fill="auto"/>
          </w:tcPr>
          <w:p w14:paraId="7BA4B360" w14:textId="77777777" w:rsidR="00A462D7" w:rsidRPr="00917033" w:rsidRDefault="00A462D7" w:rsidP="00A462D7">
            <w:pPr>
              <w:pStyle w:val="Tablesub-heading"/>
              <w:rPr>
                <w:i/>
                <w:szCs w:val="22"/>
              </w:rPr>
            </w:pPr>
            <w:r>
              <w:rPr>
                <w:i/>
                <w:noProof/>
                <w:szCs w:val="22"/>
              </w:rPr>
              <w:t xml:space="preserve">Industry Skills and Supply Shortages Mediation </w:t>
            </w:r>
          </w:p>
          <w:p w14:paraId="66BB593B" w14:textId="77777777" w:rsidR="00A462D7" w:rsidRPr="004A453A" w:rsidRDefault="00A462D7" w:rsidP="00A462D7">
            <w:pPr>
              <w:pStyle w:val="Tablesub-heading"/>
              <w:rPr>
                <w:szCs w:val="22"/>
              </w:rPr>
            </w:pPr>
            <w:r>
              <w:rPr>
                <w:b w:val="0"/>
                <w:noProof/>
                <w:szCs w:val="22"/>
              </w:rPr>
              <w:lastRenderedPageBreak/>
              <w:t>Records relating to the Accelerated Builder &amp; Consumer Disputes (ABCD) program involving services aimed to address issues associated with materials and/or labour shortages in the (residential) construction industry largely caused by Covid-19.</w:t>
            </w:r>
          </w:p>
          <w:p w14:paraId="7D45DEDF" w14:textId="77777777" w:rsidR="00604220" w:rsidRPr="00634D63" w:rsidRDefault="00604220" w:rsidP="002215E0">
            <w:pPr>
              <w:pStyle w:val="Heading2"/>
            </w:pPr>
            <w:r w:rsidRPr="00634D63">
              <w:t xml:space="preserve">Disposal action – </w:t>
            </w:r>
          </w:p>
          <w:p w14:paraId="7C841F60" w14:textId="7687C3DF" w:rsidR="00604220" w:rsidRPr="004A453A" w:rsidRDefault="00A462D7" w:rsidP="002215E0">
            <w:pPr>
              <w:pStyle w:val="Tablesub-heading"/>
              <w:rPr>
                <w:b w:val="0"/>
              </w:rPr>
            </w:pPr>
            <w:r w:rsidRPr="002F57E6">
              <w:rPr>
                <w:rFonts w:cs="Arial"/>
                <w:b w:val="0"/>
                <w:iCs/>
                <w:noProof/>
              </w:rPr>
              <w:t>7 years after business action completed.</w:t>
            </w:r>
          </w:p>
        </w:tc>
        <w:tc>
          <w:tcPr>
            <w:tcW w:w="3519" w:type="pct"/>
            <w:tcBorders>
              <w:top w:val="single" w:sz="6" w:space="0" w:color="C0C0C0"/>
              <w:bottom w:val="single" w:sz="6" w:space="0" w:color="C0C0C0"/>
            </w:tcBorders>
            <w:shd w:val="clear" w:color="auto" w:fill="auto"/>
          </w:tcPr>
          <w:p w14:paraId="73B48FBF" w14:textId="42C8C3E4" w:rsidR="00604220" w:rsidRPr="004A453A" w:rsidRDefault="00604220" w:rsidP="002215E0">
            <w:pPr>
              <w:pStyle w:val="Tablesub-heading"/>
              <w:rPr>
                <w:b w:val="0"/>
                <w:szCs w:val="22"/>
              </w:rPr>
            </w:pPr>
            <w:r>
              <w:lastRenderedPageBreak/>
              <w:t xml:space="preserve">Date authorised: </w:t>
            </w:r>
            <w:r w:rsidR="00067BF0">
              <w:rPr>
                <w:b w:val="0"/>
              </w:rPr>
              <w:t>15 December 2023</w:t>
            </w:r>
          </w:p>
          <w:p w14:paraId="70FB858D" w14:textId="77777777" w:rsidR="00604220" w:rsidRPr="00634D63" w:rsidRDefault="00604220" w:rsidP="002215E0">
            <w:pPr>
              <w:pStyle w:val="Heading2"/>
            </w:pPr>
            <w:r w:rsidRPr="00634D63">
              <w:t>Why are these records created:</w:t>
            </w:r>
          </w:p>
          <w:p w14:paraId="315D8E9F" w14:textId="77777777" w:rsidR="00A462D7" w:rsidRDefault="00A462D7" w:rsidP="00A462D7">
            <w:pPr>
              <w:pStyle w:val="Tablesub-heading"/>
              <w:rPr>
                <w:b w:val="0"/>
                <w:szCs w:val="22"/>
              </w:rPr>
            </w:pPr>
            <w:r>
              <w:rPr>
                <w:b w:val="0"/>
                <w:noProof/>
                <w:szCs w:val="22"/>
              </w:rPr>
              <w:lastRenderedPageBreak/>
              <w:t>New service being offered by the QBCC from July 2021 in response to industry disruptions caused by Covid-19.</w:t>
            </w:r>
          </w:p>
          <w:p w14:paraId="6D35386F" w14:textId="77777777" w:rsidR="00A462D7" w:rsidRPr="00793870" w:rsidRDefault="00A462D7" w:rsidP="00A462D7">
            <w:pPr>
              <w:pStyle w:val="NormalWeb"/>
              <w:shd w:val="clear" w:color="auto" w:fill="FFFFFF"/>
              <w:spacing w:before="0" w:beforeAutospacing="0" w:after="150" w:afterAutospacing="0"/>
              <w:rPr>
                <w:rFonts w:ascii="Arial" w:hAnsi="Arial" w:cs="Arial"/>
                <w:color w:val="333333"/>
                <w:sz w:val="22"/>
                <w:szCs w:val="22"/>
              </w:rPr>
            </w:pPr>
            <w:r>
              <w:rPr>
                <w:rFonts w:ascii="Arial" w:hAnsi="Arial" w:cs="Arial"/>
                <w:color w:val="333333"/>
                <w:sz w:val="22"/>
                <w:szCs w:val="22"/>
              </w:rPr>
              <w:t>Assistance to h</w:t>
            </w:r>
            <w:r w:rsidRPr="00793870">
              <w:rPr>
                <w:rFonts w:ascii="Arial" w:hAnsi="Arial" w:cs="Arial"/>
                <w:color w:val="333333"/>
                <w:sz w:val="22"/>
                <w:szCs w:val="22"/>
              </w:rPr>
              <w:t xml:space="preserve">omeowners and builders </w:t>
            </w:r>
            <w:r>
              <w:rPr>
                <w:rFonts w:ascii="Arial" w:hAnsi="Arial" w:cs="Arial"/>
                <w:color w:val="333333"/>
                <w:sz w:val="22"/>
                <w:szCs w:val="22"/>
              </w:rPr>
              <w:t>facing</w:t>
            </w:r>
            <w:r w:rsidRPr="00793870">
              <w:rPr>
                <w:rFonts w:ascii="Arial" w:hAnsi="Arial" w:cs="Arial"/>
                <w:color w:val="333333"/>
                <w:sz w:val="22"/>
                <w:szCs w:val="22"/>
              </w:rPr>
              <w:t xml:space="preserve"> </w:t>
            </w:r>
            <w:r>
              <w:rPr>
                <w:rFonts w:ascii="Arial" w:hAnsi="Arial" w:cs="Arial"/>
                <w:color w:val="333333"/>
                <w:sz w:val="22"/>
                <w:szCs w:val="22"/>
              </w:rPr>
              <w:t>r</w:t>
            </w:r>
            <w:r w:rsidRPr="00793870">
              <w:rPr>
                <w:rFonts w:ascii="Arial" w:hAnsi="Arial" w:cs="Arial"/>
                <w:color w:val="333333"/>
                <w:sz w:val="22"/>
                <w:szCs w:val="22"/>
              </w:rPr>
              <w:t xml:space="preserve">ising </w:t>
            </w:r>
            <w:r>
              <w:rPr>
                <w:rFonts w:ascii="Arial" w:hAnsi="Arial" w:cs="Arial"/>
                <w:color w:val="333333"/>
                <w:sz w:val="22"/>
                <w:szCs w:val="22"/>
              </w:rPr>
              <w:t>costs</w:t>
            </w:r>
            <w:r w:rsidRPr="00793870">
              <w:rPr>
                <w:rFonts w:ascii="Arial" w:hAnsi="Arial" w:cs="Arial"/>
                <w:color w:val="333333"/>
                <w:sz w:val="22"/>
                <w:szCs w:val="22"/>
              </w:rPr>
              <w:t xml:space="preserve"> and material shortages now have access to free help to get their homes built.</w:t>
            </w:r>
          </w:p>
          <w:p w14:paraId="2DC2EFE3" w14:textId="77522ED9" w:rsidR="00A462D7" w:rsidRDefault="00A462D7" w:rsidP="00A462D7">
            <w:pPr>
              <w:pStyle w:val="NormalWeb"/>
              <w:shd w:val="clear" w:color="auto" w:fill="FFFFFF"/>
              <w:spacing w:before="0" w:beforeAutospacing="0" w:after="150" w:afterAutospacing="0"/>
              <w:rPr>
                <w:rFonts w:ascii="Open Sans" w:hAnsi="Open Sans" w:cs="Open Sans"/>
                <w:color w:val="333333"/>
              </w:rPr>
            </w:pPr>
            <w:r w:rsidRPr="00793870">
              <w:rPr>
                <w:rFonts w:ascii="Arial" w:hAnsi="Arial" w:cs="Arial"/>
                <w:color w:val="333333"/>
                <w:sz w:val="22"/>
                <w:szCs w:val="22"/>
              </w:rPr>
              <w:t xml:space="preserve">The Accelerated Builder </w:t>
            </w:r>
            <w:r>
              <w:rPr>
                <w:rFonts w:ascii="Arial" w:hAnsi="Arial" w:cs="Arial"/>
                <w:color w:val="333333"/>
                <w:sz w:val="22"/>
                <w:szCs w:val="22"/>
              </w:rPr>
              <w:t>and</w:t>
            </w:r>
            <w:r w:rsidRPr="00793870">
              <w:rPr>
                <w:rFonts w:ascii="Arial" w:hAnsi="Arial" w:cs="Arial"/>
                <w:color w:val="333333"/>
                <w:sz w:val="22"/>
                <w:szCs w:val="22"/>
              </w:rPr>
              <w:t xml:space="preserve"> Consumer Dispute</w:t>
            </w:r>
            <w:r>
              <w:rPr>
                <w:rFonts w:ascii="Arial" w:hAnsi="Arial" w:cs="Arial"/>
                <w:color w:val="333333"/>
                <w:sz w:val="22"/>
                <w:szCs w:val="22"/>
              </w:rPr>
              <w:t>s</w:t>
            </w:r>
            <w:r w:rsidRPr="00793870">
              <w:rPr>
                <w:rFonts w:ascii="Arial" w:hAnsi="Arial" w:cs="Arial"/>
                <w:color w:val="333333"/>
                <w:sz w:val="22"/>
                <w:szCs w:val="22"/>
              </w:rPr>
              <w:t xml:space="preserve"> (ABCD) service went live on </w:t>
            </w:r>
            <w:r w:rsidR="00917F5B">
              <w:rPr>
                <w:rFonts w:ascii="Arial" w:hAnsi="Arial" w:cs="Arial"/>
                <w:color w:val="333333"/>
                <w:sz w:val="22"/>
                <w:szCs w:val="22"/>
              </w:rPr>
              <w:t>1 July</w:t>
            </w:r>
            <w:r>
              <w:rPr>
                <w:rFonts w:ascii="Arial" w:hAnsi="Arial" w:cs="Arial"/>
                <w:color w:val="333333"/>
                <w:sz w:val="22"/>
                <w:szCs w:val="22"/>
              </w:rPr>
              <w:t xml:space="preserve"> 2021, </w:t>
            </w:r>
            <w:r w:rsidRPr="00793870">
              <w:rPr>
                <w:rFonts w:ascii="Arial" w:hAnsi="Arial" w:cs="Arial"/>
                <w:color w:val="333333"/>
                <w:sz w:val="22"/>
                <w:szCs w:val="22"/>
              </w:rPr>
              <w:t>with free professional mediators to help homeowners and embattled builders find a way to get their homes completed</w:t>
            </w:r>
            <w:r>
              <w:rPr>
                <w:rFonts w:ascii="Open Sans" w:hAnsi="Open Sans" w:cs="Open Sans"/>
                <w:color w:val="333333"/>
              </w:rPr>
              <w:t>.</w:t>
            </w:r>
          </w:p>
          <w:p w14:paraId="2A79B128" w14:textId="77777777" w:rsidR="00A462D7" w:rsidRDefault="00A462D7" w:rsidP="00A462D7">
            <w:pPr>
              <w:pStyle w:val="NormalWeb"/>
              <w:shd w:val="clear" w:color="auto" w:fill="FFFFFF"/>
              <w:spacing w:before="0" w:beforeAutospacing="0" w:after="150" w:afterAutospacing="0"/>
              <w:rPr>
                <w:rFonts w:ascii="Arial" w:hAnsi="Arial" w:cs="Arial"/>
                <w:color w:val="333333"/>
                <w:sz w:val="22"/>
                <w:szCs w:val="22"/>
              </w:rPr>
            </w:pPr>
            <w:r w:rsidRPr="00877E74">
              <w:rPr>
                <w:rFonts w:ascii="Arial" w:hAnsi="Arial" w:cs="Arial"/>
                <w:color w:val="333333"/>
                <w:sz w:val="22"/>
                <w:szCs w:val="22"/>
              </w:rPr>
              <w:t xml:space="preserve">The ABCD will give homeowners and builders a way to get together with the help of a professional problem solver </w:t>
            </w:r>
            <w:r>
              <w:rPr>
                <w:rFonts w:ascii="Arial" w:hAnsi="Arial" w:cs="Arial"/>
                <w:color w:val="333333"/>
                <w:sz w:val="22"/>
                <w:szCs w:val="22"/>
              </w:rPr>
              <w:t xml:space="preserve">to </w:t>
            </w:r>
            <w:r w:rsidRPr="00877E74">
              <w:rPr>
                <w:rFonts w:ascii="Arial" w:hAnsi="Arial" w:cs="Arial"/>
                <w:color w:val="333333"/>
                <w:sz w:val="22"/>
                <w:szCs w:val="22"/>
              </w:rPr>
              <w:t>achieve what both sides ultimately signed up for – builders want to get the job done and homeowners want to get into their homes.</w:t>
            </w:r>
          </w:p>
          <w:p w14:paraId="198E0F45" w14:textId="77777777" w:rsidR="00A462D7" w:rsidRPr="00793870" w:rsidRDefault="00A462D7" w:rsidP="00A462D7">
            <w:pPr>
              <w:pStyle w:val="NormalWeb"/>
              <w:shd w:val="clear" w:color="auto" w:fill="FFFFFF"/>
              <w:spacing w:before="0" w:beforeAutospacing="0" w:after="150" w:afterAutospacing="0"/>
              <w:rPr>
                <w:rFonts w:ascii="Arial" w:hAnsi="Arial" w:cs="Arial"/>
                <w:color w:val="333333"/>
                <w:sz w:val="22"/>
                <w:szCs w:val="22"/>
              </w:rPr>
            </w:pPr>
            <w:r w:rsidRPr="00877E74">
              <w:rPr>
                <w:rFonts w:ascii="Arial" w:hAnsi="Arial" w:cs="Arial"/>
                <w:color w:val="333333"/>
                <w:sz w:val="22"/>
                <w:szCs w:val="22"/>
              </w:rPr>
              <w:t>Designed to open the lines of communication, this new framework will arm builders and their customers with the right information to discuss reasonable and realistic solutions and navigate the impact of these shortages, delays and cost escalations</w:t>
            </w:r>
            <w:r>
              <w:rPr>
                <w:rFonts w:ascii="Arial" w:hAnsi="Arial" w:cs="Arial"/>
                <w:color w:val="333333"/>
              </w:rPr>
              <w:t>.</w:t>
            </w:r>
          </w:p>
          <w:p w14:paraId="24640768" w14:textId="77777777" w:rsidR="00604220" w:rsidRPr="00634D63" w:rsidRDefault="00604220" w:rsidP="002215E0">
            <w:pPr>
              <w:pStyle w:val="Heading2"/>
            </w:pPr>
            <w:r w:rsidRPr="00634D63">
              <w:t>Why the records are retained for this retention period:</w:t>
            </w:r>
          </w:p>
          <w:p w14:paraId="2CFD7DBC" w14:textId="0E08BB6D" w:rsidR="00A462D7" w:rsidRDefault="00A462D7" w:rsidP="00A462D7">
            <w:pPr>
              <w:pStyle w:val="Heading2"/>
              <w:shd w:val="clear" w:color="auto" w:fill="FFFFFF"/>
              <w:rPr>
                <w:rFonts w:ascii="Arial" w:hAnsi="Arial" w:cs="Arial"/>
                <w:b w:val="0"/>
                <w:bCs/>
              </w:rPr>
            </w:pPr>
            <w:r>
              <w:rPr>
                <w:rFonts w:ascii="Arial" w:hAnsi="Arial" w:cs="Arial"/>
                <w:b w:val="0"/>
                <w:bCs/>
              </w:rPr>
              <w:t>A seven-year retention</w:t>
            </w:r>
            <w:r w:rsidRPr="00211D94">
              <w:rPr>
                <w:rFonts w:ascii="Arial" w:hAnsi="Arial" w:cs="Arial"/>
                <w:b w:val="0"/>
                <w:bCs/>
              </w:rPr>
              <w:t xml:space="preserve"> period ensures that the records are available in the event of any legal claims brought in accordance with s.10 of the </w:t>
            </w:r>
            <w:r w:rsidRPr="002F57E6">
              <w:rPr>
                <w:rFonts w:ascii="Arial" w:hAnsi="Arial" w:cs="Arial"/>
                <w:b w:val="0"/>
                <w:bCs/>
                <w:i/>
                <w:iCs/>
              </w:rPr>
              <w:t>Limitation of Actions Act</w:t>
            </w:r>
            <w:r>
              <w:rPr>
                <w:rFonts w:ascii="Arial" w:hAnsi="Arial" w:cs="Arial"/>
                <w:b w:val="0"/>
                <w:bCs/>
              </w:rPr>
              <w:t xml:space="preserve"> </w:t>
            </w:r>
            <w:r w:rsidRPr="009A33B0">
              <w:rPr>
                <w:rFonts w:ascii="Arial" w:hAnsi="Arial" w:cs="Arial"/>
                <w:b w:val="0"/>
                <w:bCs/>
                <w:i/>
                <w:iCs/>
              </w:rPr>
              <w:t>1974</w:t>
            </w:r>
            <w:r>
              <w:rPr>
                <w:rFonts w:ascii="Arial" w:hAnsi="Arial" w:cs="Arial"/>
                <w:b w:val="0"/>
                <w:bCs/>
              </w:rPr>
              <w:t>.</w:t>
            </w:r>
            <w:r w:rsidRPr="00211D94">
              <w:rPr>
                <w:rFonts w:ascii="Arial" w:hAnsi="Arial" w:cs="Arial"/>
                <w:b w:val="0"/>
                <w:bCs/>
              </w:rPr>
              <w:t xml:space="preserve"> </w:t>
            </w:r>
          </w:p>
          <w:p w14:paraId="2C7CD71B" w14:textId="57912132" w:rsidR="00604220" w:rsidRPr="00A462D7" w:rsidRDefault="00A462D7" w:rsidP="00A462D7">
            <w:pPr>
              <w:pStyle w:val="Heading2"/>
              <w:shd w:val="clear" w:color="auto" w:fill="FFFFFF"/>
              <w:rPr>
                <w:rFonts w:ascii="Arial" w:hAnsi="Arial" w:cs="Arial"/>
                <w:b w:val="0"/>
                <w:bCs/>
              </w:rPr>
            </w:pPr>
            <w:r>
              <w:rPr>
                <w:rFonts w:ascii="Arial" w:hAnsi="Arial" w:cs="Arial"/>
                <w:b w:val="0"/>
                <w:bCs/>
              </w:rPr>
              <w:t>The seven-year retention period supports the decisions of the business by providing evidence of actions taken and ensures that records are available for a sufficient period of time to be referred back to if required.</w:t>
            </w:r>
            <w:r w:rsidR="00604220">
              <w:rPr>
                <w:b w:val="0"/>
                <w:szCs w:val="22"/>
              </w:rPr>
              <w:t xml:space="preserve"> </w:t>
            </w:r>
          </w:p>
          <w:p w14:paraId="4C54F4BC" w14:textId="77777777" w:rsidR="00604220" w:rsidRPr="00634D63" w:rsidRDefault="00604220" w:rsidP="002215E0">
            <w:pPr>
              <w:pStyle w:val="Heading2"/>
            </w:pPr>
            <w:r w:rsidRPr="00634D63">
              <w:t>Applicable legislation/standards:</w:t>
            </w:r>
          </w:p>
          <w:p w14:paraId="39DADF88" w14:textId="77777777" w:rsidR="00410D78" w:rsidRPr="00C66CC8" w:rsidRDefault="00410D78" w:rsidP="00410D78">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r>
              <w:rPr>
                <w:rFonts w:ascii="Arial" w:hAnsi="Arial" w:cs="Arial"/>
                <w:b w:val="0"/>
                <w:noProof/>
                <w:szCs w:val="22"/>
              </w:rPr>
              <w:t>.</w:t>
            </w:r>
          </w:p>
          <w:p w14:paraId="7DD9C15B" w14:textId="77777777" w:rsidR="00604220" w:rsidRPr="00634D63" w:rsidRDefault="00604220" w:rsidP="002215E0">
            <w:pPr>
              <w:pStyle w:val="Heading2"/>
            </w:pPr>
            <w:r w:rsidRPr="00634D63">
              <w:t xml:space="preserve">Comparison with other schedules' retention period: </w:t>
            </w:r>
          </w:p>
          <w:p w14:paraId="7328694C" w14:textId="77777777" w:rsidR="00410D78" w:rsidRDefault="00410D78" w:rsidP="00410D78">
            <w:pPr>
              <w:pStyle w:val="Tablesub-heading"/>
              <w:rPr>
                <w:b w:val="0"/>
                <w:noProof/>
                <w:szCs w:val="22"/>
              </w:rPr>
            </w:pPr>
            <w:r w:rsidRPr="00122BC4">
              <w:rPr>
                <w:b w:val="0"/>
                <w:i/>
                <w:iCs/>
                <w:noProof/>
                <w:szCs w:val="22"/>
              </w:rPr>
              <w:t>FA430 for the Department of Customer Service,</w:t>
            </w:r>
            <w:r>
              <w:rPr>
                <w:b w:val="0"/>
                <w:noProof/>
                <w:szCs w:val="22"/>
              </w:rPr>
              <w:t xml:space="preserve"> 1.5.2 – Mediation Programs – retain 10 years - as issued by the NSW State Archive &amp; Records Authority (SARA).</w:t>
            </w:r>
          </w:p>
          <w:p w14:paraId="705C7B3F" w14:textId="77777777" w:rsidR="00410D78" w:rsidRDefault="00410D78" w:rsidP="00410D78">
            <w:pPr>
              <w:pStyle w:val="Tablesub-heading"/>
              <w:shd w:val="clear" w:color="auto" w:fill="FFFFFF"/>
              <w:rPr>
                <w:b w:val="0"/>
                <w:noProof/>
                <w:szCs w:val="22"/>
              </w:rPr>
            </w:pPr>
            <w:r w:rsidRPr="002F57E6">
              <w:rPr>
                <w:b w:val="0"/>
                <w:i/>
                <w:iCs/>
                <w:noProof/>
                <w:szCs w:val="22"/>
              </w:rPr>
              <w:t>General Retention and Disposal Schedule</w:t>
            </w:r>
            <w:r>
              <w:rPr>
                <w:b w:val="0"/>
                <w:noProof/>
                <w:szCs w:val="22"/>
              </w:rPr>
              <w:t xml:space="preserve"> (GRDS) - 1026 - Client Relationships Management – 7 years after business action completed.</w:t>
            </w:r>
          </w:p>
          <w:p w14:paraId="0D266DBA" w14:textId="77777777" w:rsidR="00604220" w:rsidRPr="00634D63" w:rsidRDefault="00604220" w:rsidP="002215E0">
            <w:pPr>
              <w:pStyle w:val="Heading2"/>
            </w:pPr>
            <w:r w:rsidRPr="00634D63">
              <w:t>Previous schedule references:</w:t>
            </w:r>
          </w:p>
          <w:p w14:paraId="164C41A1" w14:textId="3A9EAE5F" w:rsidR="00604220" w:rsidRPr="004A453A" w:rsidRDefault="00410D78" w:rsidP="002215E0">
            <w:pPr>
              <w:pStyle w:val="Tablesub-heading"/>
              <w:rPr>
                <w:b w:val="0"/>
                <w:szCs w:val="22"/>
              </w:rPr>
            </w:pPr>
            <w:r>
              <w:rPr>
                <w:rFonts w:cs="Arial"/>
                <w:b w:val="0"/>
              </w:rPr>
              <w:lastRenderedPageBreak/>
              <w:t>New disposal authorisation</w:t>
            </w:r>
          </w:p>
        </w:tc>
      </w:tr>
      <w:bookmarkEnd w:id="13"/>
    </w:tbl>
    <w:p w14:paraId="2BAB514E" w14:textId="6C77234E" w:rsidR="00501A38" w:rsidRDefault="00501A38"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501A38" w:rsidRPr="004A453A" w14:paraId="494DDC17" w14:textId="77777777" w:rsidTr="002215E0">
        <w:tc>
          <w:tcPr>
            <w:tcW w:w="5000" w:type="pct"/>
            <w:shd w:val="clear" w:color="auto" w:fill="E0E0E0"/>
          </w:tcPr>
          <w:p w14:paraId="665AED48" w14:textId="77777777" w:rsidR="00501A38" w:rsidRPr="004A453A" w:rsidRDefault="00501A38" w:rsidP="002215E0">
            <w:pPr>
              <w:spacing w:before="60" w:after="60"/>
              <w:rPr>
                <w:b/>
                <w:lang w:eastAsia="en-AU"/>
              </w:rPr>
            </w:pPr>
            <w:r>
              <w:rPr>
                <w:b/>
                <w:lang w:eastAsia="en-AU"/>
              </w:rPr>
              <w:t>Activity</w:t>
            </w:r>
          </w:p>
        </w:tc>
      </w:tr>
      <w:tr w:rsidR="00501A38" w:rsidRPr="004A453A" w14:paraId="09CCDCB8" w14:textId="77777777" w:rsidTr="002215E0">
        <w:tc>
          <w:tcPr>
            <w:tcW w:w="5000" w:type="pct"/>
          </w:tcPr>
          <w:p w14:paraId="4363B6B2" w14:textId="77777777" w:rsidR="00FA16C6" w:rsidRPr="0085214A" w:rsidRDefault="00FA16C6" w:rsidP="00FA16C6">
            <w:pPr>
              <w:pStyle w:val="Heading2"/>
              <w:jc w:val="both"/>
              <w:rPr>
                <w:i/>
                <w:iCs/>
                <w:szCs w:val="22"/>
              </w:rPr>
            </w:pPr>
            <w:bookmarkStart w:id="14" w:name="_Toc234747981"/>
            <w:bookmarkStart w:id="15" w:name="_Hlk150340384"/>
            <w:r>
              <w:rPr>
                <w:i/>
                <w:iCs/>
                <w:szCs w:val="22"/>
              </w:rPr>
              <w:t xml:space="preserve">BUILDING </w:t>
            </w:r>
            <w:r w:rsidRPr="0085214A">
              <w:rPr>
                <w:i/>
                <w:iCs/>
                <w:szCs w:val="22"/>
              </w:rPr>
              <w:t>CERTIFICATION</w:t>
            </w:r>
            <w:bookmarkEnd w:id="14"/>
          </w:p>
          <w:p w14:paraId="4B013EA3" w14:textId="6364A699" w:rsidR="00501A38" w:rsidRPr="00E35904" w:rsidRDefault="00FA16C6" w:rsidP="00FA16C6">
            <w:pPr>
              <w:pStyle w:val="Scopenote"/>
            </w:pPr>
            <w:bookmarkStart w:id="16" w:name="OLE_LINK21"/>
            <w:bookmarkStart w:id="17" w:name="OLE_LINK22"/>
            <w:r w:rsidRPr="00874912">
              <w:rPr>
                <w:rFonts w:cs="Arial"/>
                <w:szCs w:val="22"/>
              </w:rPr>
              <w:t xml:space="preserve">The </w:t>
            </w:r>
            <w:r>
              <w:rPr>
                <w:rFonts w:cs="Arial"/>
                <w:szCs w:val="22"/>
              </w:rPr>
              <w:t xml:space="preserve">activities associated with </w:t>
            </w:r>
            <w:r w:rsidRPr="00874912">
              <w:rPr>
                <w:rFonts w:cs="Arial"/>
                <w:szCs w:val="22"/>
              </w:rPr>
              <w:t>investigating complaints made against</w:t>
            </w:r>
            <w:r>
              <w:rPr>
                <w:rFonts w:cs="Arial"/>
                <w:szCs w:val="22"/>
              </w:rPr>
              <w:t xml:space="preserve"> licensed building certifiers. Includes </w:t>
            </w:r>
            <w:r w:rsidRPr="00253813">
              <w:rPr>
                <w:rFonts w:cs="Arial"/>
                <w:szCs w:val="22"/>
              </w:rPr>
              <w:t>auditing certifiers</w:t>
            </w:r>
            <w:r>
              <w:rPr>
                <w:rFonts w:cs="Arial"/>
                <w:szCs w:val="22"/>
              </w:rPr>
              <w:t xml:space="preserve"> and </w:t>
            </w:r>
            <w:r w:rsidRPr="00253813">
              <w:rPr>
                <w:rFonts w:cs="Arial"/>
                <w:szCs w:val="22"/>
              </w:rPr>
              <w:t>undertaking building site audits</w:t>
            </w:r>
            <w:r>
              <w:rPr>
                <w:rFonts w:cs="Arial"/>
                <w:szCs w:val="22"/>
              </w:rPr>
              <w:t>.</w:t>
            </w:r>
            <w:bookmarkEnd w:id="16"/>
            <w:bookmarkEnd w:id="17"/>
          </w:p>
        </w:tc>
      </w:tr>
      <w:bookmarkEnd w:id="15"/>
    </w:tbl>
    <w:p w14:paraId="27C73803" w14:textId="209C6A6B" w:rsidR="00501A38" w:rsidRDefault="00501A38"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2721"/>
        <w:gridCol w:w="10477"/>
      </w:tblGrid>
      <w:tr w:rsidR="00501A38" w:rsidRPr="004A453A" w14:paraId="5DD3E9DC" w14:textId="77777777" w:rsidTr="00384B0E">
        <w:trPr>
          <w:tblHeader/>
        </w:trPr>
        <w:tc>
          <w:tcPr>
            <w:tcW w:w="567" w:type="pct"/>
            <w:tcBorders>
              <w:top w:val="single" w:sz="6" w:space="0" w:color="C0C0C0"/>
              <w:bottom w:val="single" w:sz="6" w:space="0" w:color="C0C0C0"/>
            </w:tcBorders>
            <w:shd w:val="clear" w:color="auto" w:fill="C0C0C0"/>
            <w:vAlign w:val="center"/>
          </w:tcPr>
          <w:p w14:paraId="0AB23A4F" w14:textId="77777777" w:rsidR="00501A38" w:rsidRPr="003B6B5D" w:rsidRDefault="00501A38" w:rsidP="002215E0">
            <w:pPr>
              <w:pStyle w:val="Tablesub-heading"/>
              <w:rPr>
                <w:szCs w:val="22"/>
              </w:rPr>
            </w:pPr>
            <w:r w:rsidRPr="003B6B5D">
              <w:t>Disposal Authorisation</w:t>
            </w:r>
          </w:p>
        </w:tc>
        <w:tc>
          <w:tcPr>
            <w:tcW w:w="914" w:type="pct"/>
            <w:tcBorders>
              <w:top w:val="single" w:sz="6" w:space="0" w:color="C0C0C0"/>
              <w:bottom w:val="single" w:sz="6" w:space="0" w:color="C0C0C0"/>
            </w:tcBorders>
            <w:shd w:val="clear" w:color="auto" w:fill="C0C0C0"/>
            <w:vAlign w:val="center"/>
          </w:tcPr>
          <w:p w14:paraId="72739BB9" w14:textId="77777777" w:rsidR="00501A38" w:rsidRPr="004A453A" w:rsidRDefault="00501A38" w:rsidP="002215E0">
            <w:pPr>
              <w:pStyle w:val="Tablesub-heading"/>
            </w:pPr>
            <w:r>
              <w:t>Record class</w:t>
            </w:r>
            <w:r w:rsidRPr="004A453A">
              <w:t xml:space="preserve"> and retention period</w:t>
            </w:r>
          </w:p>
        </w:tc>
        <w:tc>
          <w:tcPr>
            <w:tcW w:w="3519" w:type="pct"/>
            <w:tcBorders>
              <w:top w:val="single" w:sz="6" w:space="0" w:color="C0C0C0"/>
              <w:bottom w:val="single" w:sz="6" w:space="0" w:color="C0C0C0"/>
            </w:tcBorders>
            <w:shd w:val="clear" w:color="auto" w:fill="C0C0C0"/>
            <w:vAlign w:val="center"/>
          </w:tcPr>
          <w:p w14:paraId="5829FCCB" w14:textId="77777777" w:rsidR="00501A38" w:rsidRPr="004A453A" w:rsidRDefault="00501A38" w:rsidP="002215E0">
            <w:pPr>
              <w:pStyle w:val="Tablesub-heading"/>
            </w:pPr>
            <w:r>
              <w:t>Justifying</w:t>
            </w:r>
            <w:r w:rsidRPr="004A453A">
              <w:t xml:space="preserve"> </w:t>
            </w:r>
            <w:r>
              <w:t>the</w:t>
            </w:r>
            <w:r w:rsidRPr="004A453A">
              <w:t xml:space="preserve"> retention period</w:t>
            </w:r>
          </w:p>
        </w:tc>
      </w:tr>
      <w:tr w:rsidR="00501A38" w:rsidRPr="004A453A" w14:paraId="58E238E3" w14:textId="77777777" w:rsidTr="00384B0E">
        <w:tc>
          <w:tcPr>
            <w:tcW w:w="567" w:type="pct"/>
            <w:tcBorders>
              <w:top w:val="single" w:sz="6" w:space="0" w:color="C0C0C0"/>
              <w:bottom w:val="single" w:sz="6" w:space="0" w:color="C0C0C0"/>
            </w:tcBorders>
            <w:shd w:val="clear" w:color="auto" w:fill="auto"/>
          </w:tcPr>
          <w:p w14:paraId="25BF8F44" w14:textId="49863AE4" w:rsidR="00501A38" w:rsidRPr="004A453A" w:rsidRDefault="006E6FCB" w:rsidP="002215E0">
            <w:pPr>
              <w:pStyle w:val="Tablesub-heading"/>
              <w:rPr>
                <w:b w:val="0"/>
                <w:szCs w:val="22"/>
              </w:rPr>
            </w:pPr>
            <w:bookmarkStart w:id="18" w:name="_Hlk150340350"/>
            <w:r>
              <w:rPr>
                <w:b w:val="0"/>
                <w:szCs w:val="22"/>
              </w:rPr>
              <w:t>2772</w:t>
            </w:r>
          </w:p>
        </w:tc>
        <w:tc>
          <w:tcPr>
            <w:tcW w:w="914" w:type="pct"/>
            <w:tcBorders>
              <w:top w:val="single" w:sz="6" w:space="0" w:color="C0C0C0"/>
              <w:bottom w:val="single" w:sz="6" w:space="0" w:color="C0C0C0"/>
            </w:tcBorders>
            <w:shd w:val="clear" w:color="auto" w:fill="auto"/>
          </w:tcPr>
          <w:p w14:paraId="259D7845" w14:textId="77777777" w:rsidR="00FA16C6" w:rsidRPr="00634D63" w:rsidRDefault="00FA16C6" w:rsidP="00FA16C6">
            <w:pPr>
              <w:pStyle w:val="Heading3"/>
            </w:pPr>
            <w:r>
              <w:rPr>
                <w:noProof/>
              </w:rPr>
              <w:t>Building Certifier Complaints</w:t>
            </w:r>
          </w:p>
          <w:p w14:paraId="3CCA7499" w14:textId="6E3BF2D8" w:rsidR="00FA16C6" w:rsidRDefault="00FA16C6" w:rsidP="00FA16C6">
            <w:pPr>
              <w:pStyle w:val="Tablesub-heading"/>
              <w:rPr>
                <w:b w:val="0"/>
                <w:szCs w:val="22"/>
              </w:rPr>
            </w:pPr>
            <w:r>
              <w:rPr>
                <w:b w:val="0"/>
                <w:noProof/>
                <w:szCs w:val="22"/>
              </w:rPr>
              <w:t xml:space="preserve">Records relating to complaints made about building certifiers per s.190 of the </w:t>
            </w:r>
            <w:r w:rsidRPr="009A33B0">
              <w:rPr>
                <w:b w:val="0"/>
                <w:i/>
                <w:iCs/>
                <w:noProof/>
                <w:szCs w:val="22"/>
              </w:rPr>
              <w:t>Building Act 1975</w:t>
            </w:r>
            <w:r>
              <w:rPr>
                <w:b w:val="0"/>
                <w:noProof/>
                <w:szCs w:val="22"/>
              </w:rPr>
              <w:t xml:space="preserve">. Includes matters concerning the conduct of building certifiers and allegations of unsatisfactory conduct or professional misconduct. </w:t>
            </w:r>
          </w:p>
          <w:p w14:paraId="64E657B6" w14:textId="77777777" w:rsidR="00501A38" w:rsidRPr="00634D63" w:rsidRDefault="00501A38" w:rsidP="002215E0">
            <w:pPr>
              <w:pStyle w:val="Heading2"/>
            </w:pPr>
            <w:r w:rsidRPr="00634D63">
              <w:t xml:space="preserve">Disposal action – </w:t>
            </w:r>
          </w:p>
          <w:p w14:paraId="73BFD28E" w14:textId="2FDE4D20" w:rsidR="00501A38" w:rsidRPr="004A453A" w:rsidRDefault="00FA16C6" w:rsidP="002215E0">
            <w:pPr>
              <w:pStyle w:val="Tablesub-heading"/>
              <w:rPr>
                <w:b w:val="0"/>
              </w:rPr>
            </w:pPr>
            <w:r>
              <w:rPr>
                <w:b w:val="0"/>
                <w:noProof/>
              </w:rPr>
              <w:t>12 years after business action completed.</w:t>
            </w:r>
          </w:p>
        </w:tc>
        <w:tc>
          <w:tcPr>
            <w:tcW w:w="3519" w:type="pct"/>
            <w:tcBorders>
              <w:top w:val="single" w:sz="6" w:space="0" w:color="C0C0C0"/>
              <w:bottom w:val="single" w:sz="6" w:space="0" w:color="C0C0C0"/>
            </w:tcBorders>
            <w:shd w:val="clear" w:color="auto" w:fill="auto"/>
          </w:tcPr>
          <w:p w14:paraId="20FD91F1" w14:textId="2130E969" w:rsidR="00501A38" w:rsidRPr="004A453A" w:rsidRDefault="00501A38" w:rsidP="002215E0">
            <w:pPr>
              <w:pStyle w:val="Tablesub-heading"/>
              <w:rPr>
                <w:b w:val="0"/>
                <w:szCs w:val="22"/>
              </w:rPr>
            </w:pPr>
            <w:r>
              <w:t xml:space="preserve">Date authorised: </w:t>
            </w:r>
            <w:r w:rsidR="00067BF0">
              <w:rPr>
                <w:b w:val="0"/>
              </w:rPr>
              <w:t>15 December 2023</w:t>
            </w:r>
          </w:p>
          <w:p w14:paraId="3AD483DF" w14:textId="77777777" w:rsidR="00501A38" w:rsidRPr="00634D63" w:rsidRDefault="00501A38" w:rsidP="002215E0">
            <w:pPr>
              <w:pStyle w:val="Heading2"/>
            </w:pPr>
            <w:r w:rsidRPr="00634D63">
              <w:t>Why are these records created:</w:t>
            </w:r>
          </w:p>
          <w:p w14:paraId="3E0615F1" w14:textId="77777777" w:rsidR="00FA16C6" w:rsidRDefault="00FA16C6" w:rsidP="00FA16C6">
            <w:pPr>
              <w:pStyle w:val="Tablesub-heading"/>
              <w:rPr>
                <w:b w:val="0"/>
                <w:noProof/>
                <w:szCs w:val="22"/>
              </w:rPr>
            </w:pPr>
            <w:r>
              <w:rPr>
                <w:b w:val="0"/>
                <w:noProof/>
                <w:szCs w:val="22"/>
              </w:rPr>
              <w:t xml:space="preserve">Records used to assess and investigate complaints and collate corroborative information                                                                                        and/or evidence so as to take remedial or legal action where deemed appropiate to do so. </w:t>
            </w:r>
          </w:p>
          <w:p w14:paraId="0A849F23" w14:textId="58E9A239" w:rsidR="00FA16C6" w:rsidRDefault="00FA16C6" w:rsidP="00FA16C6">
            <w:pPr>
              <w:pStyle w:val="Tablesub-heading"/>
              <w:shd w:val="clear" w:color="auto" w:fill="FFFFFF"/>
              <w:rPr>
                <w:b w:val="0"/>
                <w:szCs w:val="22"/>
              </w:rPr>
            </w:pPr>
            <w:r>
              <w:rPr>
                <w:b w:val="0"/>
                <w:szCs w:val="22"/>
              </w:rPr>
              <w:t xml:space="preserve">The complaint action process is governed by s.204 of the </w:t>
            </w:r>
            <w:r w:rsidRPr="00DF0C62">
              <w:rPr>
                <w:b w:val="0"/>
                <w:i/>
                <w:iCs/>
                <w:szCs w:val="22"/>
              </w:rPr>
              <w:t>Building Act</w:t>
            </w:r>
            <w:r>
              <w:rPr>
                <w:b w:val="0"/>
                <w:szCs w:val="22"/>
              </w:rPr>
              <w:t xml:space="preserve"> </w:t>
            </w:r>
            <w:r w:rsidRPr="009A33B0">
              <w:rPr>
                <w:b w:val="0"/>
                <w:i/>
                <w:iCs/>
                <w:szCs w:val="22"/>
              </w:rPr>
              <w:t>1975</w:t>
            </w:r>
            <w:r>
              <w:rPr>
                <w:b w:val="0"/>
                <w:szCs w:val="22"/>
              </w:rPr>
              <w:t xml:space="preserve">. The complaint may be resolved by mediation (if deemed to be an appropriate action) per s.192 and s.193 of the </w:t>
            </w:r>
            <w:r w:rsidRPr="00DF0C62">
              <w:rPr>
                <w:b w:val="0"/>
                <w:i/>
                <w:iCs/>
                <w:szCs w:val="22"/>
              </w:rPr>
              <w:t>Building Act</w:t>
            </w:r>
            <w:r>
              <w:rPr>
                <w:b w:val="0"/>
                <w:szCs w:val="22"/>
              </w:rPr>
              <w:t xml:space="preserve"> </w:t>
            </w:r>
            <w:r w:rsidRPr="009A33B0">
              <w:rPr>
                <w:b w:val="0"/>
                <w:i/>
                <w:iCs/>
                <w:szCs w:val="22"/>
              </w:rPr>
              <w:t>1975</w:t>
            </w:r>
            <w:r>
              <w:rPr>
                <w:b w:val="0"/>
                <w:szCs w:val="22"/>
              </w:rPr>
              <w:t>.</w:t>
            </w:r>
          </w:p>
          <w:p w14:paraId="1CD9BA5D" w14:textId="31807FDA" w:rsidR="00FA16C6" w:rsidRPr="00DF0C62" w:rsidRDefault="00FA16C6" w:rsidP="00FA16C6">
            <w:pPr>
              <w:pStyle w:val="Tablesub-heading"/>
              <w:rPr>
                <w:noProof/>
                <w:szCs w:val="22"/>
              </w:rPr>
            </w:pPr>
            <w:r w:rsidRPr="00DF0C62">
              <w:rPr>
                <w:b w:val="0"/>
                <w:noProof/>
                <w:szCs w:val="22"/>
              </w:rPr>
              <w:t>A building certifier’s failure to act in the public interest may result in disciplinary action being taken. Examples of a building certifier failing to act in the public interest include:</w:t>
            </w:r>
          </w:p>
          <w:p w14:paraId="67CF418C" w14:textId="77777777" w:rsidR="00FA16C6" w:rsidRPr="000E3B44" w:rsidRDefault="00FA16C6" w:rsidP="00500F64">
            <w:pPr>
              <w:numPr>
                <w:ilvl w:val="0"/>
                <w:numId w:val="18"/>
              </w:numPr>
              <w:shd w:val="clear" w:color="auto" w:fill="FFFFFF"/>
              <w:spacing w:before="100" w:beforeAutospacing="1" w:after="100" w:afterAutospacing="1"/>
              <w:rPr>
                <w:bCs/>
                <w:szCs w:val="22"/>
                <w:lang w:eastAsia="en-AU"/>
              </w:rPr>
            </w:pPr>
            <w:r>
              <w:rPr>
                <w:bCs/>
                <w:szCs w:val="22"/>
                <w:lang w:eastAsia="en-AU"/>
              </w:rPr>
              <w:t>S</w:t>
            </w:r>
            <w:r w:rsidRPr="000E3B44">
              <w:rPr>
                <w:bCs/>
                <w:szCs w:val="22"/>
                <w:lang w:eastAsia="en-AU"/>
              </w:rPr>
              <w:t>eeking or accepting a benefit to themselves or others for acting contrary to their statutory functions</w:t>
            </w:r>
            <w:r>
              <w:rPr>
                <w:bCs/>
                <w:szCs w:val="22"/>
                <w:lang w:eastAsia="en-AU"/>
              </w:rPr>
              <w:t>.</w:t>
            </w:r>
          </w:p>
          <w:p w14:paraId="151287CE" w14:textId="77777777" w:rsidR="00FA16C6" w:rsidRPr="000E3B44" w:rsidRDefault="00FA16C6" w:rsidP="00500F64">
            <w:pPr>
              <w:numPr>
                <w:ilvl w:val="0"/>
                <w:numId w:val="18"/>
              </w:numPr>
              <w:shd w:val="clear" w:color="auto" w:fill="FFFFFF"/>
              <w:spacing w:before="100" w:beforeAutospacing="1" w:after="100" w:afterAutospacing="1"/>
              <w:rPr>
                <w:bCs/>
                <w:szCs w:val="22"/>
                <w:lang w:eastAsia="en-AU"/>
              </w:rPr>
            </w:pPr>
            <w:r>
              <w:rPr>
                <w:bCs/>
                <w:szCs w:val="22"/>
                <w:lang w:eastAsia="en-AU"/>
              </w:rPr>
              <w:t>A</w:t>
            </w:r>
            <w:r w:rsidRPr="000E3B44">
              <w:rPr>
                <w:bCs/>
                <w:szCs w:val="22"/>
                <w:lang w:eastAsia="en-AU"/>
              </w:rPr>
              <w:t>cting contrary to their statutory functions</w:t>
            </w:r>
            <w:r>
              <w:rPr>
                <w:bCs/>
                <w:szCs w:val="22"/>
                <w:lang w:eastAsia="en-AU"/>
              </w:rPr>
              <w:t>.</w:t>
            </w:r>
          </w:p>
          <w:p w14:paraId="02F0AB8D" w14:textId="77777777" w:rsidR="00FA16C6" w:rsidRPr="000E3B44" w:rsidRDefault="00FA16C6" w:rsidP="00500F64">
            <w:pPr>
              <w:numPr>
                <w:ilvl w:val="0"/>
                <w:numId w:val="18"/>
              </w:numPr>
              <w:shd w:val="clear" w:color="auto" w:fill="FFFFFF"/>
              <w:spacing w:before="100" w:beforeAutospacing="1" w:after="100" w:afterAutospacing="1"/>
              <w:rPr>
                <w:bCs/>
                <w:szCs w:val="22"/>
                <w:lang w:eastAsia="en-AU"/>
              </w:rPr>
            </w:pPr>
            <w:r>
              <w:rPr>
                <w:bCs/>
                <w:szCs w:val="22"/>
                <w:lang w:eastAsia="en-AU"/>
              </w:rPr>
              <w:t>F</w:t>
            </w:r>
            <w:r w:rsidRPr="000E3B44">
              <w:rPr>
                <w:bCs/>
                <w:szCs w:val="22"/>
                <w:lang w:eastAsia="en-AU"/>
              </w:rPr>
              <w:t>alsely claiming to hold the appropriate licence needed to carry out building assessments of a particular type</w:t>
            </w:r>
            <w:r>
              <w:rPr>
                <w:bCs/>
                <w:szCs w:val="22"/>
                <w:lang w:eastAsia="en-AU"/>
              </w:rPr>
              <w:t>.</w:t>
            </w:r>
          </w:p>
          <w:p w14:paraId="65F1FF29" w14:textId="77777777" w:rsidR="00FA16C6" w:rsidRPr="000E3B44" w:rsidRDefault="00FA16C6" w:rsidP="00500F64">
            <w:pPr>
              <w:numPr>
                <w:ilvl w:val="0"/>
                <w:numId w:val="18"/>
              </w:numPr>
              <w:shd w:val="clear" w:color="auto" w:fill="FFFFFF"/>
              <w:spacing w:before="100" w:beforeAutospacing="1" w:after="100" w:afterAutospacing="1"/>
              <w:rPr>
                <w:bCs/>
                <w:szCs w:val="22"/>
                <w:lang w:eastAsia="en-AU"/>
              </w:rPr>
            </w:pPr>
            <w:r>
              <w:rPr>
                <w:bCs/>
                <w:szCs w:val="22"/>
                <w:lang w:eastAsia="en-AU"/>
              </w:rPr>
              <w:t>A</w:t>
            </w:r>
            <w:r w:rsidRPr="000E3B44">
              <w:rPr>
                <w:bCs/>
                <w:szCs w:val="22"/>
                <w:lang w:eastAsia="en-AU"/>
              </w:rPr>
              <w:t>cting outside the scope of their legislated powers</w:t>
            </w:r>
            <w:r>
              <w:rPr>
                <w:bCs/>
                <w:szCs w:val="22"/>
                <w:lang w:eastAsia="en-AU"/>
              </w:rPr>
              <w:t>.</w:t>
            </w:r>
          </w:p>
          <w:p w14:paraId="0FD6B7EB" w14:textId="77777777" w:rsidR="00FA16C6" w:rsidRPr="000E3B44" w:rsidRDefault="00FA16C6" w:rsidP="00500F64">
            <w:pPr>
              <w:numPr>
                <w:ilvl w:val="0"/>
                <w:numId w:val="18"/>
              </w:numPr>
              <w:shd w:val="clear" w:color="auto" w:fill="FFFFFF"/>
              <w:spacing w:before="100" w:beforeAutospacing="1" w:after="100" w:afterAutospacing="1"/>
              <w:rPr>
                <w:bCs/>
                <w:szCs w:val="22"/>
                <w:lang w:eastAsia="en-AU"/>
              </w:rPr>
            </w:pPr>
            <w:r>
              <w:rPr>
                <w:bCs/>
                <w:szCs w:val="22"/>
                <w:lang w:eastAsia="en-AU"/>
              </w:rPr>
              <w:t>C</w:t>
            </w:r>
            <w:r w:rsidRPr="000E3B44">
              <w:rPr>
                <w:bCs/>
                <w:szCs w:val="22"/>
                <w:lang w:eastAsia="en-AU"/>
              </w:rPr>
              <w:t>ontravening the Code of Conduct for Building Certifiers</w:t>
            </w:r>
            <w:r>
              <w:rPr>
                <w:bCs/>
                <w:szCs w:val="22"/>
                <w:lang w:eastAsia="en-AU"/>
              </w:rPr>
              <w:t>.</w:t>
            </w:r>
          </w:p>
          <w:p w14:paraId="3B5A6BB1" w14:textId="77777777" w:rsidR="00FA16C6" w:rsidRPr="00BB53D2" w:rsidRDefault="00FA16C6" w:rsidP="00500F64">
            <w:pPr>
              <w:numPr>
                <w:ilvl w:val="0"/>
                <w:numId w:val="18"/>
              </w:numPr>
              <w:shd w:val="clear" w:color="auto" w:fill="FFFFFF"/>
              <w:spacing w:before="100" w:beforeAutospacing="1" w:after="100" w:afterAutospacing="1"/>
              <w:rPr>
                <w:szCs w:val="22"/>
              </w:rPr>
            </w:pPr>
            <w:r w:rsidRPr="00BB53D2">
              <w:rPr>
                <w:bCs/>
                <w:szCs w:val="22"/>
                <w:lang w:eastAsia="en-AU"/>
              </w:rPr>
              <w:t>Acting in a grossly negligent or incompetent way</w:t>
            </w:r>
            <w:r>
              <w:rPr>
                <w:bCs/>
                <w:szCs w:val="22"/>
                <w:lang w:eastAsia="en-AU"/>
              </w:rPr>
              <w:t>.</w:t>
            </w:r>
          </w:p>
          <w:p w14:paraId="2B63EED8" w14:textId="77777777" w:rsidR="00501A38" w:rsidRPr="00634D63" w:rsidRDefault="00501A38" w:rsidP="002215E0">
            <w:pPr>
              <w:pStyle w:val="Heading2"/>
            </w:pPr>
            <w:r w:rsidRPr="00634D63">
              <w:t>Why the records are retained for this retention period:</w:t>
            </w:r>
          </w:p>
          <w:p w14:paraId="6F16F5BF" w14:textId="66E44783" w:rsidR="00FA16C6" w:rsidRDefault="00FA16C6" w:rsidP="00FA16C6">
            <w:pPr>
              <w:pStyle w:val="Tablesub-heading"/>
              <w:shd w:val="clear" w:color="auto" w:fill="FFFFFF"/>
              <w:spacing w:line="276" w:lineRule="auto"/>
              <w:rPr>
                <w:b w:val="0"/>
                <w:szCs w:val="22"/>
              </w:rPr>
            </w:pPr>
            <w:r>
              <w:rPr>
                <w:b w:val="0"/>
                <w:noProof/>
                <w:szCs w:val="22"/>
              </w:rPr>
              <w:lastRenderedPageBreak/>
              <w:t xml:space="preserve">Under s.190(6a) of the </w:t>
            </w:r>
            <w:r w:rsidRPr="00DF0C62">
              <w:rPr>
                <w:b w:val="0"/>
                <w:i/>
                <w:iCs/>
                <w:noProof/>
                <w:szCs w:val="22"/>
              </w:rPr>
              <w:t>Building Act</w:t>
            </w:r>
            <w:r>
              <w:rPr>
                <w:b w:val="0"/>
                <w:noProof/>
                <w:szCs w:val="22"/>
              </w:rPr>
              <w:t xml:space="preserve"> </w:t>
            </w:r>
            <w:r w:rsidRPr="009A33B0">
              <w:rPr>
                <w:b w:val="0"/>
                <w:i/>
                <w:iCs/>
                <w:noProof/>
                <w:szCs w:val="22"/>
              </w:rPr>
              <w:t>1975</w:t>
            </w:r>
            <w:r>
              <w:rPr>
                <w:b w:val="0"/>
                <w:noProof/>
                <w:szCs w:val="22"/>
              </w:rPr>
              <w:t xml:space="preserve"> the cut-off period for complaints is 7 years.</w:t>
            </w:r>
            <w:r>
              <w:rPr>
                <w:b w:val="0"/>
                <w:szCs w:val="22"/>
              </w:rPr>
              <w:t xml:space="preserve"> </w:t>
            </w:r>
          </w:p>
          <w:p w14:paraId="5EDE896F" w14:textId="0E05F1CB" w:rsidR="00FA16C6" w:rsidRDefault="00FA16C6" w:rsidP="00FA16C6">
            <w:pPr>
              <w:pStyle w:val="Heading2"/>
              <w:shd w:val="clear" w:color="auto" w:fill="FFFFFF"/>
              <w:spacing w:line="276" w:lineRule="auto"/>
              <w:ind w:right="329"/>
              <w:rPr>
                <w:rFonts w:ascii="Arial" w:hAnsi="Arial" w:cs="Arial"/>
                <w:b w:val="0"/>
                <w:bCs/>
              </w:rPr>
            </w:pPr>
            <w:r>
              <w:rPr>
                <w:rFonts w:ascii="Arial" w:hAnsi="Arial" w:cs="Arial"/>
                <w:b w:val="0"/>
                <w:bCs/>
              </w:rPr>
              <w:t>A twelve</w:t>
            </w:r>
            <w:r w:rsidR="00917F5B">
              <w:rPr>
                <w:rFonts w:ascii="Arial" w:hAnsi="Arial" w:cs="Arial"/>
                <w:b w:val="0"/>
                <w:bCs/>
              </w:rPr>
              <w:t>-</w:t>
            </w:r>
            <w:r>
              <w:rPr>
                <w:rFonts w:ascii="Arial" w:hAnsi="Arial" w:cs="Arial"/>
                <w:b w:val="0"/>
                <w:bCs/>
              </w:rPr>
              <w:t>year retention</w:t>
            </w:r>
            <w:r w:rsidRPr="00211D94">
              <w:rPr>
                <w:rFonts w:ascii="Arial" w:hAnsi="Arial" w:cs="Arial"/>
                <w:b w:val="0"/>
                <w:bCs/>
              </w:rPr>
              <w:t xml:space="preserve"> period ensures that the records are available in the event of any legal claims brought in accordance with s.10 of the </w:t>
            </w:r>
            <w:r w:rsidRPr="009A33B0">
              <w:rPr>
                <w:rFonts w:ascii="Arial" w:hAnsi="Arial" w:cs="Arial"/>
                <w:b w:val="0"/>
                <w:bCs/>
                <w:i/>
                <w:iCs/>
              </w:rPr>
              <w:t>Limitation of Actions Act 1974</w:t>
            </w:r>
            <w:r>
              <w:rPr>
                <w:rFonts w:ascii="Arial" w:hAnsi="Arial" w:cs="Arial"/>
                <w:b w:val="0"/>
                <w:bCs/>
              </w:rPr>
              <w:t>.</w:t>
            </w:r>
            <w:r w:rsidRPr="00211D94">
              <w:rPr>
                <w:rFonts w:ascii="Arial" w:hAnsi="Arial" w:cs="Arial"/>
                <w:b w:val="0"/>
                <w:bCs/>
              </w:rPr>
              <w:t xml:space="preserve"> </w:t>
            </w:r>
          </w:p>
          <w:p w14:paraId="33CE998E" w14:textId="0065E274" w:rsidR="00501A38" w:rsidRPr="00FA16C6" w:rsidRDefault="00FA16C6" w:rsidP="00FA16C6">
            <w:pPr>
              <w:pStyle w:val="Heading2"/>
              <w:shd w:val="clear" w:color="auto" w:fill="FFFFFF"/>
              <w:spacing w:line="276" w:lineRule="auto"/>
              <w:rPr>
                <w:rFonts w:ascii="Arial" w:hAnsi="Arial" w:cs="Arial"/>
                <w:b w:val="0"/>
                <w:bCs/>
              </w:rPr>
            </w:pPr>
            <w:r>
              <w:rPr>
                <w:rFonts w:ascii="Arial" w:hAnsi="Arial" w:cs="Arial"/>
                <w:b w:val="0"/>
                <w:bCs/>
              </w:rPr>
              <w:t>The twelve-year retention period supports the decisions of the business by providing evidence of actions taken and ensures that records are available for a sufficient period of time to be referred back to if so required.</w:t>
            </w:r>
            <w:r w:rsidR="00501A38">
              <w:rPr>
                <w:b w:val="0"/>
                <w:szCs w:val="22"/>
              </w:rPr>
              <w:t xml:space="preserve"> </w:t>
            </w:r>
          </w:p>
          <w:p w14:paraId="17E5A232" w14:textId="77777777" w:rsidR="00501A38" w:rsidRPr="00634D63" w:rsidRDefault="00501A38" w:rsidP="002215E0">
            <w:pPr>
              <w:pStyle w:val="Heading2"/>
            </w:pPr>
            <w:r w:rsidRPr="00634D63">
              <w:t>Applicable legislation/standards:</w:t>
            </w:r>
          </w:p>
          <w:p w14:paraId="6B960FE5" w14:textId="77777777" w:rsidR="00FA16C6" w:rsidRPr="00C66CC8" w:rsidRDefault="00FA16C6" w:rsidP="00FA16C6">
            <w:pPr>
              <w:pStyle w:val="Heading2"/>
              <w:spacing w:line="276" w:lineRule="auto"/>
              <w:ind w:right="61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p>
          <w:p w14:paraId="02D95C05" w14:textId="77777777" w:rsidR="00501A38" w:rsidRPr="00634D63" w:rsidRDefault="00501A38" w:rsidP="002215E0">
            <w:pPr>
              <w:pStyle w:val="Heading2"/>
            </w:pPr>
            <w:r w:rsidRPr="00634D63">
              <w:t xml:space="preserve">Comparison with other schedules' retention period: </w:t>
            </w:r>
          </w:p>
          <w:p w14:paraId="3B2AA619" w14:textId="77777777" w:rsidR="00FA16C6" w:rsidRDefault="00FA16C6" w:rsidP="00FA16C6">
            <w:pPr>
              <w:pStyle w:val="Tablesub-heading"/>
              <w:rPr>
                <w:b w:val="0"/>
                <w:noProof/>
                <w:szCs w:val="22"/>
              </w:rPr>
            </w:pPr>
            <w:r w:rsidRPr="00122BC4">
              <w:rPr>
                <w:b w:val="0"/>
                <w:i/>
                <w:iCs/>
                <w:noProof/>
                <w:szCs w:val="22"/>
              </w:rPr>
              <w:t>FA430 for the Department of Customer Service,</w:t>
            </w:r>
            <w:r>
              <w:rPr>
                <w:b w:val="0"/>
                <w:noProof/>
                <w:szCs w:val="22"/>
              </w:rPr>
              <w:t xml:space="preserve"> 1.4.3 – Routine Complaints – retain for 10 years - as issued by the NSW State Archive &amp; Records Authority (SARA).</w:t>
            </w:r>
          </w:p>
          <w:p w14:paraId="6E32E86B" w14:textId="77777777" w:rsidR="00FA16C6" w:rsidRDefault="00FA16C6" w:rsidP="00FA16C6">
            <w:pPr>
              <w:pStyle w:val="Tablesub-heading"/>
              <w:keepLines/>
              <w:spacing w:line="276" w:lineRule="auto"/>
              <w:contextualSpacing/>
              <w:rPr>
                <w:b w:val="0"/>
                <w:noProof/>
                <w:szCs w:val="22"/>
              </w:rPr>
            </w:pPr>
            <w:r w:rsidRPr="00122BC4">
              <w:rPr>
                <w:b w:val="0"/>
                <w:i/>
                <w:iCs/>
                <w:noProof/>
                <w:szCs w:val="22"/>
              </w:rPr>
              <w:t>QDAN 742 v.2 Queensland  Racing Integrity Commission (QRIC)</w:t>
            </w:r>
            <w:r>
              <w:rPr>
                <w:b w:val="0"/>
                <w:noProof/>
                <w:szCs w:val="22"/>
              </w:rPr>
              <w:t xml:space="preserve"> - 1.8.1 – Complaints Resolution – retain for 7 years after action completed.</w:t>
            </w:r>
          </w:p>
          <w:p w14:paraId="45473A22" w14:textId="77777777" w:rsidR="00501A38" w:rsidRPr="00634D63" w:rsidRDefault="00501A38" w:rsidP="002215E0">
            <w:pPr>
              <w:pStyle w:val="Heading2"/>
            </w:pPr>
            <w:r w:rsidRPr="00634D63">
              <w:t>Previous schedule references:</w:t>
            </w:r>
          </w:p>
          <w:p w14:paraId="588DF44E" w14:textId="328CADAC" w:rsidR="00501A38" w:rsidRPr="004A453A" w:rsidRDefault="00FA16C6" w:rsidP="002215E0">
            <w:pPr>
              <w:pStyle w:val="Tablesub-heading"/>
              <w:rPr>
                <w:b w:val="0"/>
                <w:szCs w:val="22"/>
              </w:rPr>
            </w:pPr>
            <w:r w:rsidRPr="00370029">
              <w:rPr>
                <w:rFonts w:cs="Arial"/>
                <w:b w:val="0"/>
                <w:i/>
                <w:iCs/>
                <w:noProof/>
                <w:szCs w:val="22"/>
              </w:rPr>
              <w:t>QDAN 185 v.2 Queensland Building and Construction Commission retention and disposal schedule</w:t>
            </w:r>
            <w:r w:rsidRPr="00C70F21">
              <w:rPr>
                <w:b w:val="0"/>
                <w:noProof/>
                <w:szCs w:val="22"/>
              </w:rPr>
              <w:t xml:space="preserve"> </w:t>
            </w:r>
            <w:r>
              <w:rPr>
                <w:b w:val="0"/>
                <w:noProof/>
                <w:szCs w:val="22"/>
              </w:rPr>
              <w:t xml:space="preserve">- </w:t>
            </w:r>
            <w:r w:rsidRPr="00C70F21">
              <w:rPr>
                <w:b w:val="0"/>
                <w:noProof/>
                <w:szCs w:val="22"/>
              </w:rPr>
              <w:t>1.3.3</w:t>
            </w:r>
            <w:r>
              <w:rPr>
                <w:b w:val="0"/>
                <w:noProof/>
                <w:szCs w:val="22"/>
              </w:rPr>
              <w:t xml:space="preserve"> – Licenced Building Certifier Complaints – retain 12 years after last action.</w:t>
            </w:r>
          </w:p>
        </w:tc>
      </w:tr>
      <w:bookmarkEnd w:id="18"/>
    </w:tbl>
    <w:p w14:paraId="16566CB5" w14:textId="77777777" w:rsidR="00501A38" w:rsidRDefault="00501A38"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501A38" w:rsidRPr="004A453A" w14:paraId="17D64E1E" w14:textId="77777777" w:rsidTr="002215E0">
        <w:tc>
          <w:tcPr>
            <w:tcW w:w="5000" w:type="pct"/>
            <w:shd w:val="clear" w:color="auto" w:fill="E0E0E0"/>
          </w:tcPr>
          <w:p w14:paraId="242E1B34" w14:textId="77777777" w:rsidR="00501A38" w:rsidRPr="004A453A" w:rsidRDefault="00501A38" w:rsidP="002215E0">
            <w:pPr>
              <w:spacing w:before="60" w:after="60"/>
              <w:rPr>
                <w:b/>
                <w:lang w:eastAsia="en-AU"/>
              </w:rPr>
            </w:pPr>
            <w:r>
              <w:rPr>
                <w:b/>
                <w:lang w:eastAsia="en-AU"/>
              </w:rPr>
              <w:t>Activity</w:t>
            </w:r>
          </w:p>
        </w:tc>
      </w:tr>
      <w:tr w:rsidR="00501A38" w:rsidRPr="004A453A" w14:paraId="2217D496" w14:textId="77777777" w:rsidTr="002215E0">
        <w:tc>
          <w:tcPr>
            <w:tcW w:w="5000" w:type="pct"/>
          </w:tcPr>
          <w:p w14:paraId="5DF23985" w14:textId="77777777" w:rsidR="00B6481A" w:rsidRPr="002C3696" w:rsidRDefault="00B6481A" w:rsidP="00B6481A">
            <w:pPr>
              <w:pStyle w:val="Heading2"/>
              <w:jc w:val="both"/>
              <w:rPr>
                <w:i/>
                <w:szCs w:val="22"/>
              </w:rPr>
            </w:pPr>
            <w:bookmarkStart w:id="19" w:name="_Toc234747982"/>
            <w:bookmarkStart w:id="20" w:name="_Hlk150340392"/>
            <w:r w:rsidRPr="002C3696">
              <w:rPr>
                <w:i/>
                <w:szCs w:val="22"/>
              </w:rPr>
              <w:t xml:space="preserve">COMPLIANCE </w:t>
            </w:r>
            <w:bookmarkEnd w:id="19"/>
          </w:p>
          <w:p w14:paraId="137F9F88" w14:textId="309584A6" w:rsidR="00501A38" w:rsidRPr="00E35904" w:rsidRDefault="00B6481A" w:rsidP="00B6481A">
            <w:pPr>
              <w:pStyle w:val="Scopenote"/>
            </w:pPr>
            <w:r w:rsidRPr="00C44136">
              <w:rPr>
                <w:rFonts w:cs="Arial"/>
                <w:szCs w:val="22"/>
              </w:rPr>
              <w:t>The activity of monitoring</w:t>
            </w:r>
            <w:r>
              <w:rPr>
                <w:rFonts w:cs="Arial"/>
                <w:szCs w:val="22"/>
              </w:rPr>
              <w:t xml:space="preserve"> and au</w:t>
            </w:r>
            <w:r w:rsidRPr="00C44136">
              <w:rPr>
                <w:rFonts w:cs="Arial"/>
                <w:szCs w:val="22"/>
              </w:rPr>
              <w:t xml:space="preserve">diting </w:t>
            </w:r>
            <w:r>
              <w:rPr>
                <w:rFonts w:cs="Arial"/>
                <w:szCs w:val="22"/>
              </w:rPr>
              <w:t xml:space="preserve">of </w:t>
            </w:r>
            <w:r w:rsidRPr="00C44136">
              <w:rPr>
                <w:rFonts w:cs="Arial"/>
                <w:szCs w:val="22"/>
              </w:rPr>
              <w:t>statutory compliance and reporting to the Queensland Building and Construction Commission</w:t>
            </w:r>
            <w:r>
              <w:rPr>
                <w:rFonts w:cs="Arial"/>
                <w:szCs w:val="22"/>
              </w:rPr>
              <w:t xml:space="preserve"> (QBCC).</w:t>
            </w:r>
          </w:p>
        </w:tc>
      </w:tr>
      <w:bookmarkEnd w:id="20"/>
    </w:tbl>
    <w:p w14:paraId="2C5143B0" w14:textId="2244462A" w:rsidR="00501A38" w:rsidRDefault="00501A38"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2721"/>
        <w:gridCol w:w="10477"/>
      </w:tblGrid>
      <w:tr w:rsidR="00501A38" w:rsidRPr="004A453A" w14:paraId="14A3C1E4" w14:textId="77777777" w:rsidTr="00384B0E">
        <w:trPr>
          <w:tblHeader/>
        </w:trPr>
        <w:tc>
          <w:tcPr>
            <w:tcW w:w="567" w:type="pct"/>
            <w:tcBorders>
              <w:top w:val="single" w:sz="6" w:space="0" w:color="C0C0C0"/>
              <w:bottom w:val="single" w:sz="6" w:space="0" w:color="C0C0C0"/>
            </w:tcBorders>
            <w:shd w:val="clear" w:color="auto" w:fill="C0C0C0"/>
            <w:vAlign w:val="center"/>
          </w:tcPr>
          <w:p w14:paraId="5092A5DA" w14:textId="77777777" w:rsidR="00501A38" w:rsidRPr="003B6B5D" w:rsidRDefault="00501A38" w:rsidP="002215E0">
            <w:pPr>
              <w:pStyle w:val="Tablesub-heading"/>
              <w:rPr>
                <w:szCs w:val="22"/>
              </w:rPr>
            </w:pPr>
            <w:r w:rsidRPr="003B6B5D">
              <w:t>Disposal Authorisation</w:t>
            </w:r>
          </w:p>
        </w:tc>
        <w:tc>
          <w:tcPr>
            <w:tcW w:w="914" w:type="pct"/>
            <w:tcBorders>
              <w:top w:val="single" w:sz="6" w:space="0" w:color="C0C0C0"/>
              <w:bottom w:val="single" w:sz="6" w:space="0" w:color="C0C0C0"/>
            </w:tcBorders>
            <w:shd w:val="clear" w:color="auto" w:fill="C0C0C0"/>
            <w:vAlign w:val="center"/>
          </w:tcPr>
          <w:p w14:paraId="24F16A6C" w14:textId="77777777" w:rsidR="00501A38" w:rsidRPr="004A453A" w:rsidRDefault="00501A38" w:rsidP="002215E0">
            <w:pPr>
              <w:pStyle w:val="Tablesub-heading"/>
            </w:pPr>
            <w:r>
              <w:t>Record class</w:t>
            </w:r>
            <w:r w:rsidRPr="004A453A">
              <w:t xml:space="preserve"> and retention period</w:t>
            </w:r>
          </w:p>
        </w:tc>
        <w:tc>
          <w:tcPr>
            <w:tcW w:w="3519" w:type="pct"/>
            <w:tcBorders>
              <w:top w:val="single" w:sz="6" w:space="0" w:color="C0C0C0"/>
              <w:bottom w:val="single" w:sz="6" w:space="0" w:color="C0C0C0"/>
            </w:tcBorders>
            <w:shd w:val="clear" w:color="auto" w:fill="C0C0C0"/>
            <w:vAlign w:val="center"/>
          </w:tcPr>
          <w:p w14:paraId="5C8C7CFC" w14:textId="77777777" w:rsidR="00501A38" w:rsidRPr="004A453A" w:rsidRDefault="00501A38" w:rsidP="002215E0">
            <w:pPr>
              <w:pStyle w:val="Tablesub-heading"/>
            </w:pPr>
            <w:r>
              <w:t>Justifying</w:t>
            </w:r>
            <w:r w:rsidRPr="004A453A">
              <w:t xml:space="preserve"> </w:t>
            </w:r>
            <w:r>
              <w:t>the</w:t>
            </w:r>
            <w:r w:rsidRPr="004A453A">
              <w:t xml:space="preserve"> retention period</w:t>
            </w:r>
          </w:p>
        </w:tc>
      </w:tr>
      <w:tr w:rsidR="00501A38" w:rsidRPr="004A453A" w14:paraId="2A2022EE" w14:textId="77777777" w:rsidTr="00384B0E">
        <w:tc>
          <w:tcPr>
            <w:tcW w:w="567" w:type="pct"/>
            <w:tcBorders>
              <w:top w:val="single" w:sz="6" w:space="0" w:color="C0C0C0"/>
              <w:bottom w:val="single" w:sz="6" w:space="0" w:color="C0C0C0"/>
            </w:tcBorders>
            <w:shd w:val="clear" w:color="auto" w:fill="auto"/>
          </w:tcPr>
          <w:p w14:paraId="69520258" w14:textId="2D6B47CF" w:rsidR="00501A38" w:rsidRPr="004A453A" w:rsidRDefault="00DD0C6F" w:rsidP="002215E0">
            <w:pPr>
              <w:pStyle w:val="Tablesub-heading"/>
              <w:rPr>
                <w:b w:val="0"/>
                <w:szCs w:val="22"/>
              </w:rPr>
            </w:pPr>
            <w:r>
              <w:rPr>
                <w:b w:val="0"/>
                <w:szCs w:val="22"/>
              </w:rPr>
              <w:t>2773</w:t>
            </w:r>
          </w:p>
        </w:tc>
        <w:tc>
          <w:tcPr>
            <w:tcW w:w="914" w:type="pct"/>
            <w:tcBorders>
              <w:top w:val="single" w:sz="6" w:space="0" w:color="C0C0C0"/>
              <w:bottom w:val="single" w:sz="6" w:space="0" w:color="C0C0C0"/>
            </w:tcBorders>
            <w:shd w:val="clear" w:color="auto" w:fill="auto"/>
          </w:tcPr>
          <w:p w14:paraId="173BCBCC" w14:textId="77777777" w:rsidR="00B6481A" w:rsidRPr="00650BB9" w:rsidRDefault="00B6481A" w:rsidP="00B6481A">
            <w:pPr>
              <w:ind w:left="34" w:hanging="34"/>
              <w:rPr>
                <w:b/>
                <w:bCs/>
                <w:i/>
                <w:iCs/>
                <w:szCs w:val="22"/>
              </w:rPr>
            </w:pPr>
            <w:r w:rsidRPr="00650BB9">
              <w:rPr>
                <w:b/>
                <w:bCs/>
                <w:i/>
                <w:iCs/>
                <w:szCs w:val="22"/>
              </w:rPr>
              <w:t xml:space="preserve">Industry Education and </w:t>
            </w:r>
          </w:p>
          <w:p w14:paraId="6C06081B" w14:textId="77777777" w:rsidR="00B6481A" w:rsidRPr="00650BB9" w:rsidRDefault="00B6481A" w:rsidP="00B6481A">
            <w:pPr>
              <w:ind w:left="34" w:hanging="34"/>
              <w:rPr>
                <w:b/>
                <w:bCs/>
                <w:i/>
                <w:iCs/>
                <w:szCs w:val="22"/>
              </w:rPr>
            </w:pPr>
            <w:r w:rsidRPr="00650BB9">
              <w:rPr>
                <w:b/>
                <w:bCs/>
                <w:i/>
                <w:iCs/>
                <w:szCs w:val="22"/>
              </w:rPr>
              <w:t>Technical Training</w:t>
            </w:r>
          </w:p>
          <w:p w14:paraId="0889F806" w14:textId="77777777" w:rsidR="00B6481A" w:rsidRPr="004D1D61" w:rsidRDefault="00B6481A" w:rsidP="00B6481A">
            <w:pPr>
              <w:ind w:left="34" w:hanging="34"/>
              <w:rPr>
                <w:szCs w:val="22"/>
              </w:rPr>
            </w:pPr>
            <w:r w:rsidRPr="004D1D61">
              <w:rPr>
                <w:szCs w:val="22"/>
              </w:rPr>
              <w:lastRenderedPageBreak/>
              <w:t xml:space="preserve">Records relating to the </w:t>
            </w:r>
            <w:r>
              <w:rPr>
                <w:szCs w:val="22"/>
              </w:rPr>
              <w:t xml:space="preserve">delivery, </w:t>
            </w:r>
            <w:r w:rsidRPr="004D1D61">
              <w:rPr>
                <w:szCs w:val="22"/>
              </w:rPr>
              <w:t>development</w:t>
            </w:r>
            <w:r>
              <w:rPr>
                <w:szCs w:val="22"/>
              </w:rPr>
              <w:t xml:space="preserve"> and/or assessment </w:t>
            </w:r>
            <w:r w:rsidRPr="004D1D61">
              <w:rPr>
                <w:szCs w:val="22"/>
              </w:rPr>
              <w:t xml:space="preserve">of </w:t>
            </w:r>
            <w:r>
              <w:rPr>
                <w:szCs w:val="22"/>
              </w:rPr>
              <w:t xml:space="preserve">industry </w:t>
            </w:r>
            <w:r w:rsidRPr="004D1D61">
              <w:rPr>
                <w:szCs w:val="22"/>
              </w:rPr>
              <w:t xml:space="preserve">training </w:t>
            </w:r>
            <w:r>
              <w:rPr>
                <w:szCs w:val="22"/>
              </w:rPr>
              <w:t xml:space="preserve">courses, </w:t>
            </w:r>
            <w:r w:rsidRPr="004D1D61">
              <w:rPr>
                <w:szCs w:val="22"/>
              </w:rPr>
              <w:t>programs, seminars</w:t>
            </w:r>
            <w:r>
              <w:rPr>
                <w:szCs w:val="22"/>
              </w:rPr>
              <w:t xml:space="preserve"> and </w:t>
            </w:r>
            <w:r w:rsidRPr="004D1D61">
              <w:rPr>
                <w:szCs w:val="22"/>
              </w:rPr>
              <w:t>workshops where</w:t>
            </w:r>
            <w:r>
              <w:rPr>
                <w:szCs w:val="22"/>
              </w:rPr>
              <w:t xml:space="preserve"> </w:t>
            </w:r>
            <w:r w:rsidRPr="004D1D61">
              <w:rPr>
                <w:szCs w:val="22"/>
              </w:rPr>
              <w:t>the agency is not a Registered Training</w:t>
            </w:r>
            <w:r>
              <w:rPr>
                <w:szCs w:val="22"/>
              </w:rPr>
              <w:t xml:space="preserve"> </w:t>
            </w:r>
            <w:r w:rsidRPr="004D1D61">
              <w:rPr>
                <w:szCs w:val="22"/>
              </w:rPr>
              <w:t>Organisation (RTO).</w:t>
            </w:r>
          </w:p>
          <w:p w14:paraId="706B872E" w14:textId="77777777" w:rsidR="00501A38" w:rsidRPr="00634D63" w:rsidRDefault="00501A38" w:rsidP="002215E0">
            <w:pPr>
              <w:pStyle w:val="Heading2"/>
            </w:pPr>
            <w:r w:rsidRPr="00634D63">
              <w:t xml:space="preserve">Disposal action – </w:t>
            </w:r>
          </w:p>
          <w:p w14:paraId="682DF010" w14:textId="7308E334" w:rsidR="00501A38" w:rsidRPr="004A453A" w:rsidRDefault="00B6481A" w:rsidP="002215E0">
            <w:pPr>
              <w:pStyle w:val="Tablesub-heading"/>
              <w:rPr>
                <w:b w:val="0"/>
              </w:rPr>
            </w:pPr>
            <w:r>
              <w:rPr>
                <w:b w:val="0"/>
                <w:noProof/>
              </w:rPr>
              <w:t>7 years after business action completed.</w:t>
            </w:r>
          </w:p>
        </w:tc>
        <w:tc>
          <w:tcPr>
            <w:tcW w:w="3519" w:type="pct"/>
            <w:tcBorders>
              <w:top w:val="single" w:sz="6" w:space="0" w:color="C0C0C0"/>
              <w:bottom w:val="single" w:sz="6" w:space="0" w:color="C0C0C0"/>
            </w:tcBorders>
            <w:shd w:val="clear" w:color="auto" w:fill="auto"/>
          </w:tcPr>
          <w:p w14:paraId="455F757F" w14:textId="5E8B3832" w:rsidR="00501A38" w:rsidRPr="004A453A" w:rsidRDefault="00501A38" w:rsidP="002215E0">
            <w:pPr>
              <w:pStyle w:val="Tablesub-heading"/>
              <w:rPr>
                <w:b w:val="0"/>
                <w:szCs w:val="22"/>
              </w:rPr>
            </w:pPr>
            <w:r>
              <w:lastRenderedPageBreak/>
              <w:t xml:space="preserve">Date authorised: </w:t>
            </w:r>
            <w:r w:rsidR="00067BF0">
              <w:rPr>
                <w:b w:val="0"/>
              </w:rPr>
              <w:t>15 December 2023</w:t>
            </w:r>
          </w:p>
          <w:p w14:paraId="7A2B6140" w14:textId="77777777" w:rsidR="00501A38" w:rsidRPr="00634D63" w:rsidRDefault="00501A38" w:rsidP="002215E0">
            <w:pPr>
              <w:pStyle w:val="Heading2"/>
            </w:pPr>
            <w:r w:rsidRPr="00634D63">
              <w:lastRenderedPageBreak/>
              <w:t>Why are these records created:</w:t>
            </w:r>
          </w:p>
          <w:p w14:paraId="0B799182" w14:textId="4ACE23B2" w:rsidR="00B6481A" w:rsidRDefault="00B6481A" w:rsidP="00B6481A">
            <w:pPr>
              <w:pStyle w:val="Tablesub-heading"/>
              <w:rPr>
                <w:b w:val="0"/>
                <w:szCs w:val="22"/>
              </w:rPr>
            </w:pPr>
            <w:r>
              <w:rPr>
                <w:b w:val="0"/>
                <w:noProof/>
                <w:szCs w:val="22"/>
              </w:rPr>
              <w:t xml:space="preserve">Records dealing with delivering, developing, reviewing and/or assessing of content for industry accredited courses. Includes liaison with and advice to RTOs and the Qld Department of Education and delivery of workshops designed to educate </w:t>
            </w:r>
            <w:r w:rsidR="00886AEB">
              <w:rPr>
                <w:b w:val="0"/>
                <w:noProof/>
                <w:szCs w:val="22"/>
              </w:rPr>
              <w:t xml:space="preserve">building </w:t>
            </w:r>
            <w:r>
              <w:rPr>
                <w:b w:val="0"/>
                <w:noProof/>
                <w:szCs w:val="22"/>
              </w:rPr>
              <w:t>and construction industry practioners.</w:t>
            </w:r>
          </w:p>
          <w:p w14:paraId="51CFD482" w14:textId="77777777" w:rsidR="00B6481A" w:rsidRPr="004D1D61" w:rsidRDefault="00B6481A" w:rsidP="00B6481A">
            <w:pPr>
              <w:shd w:val="clear" w:color="auto" w:fill="FFFFFF"/>
              <w:ind w:left="45"/>
              <w:rPr>
                <w:szCs w:val="22"/>
              </w:rPr>
            </w:pPr>
            <w:r w:rsidRPr="004D1D61">
              <w:rPr>
                <w:szCs w:val="22"/>
              </w:rPr>
              <w:t>Records may include,</w:t>
            </w:r>
            <w:r>
              <w:rPr>
                <w:szCs w:val="22"/>
              </w:rPr>
              <w:t xml:space="preserve"> </w:t>
            </w:r>
            <w:r w:rsidRPr="004D1D61">
              <w:rPr>
                <w:szCs w:val="22"/>
              </w:rPr>
              <w:t>but are not limited to:</w:t>
            </w:r>
          </w:p>
          <w:p w14:paraId="2D18667B" w14:textId="77777777" w:rsidR="00B6481A" w:rsidRPr="00ED4977" w:rsidRDefault="00B6481A" w:rsidP="00500F64">
            <w:pPr>
              <w:numPr>
                <w:ilvl w:val="0"/>
                <w:numId w:val="19"/>
              </w:numPr>
              <w:shd w:val="clear" w:color="auto" w:fill="FFFFFF"/>
              <w:spacing w:before="60" w:after="60"/>
              <w:rPr>
                <w:rFonts w:cs="Arial"/>
                <w:szCs w:val="22"/>
                <w:lang w:eastAsia="en-AU"/>
              </w:rPr>
            </w:pPr>
            <w:r>
              <w:rPr>
                <w:rFonts w:cs="Arial"/>
                <w:szCs w:val="22"/>
                <w:lang w:eastAsia="en-AU"/>
              </w:rPr>
              <w:t>Multimedia c</w:t>
            </w:r>
            <w:r w:rsidRPr="00ED4977">
              <w:rPr>
                <w:rFonts w:cs="Arial"/>
                <w:szCs w:val="22"/>
                <w:lang w:eastAsia="en-AU"/>
              </w:rPr>
              <w:t xml:space="preserve">ourse </w:t>
            </w:r>
            <w:r>
              <w:rPr>
                <w:rFonts w:cs="Arial"/>
                <w:szCs w:val="22"/>
                <w:lang w:eastAsia="en-AU"/>
              </w:rPr>
              <w:t>m</w:t>
            </w:r>
            <w:r w:rsidRPr="00ED4977">
              <w:rPr>
                <w:rFonts w:cs="Arial"/>
                <w:szCs w:val="22"/>
                <w:lang w:eastAsia="en-AU"/>
              </w:rPr>
              <w:t>aterial</w:t>
            </w:r>
            <w:r>
              <w:rPr>
                <w:rFonts w:cs="Arial"/>
                <w:szCs w:val="22"/>
                <w:lang w:eastAsia="en-AU"/>
              </w:rPr>
              <w:t xml:space="preserve"> (DVDs, CD ROMs, Floppy Disks, printed materials etc.).</w:t>
            </w:r>
          </w:p>
          <w:p w14:paraId="1C203BB3" w14:textId="77777777" w:rsidR="00B6481A" w:rsidRPr="00ED4977" w:rsidRDefault="00B6481A" w:rsidP="00500F64">
            <w:pPr>
              <w:numPr>
                <w:ilvl w:val="0"/>
                <w:numId w:val="19"/>
              </w:numPr>
              <w:shd w:val="clear" w:color="auto" w:fill="FFFFFF"/>
              <w:spacing w:before="60" w:after="60"/>
              <w:rPr>
                <w:rFonts w:cs="Arial"/>
                <w:szCs w:val="22"/>
                <w:lang w:eastAsia="en-AU"/>
              </w:rPr>
            </w:pPr>
            <w:r w:rsidRPr="00ED4977">
              <w:rPr>
                <w:rFonts w:cs="Arial"/>
                <w:szCs w:val="22"/>
                <w:lang w:eastAsia="en-AU"/>
              </w:rPr>
              <w:t>Handouts and follow-up activities</w:t>
            </w:r>
            <w:r>
              <w:rPr>
                <w:rFonts w:cs="Arial"/>
                <w:szCs w:val="22"/>
                <w:lang w:eastAsia="en-AU"/>
              </w:rPr>
              <w:t>.</w:t>
            </w:r>
          </w:p>
          <w:p w14:paraId="1B9F12A7" w14:textId="77777777" w:rsidR="00B6481A" w:rsidRPr="0052206B" w:rsidRDefault="00B6481A" w:rsidP="00500F64">
            <w:pPr>
              <w:numPr>
                <w:ilvl w:val="0"/>
                <w:numId w:val="19"/>
              </w:numPr>
              <w:shd w:val="clear" w:color="auto" w:fill="FFFFFF"/>
              <w:spacing w:before="60" w:after="60"/>
              <w:rPr>
                <w:rFonts w:cs="Arial"/>
                <w:szCs w:val="22"/>
                <w:lang w:eastAsia="en-AU"/>
              </w:rPr>
            </w:pPr>
            <w:r w:rsidRPr="0052206B">
              <w:rPr>
                <w:rFonts w:cs="Arial"/>
                <w:szCs w:val="22"/>
                <w:lang w:eastAsia="en-AU"/>
              </w:rPr>
              <w:t>Presentations and</w:t>
            </w:r>
            <w:r>
              <w:rPr>
                <w:rFonts w:cs="Arial"/>
                <w:szCs w:val="22"/>
                <w:lang w:eastAsia="en-AU"/>
              </w:rPr>
              <w:t>/or</w:t>
            </w:r>
            <w:r w:rsidRPr="0052206B">
              <w:rPr>
                <w:rFonts w:cs="Arial"/>
                <w:szCs w:val="22"/>
                <w:lang w:eastAsia="en-AU"/>
              </w:rPr>
              <w:t xml:space="preserve"> Programs</w:t>
            </w:r>
            <w:r>
              <w:rPr>
                <w:rFonts w:cs="Arial"/>
                <w:szCs w:val="22"/>
                <w:lang w:eastAsia="en-AU"/>
              </w:rPr>
              <w:t>.</w:t>
            </w:r>
          </w:p>
          <w:p w14:paraId="409B553A" w14:textId="77777777" w:rsidR="00B6481A" w:rsidRDefault="00B6481A" w:rsidP="00500F64">
            <w:pPr>
              <w:numPr>
                <w:ilvl w:val="0"/>
                <w:numId w:val="19"/>
              </w:numPr>
              <w:shd w:val="clear" w:color="auto" w:fill="FFFFFF"/>
              <w:spacing w:before="60" w:after="60"/>
              <w:rPr>
                <w:rFonts w:cs="Arial"/>
                <w:szCs w:val="22"/>
                <w:lang w:eastAsia="en-AU"/>
              </w:rPr>
            </w:pPr>
            <w:r w:rsidRPr="00ED4977">
              <w:rPr>
                <w:rFonts w:cs="Arial"/>
                <w:szCs w:val="22"/>
                <w:lang w:eastAsia="en-AU"/>
              </w:rPr>
              <w:t>Training Material</w:t>
            </w:r>
            <w:r>
              <w:rPr>
                <w:rFonts w:cs="Arial"/>
                <w:szCs w:val="22"/>
                <w:lang w:eastAsia="en-AU"/>
              </w:rPr>
              <w:t xml:space="preserve"> and Facts Sheets.</w:t>
            </w:r>
          </w:p>
          <w:p w14:paraId="222173A1" w14:textId="77777777" w:rsidR="00B6481A" w:rsidRPr="0052206B" w:rsidRDefault="00B6481A" w:rsidP="00500F64">
            <w:pPr>
              <w:numPr>
                <w:ilvl w:val="0"/>
                <w:numId w:val="19"/>
              </w:numPr>
              <w:shd w:val="clear" w:color="auto" w:fill="FFFFFF"/>
              <w:spacing w:before="60" w:after="60"/>
              <w:rPr>
                <w:szCs w:val="22"/>
              </w:rPr>
            </w:pPr>
            <w:r>
              <w:rPr>
                <w:rFonts w:cs="Arial"/>
                <w:szCs w:val="22"/>
                <w:lang w:eastAsia="en-AU"/>
              </w:rPr>
              <w:t>Development and review of course content, brochures, pamphlets and booklets for use by the building and construction industry.</w:t>
            </w:r>
          </w:p>
          <w:p w14:paraId="785DADFE" w14:textId="77777777" w:rsidR="00B6481A" w:rsidRPr="00BB106B" w:rsidRDefault="00B6481A" w:rsidP="00500F64">
            <w:pPr>
              <w:numPr>
                <w:ilvl w:val="0"/>
                <w:numId w:val="19"/>
              </w:numPr>
              <w:shd w:val="clear" w:color="auto" w:fill="FFFFFF"/>
              <w:spacing w:before="60" w:after="60"/>
              <w:rPr>
                <w:rFonts w:cs="Arial"/>
                <w:szCs w:val="22"/>
                <w:lang w:eastAsia="en-AU"/>
              </w:rPr>
            </w:pPr>
            <w:r w:rsidRPr="00BB106B">
              <w:rPr>
                <w:rFonts w:cs="Arial"/>
                <w:szCs w:val="22"/>
                <w:lang w:eastAsia="en-AU"/>
              </w:rPr>
              <w:t>Liaison with and advice to RTOs delivering accredited industry training courses</w:t>
            </w:r>
            <w:r>
              <w:rPr>
                <w:rFonts w:cs="Arial"/>
                <w:szCs w:val="22"/>
                <w:lang w:eastAsia="en-AU"/>
              </w:rPr>
              <w:t>.</w:t>
            </w:r>
          </w:p>
          <w:p w14:paraId="1C2A51C1" w14:textId="77777777" w:rsidR="00501A38" w:rsidRPr="00634D63" w:rsidRDefault="00501A38" w:rsidP="002215E0">
            <w:pPr>
              <w:pStyle w:val="Heading2"/>
            </w:pPr>
            <w:r w:rsidRPr="00634D63">
              <w:t>Why the records are retained for this retention period:</w:t>
            </w:r>
          </w:p>
          <w:p w14:paraId="1E8F25C4" w14:textId="5E7D5BC4" w:rsidR="00501A38" w:rsidRPr="00B6481A" w:rsidRDefault="00B6481A" w:rsidP="00B6481A">
            <w:pPr>
              <w:pStyle w:val="Tablesub-heading"/>
              <w:shd w:val="clear" w:color="auto" w:fill="FFFFFF"/>
              <w:rPr>
                <w:rFonts w:cs="Arial"/>
                <w:b w:val="0"/>
                <w:bCs/>
              </w:rPr>
            </w:pPr>
            <w:r>
              <w:rPr>
                <w:rFonts w:cs="Arial"/>
                <w:b w:val="0"/>
                <w:bCs/>
              </w:rPr>
              <w:t>The seven-year retention period supports the decisions of the business by providing evidence of actions taken and ensures that records are available for a sufficient period of time to be referred back to if so required.</w:t>
            </w:r>
            <w:r w:rsidR="00501A38">
              <w:rPr>
                <w:b w:val="0"/>
                <w:szCs w:val="22"/>
              </w:rPr>
              <w:t xml:space="preserve"> </w:t>
            </w:r>
          </w:p>
          <w:p w14:paraId="74A8A312" w14:textId="77777777" w:rsidR="00501A38" w:rsidRPr="00634D63" w:rsidRDefault="00501A38" w:rsidP="002215E0">
            <w:pPr>
              <w:pStyle w:val="Heading2"/>
            </w:pPr>
            <w:r w:rsidRPr="00634D63">
              <w:t>Applicable legislation/standards:</w:t>
            </w:r>
          </w:p>
          <w:p w14:paraId="5EFDE519" w14:textId="77777777" w:rsidR="00B6481A" w:rsidRDefault="00B6481A" w:rsidP="00B6481A">
            <w:pPr>
              <w:pStyle w:val="Tablesub-heading"/>
              <w:rPr>
                <w:b w:val="0"/>
                <w:noProof/>
                <w:szCs w:val="22"/>
              </w:rPr>
            </w:pPr>
            <w:r w:rsidRPr="00803790">
              <w:rPr>
                <w:b w:val="0"/>
                <w:noProof/>
                <w:szCs w:val="22"/>
              </w:rPr>
              <w:t xml:space="preserve">See the list of applicable legislation and standards for public records created, kept and managed by the </w:t>
            </w:r>
            <w:r>
              <w:rPr>
                <w:b w:val="0"/>
                <w:noProof/>
                <w:szCs w:val="22"/>
              </w:rPr>
              <w:t>Building and Construction sector</w:t>
            </w:r>
            <w:r w:rsidRPr="00803790">
              <w:rPr>
                <w:b w:val="0"/>
                <w:noProof/>
                <w:szCs w:val="22"/>
              </w:rPr>
              <w:t xml:space="preserve"> located at the beginning of this appraisal log</w:t>
            </w:r>
            <w:r>
              <w:rPr>
                <w:b w:val="0"/>
                <w:noProof/>
                <w:szCs w:val="22"/>
              </w:rPr>
              <w:t>.</w:t>
            </w:r>
          </w:p>
          <w:p w14:paraId="5ADD89E9" w14:textId="77777777" w:rsidR="00501A38" w:rsidRPr="00634D63" w:rsidRDefault="00501A38" w:rsidP="002215E0">
            <w:pPr>
              <w:pStyle w:val="Heading2"/>
            </w:pPr>
            <w:r w:rsidRPr="00634D63">
              <w:t xml:space="preserve">Comparison with other schedules' retention period: </w:t>
            </w:r>
          </w:p>
          <w:p w14:paraId="0951C015" w14:textId="77777777" w:rsidR="00B6481A" w:rsidRDefault="00B6481A" w:rsidP="00B6481A">
            <w:pPr>
              <w:pStyle w:val="Tablesub-heading"/>
              <w:rPr>
                <w:b w:val="0"/>
                <w:noProof/>
                <w:szCs w:val="22"/>
              </w:rPr>
            </w:pPr>
            <w:r w:rsidRPr="00650BB9">
              <w:rPr>
                <w:b w:val="0"/>
                <w:i/>
                <w:iCs/>
                <w:noProof/>
                <w:szCs w:val="22"/>
              </w:rPr>
              <w:t>RA 2019/00447636, Australian Building and Construction Commission (ABCC),</w:t>
            </w:r>
            <w:r>
              <w:rPr>
                <w:b w:val="0"/>
                <w:noProof/>
                <w:szCs w:val="22"/>
              </w:rPr>
              <w:t xml:space="preserve"> 62697 – Development of Training or Education Materials – retain for 3 years - as issued by the National Archives of Australia (NAA).</w:t>
            </w:r>
          </w:p>
          <w:p w14:paraId="20429942" w14:textId="77777777" w:rsidR="00B6481A" w:rsidRDefault="00B6481A" w:rsidP="00B6481A">
            <w:pPr>
              <w:pStyle w:val="Tablesub-heading"/>
              <w:rPr>
                <w:b w:val="0"/>
                <w:noProof/>
                <w:szCs w:val="22"/>
              </w:rPr>
            </w:pPr>
            <w:r w:rsidRPr="00E8584A">
              <w:rPr>
                <w:b w:val="0"/>
                <w:i/>
                <w:iCs/>
                <w:noProof/>
                <w:szCs w:val="22"/>
              </w:rPr>
              <w:t>General Retention and Disposal Schedule</w:t>
            </w:r>
            <w:r>
              <w:rPr>
                <w:b w:val="0"/>
                <w:noProof/>
                <w:szCs w:val="22"/>
              </w:rPr>
              <w:t xml:space="preserve"> </w:t>
            </w:r>
            <w:r w:rsidRPr="00650BB9">
              <w:rPr>
                <w:b w:val="0"/>
                <w:i/>
                <w:iCs/>
                <w:noProof/>
                <w:szCs w:val="22"/>
              </w:rPr>
              <w:t>(GRDS) –</w:t>
            </w:r>
            <w:r>
              <w:rPr>
                <w:b w:val="0"/>
                <w:noProof/>
                <w:szCs w:val="22"/>
              </w:rPr>
              <w:t xml:space="preserve"> 2079 – Training Provision –7 years after business action completed.</w:t>
            </w:r>
          </w:p>
          <w:p w14:paraId="000087B1" w14:textId="575DA86B" w:rsidR="00501A38" w:rsidRPr="004A453A" w:rsidRDefault="00B6481A" w:rsidP="002215E0">
            <w:pPr>
              <w:pStyle w:val="Tablesub-heading"/>
              <w:rPr>
                <w:b w:val="0"/>
                <w:noProof/>
                <w:szCs w:val="22"/>
              </w:rPr>
            </w:pPr>
            <w:r w:rsidRPr="00650BB9">
              <w:rPr>
                <w:b w:val="0"/>
                <w:i/>
                <w:iCs/>
                <w:noProof/>
                <w:szCs w:val="22"/>
              </w:rPr>
              <w:t>FA430, Department of Customer Service,</w:t>
            </w:r>
            <w:r>
              <w:rPr>
                <w:b w:val="0"/>
                <w:noProof/>
                <w:szCs w:val="22"/>
              </w:rPr>
              <w:t xml:space="preserve"> 1.3.1 – Development of Industry Education Resources – retain permanently - as issued by the NSW State Archive &amp; Records Authority (SARA).</w:t>
            </w:r>
          </w:p>
          <w:p w14:paraId="2F622ED3" w14:textId="77777777" w:rsidR="00501A38" w:rsidRPr="00634D63" w:rsidRDefault="00501A38" w:rsidP="002215E0">
            <w:pPr>
              <w:pStyle w:val="Heading2"/>
            </w:pPr>
            <w:r w:rsidRPr="00634D63">
              <w:t>Other comments/factors for consideration:</w:t>
            </w:r>
          </w:p>
          <w:p w14:paraId="2C44C2C4" w14:textId="77777777" w:rsidR="00B6481A" w:rsidRPr="004A453A" w:rsidRDefault="00B6481A" w:rsidP="00B6481A">
            <w:r>
              <w:rPr>
                <w:noProof/>
              </w:rPr>
              <w:lastRenderedPageBreak/>
              <w:t>New disposal authorisation created to cover older records as the QBCC and its predescessor bodies have been involved in reviewing and developing industry courses in collaboration with the Qld Education Department, TAFE and in conjunction with other private RTOs.</w:t>
            </w:r>
          </w:p>
          <w:p w14:paraId="13A553F2" w14:textId="77777777" w:rsidR="00501A38" w:rsidRPr="00634D63" w:rsidRDefault="00501A38" w:rsidP="002215E0">
            <w:pPr>
              <w:pStyle w:val="Heading2"/>
            </w:pPr>
            <w:r w:rsidRPr="00634D63">
              <w:t>Previous schedule references:</w:t>
            </w:r>
          </w:p>
          <w:p w14:paraId="48922848" w14:textId="50FE2713" w:rsidR="00501A38" w:rsidRPr="00B6481A" w:rsidRDefault="00B6481A" w:rsidP="002215E0">
            <w:pPr>
              <w:pStyle w:val="Tablesub-heading"/>
              <w:rPr>
                <w:b w:val="0"/>
                <w:szCs w:val="22"/>
              </w:rPr>
            </w:pPr>
            <w:r w:rsidRPr="00B6481A">
              <w:rPr>
                <w:rFonts w:cs="Arial"/>
                <w:b w:val="0"/>
                <w:bCs/>
              </w:rPr>
              <w:t>New disposal authorisation</w:t>
            </w:r>
          </w:p>
        </w:tc>
      </w:tr>
      <w:tr w:rsidR="00501A38" w:rsidRPr="004A453A" w14:paraId="29C7ACC1" w14:textId="77777777" w:rsidTr="00384B0E">
        <w:tc>
          <w:tcPr>
            <w:tcW w:w="567" w:type="pct"/>
            <w:tcBorders>
              <w:top w:val="single" w:sz="6" w:space="0" w:color="C0C0C0"/>
              <w:bottom w:val="single" w:sz="6" w:space="0" w:color="C0C0C0"/>
            </w:tcBorders>
            <w:shd w:val="clear" w:color="auto" w:fill="auto"/>
          </w:tcPr>
          <w:p w14:paraId="2DE8D6F5" w14:textId="5F4B25FC" w:rsidR="00501A38" w:rsidRPr="004A453A" w:rsidRDefault="001F1CED" w:rsidP="002215E0">
            <w:pPr>
              <w:pStyle w:val="Tablesub-heading"/>
              <w:rPr>
                <w:b w:val="0"/>
                <w:szCs w:val="22"/>
              </w:rPr>
            </w:pPr>
            <w:r>
              <w:rPr>
                <w:b w:val="0"/>
                <w:szCs w:val="22"/>
              </w:rPr>
              <w:lastRenderedPageBreak/>
              <w:t>2774</w:t>
            </w:r>
          </w:p>
        </w:tc>
        <w:tc>
          <w:tcPr>
            <w:tcW w:w="914" w:type="pct"/>
            <w:tcBorders>
              <w:top w:val="single" w:sz="6" w:space="0" w:color="C0C0C0"/>
              <w:bottom w:val="single" w:sz="6" w:space="0" w:color="C0C0C0"/>
            </w:tcBorders>
            <w:shd w:val="clear" w:color="auto" w:fill="auto"/>
          </w:tcPr>
          <w:p w14:paraId="4DFA9A60" w14:textId="77777777" w:rsidR="00276983" w:rsidRPr="00917033" w:rsidRDefault="00276983" w:rsidP="00276983">
            <w:pPr>
              <w:pStyle w:val="Tablesub-heading"/>
              <w:rPr>
                <w:i/>
                <w:szCs w:val="22"/>
              </w:rPr>
            </w:pPr>
            <w:r>
              <w:rPr>
                <w:i/>
                <w:noProof/>
                <w:szCs w:val="22"/>
              </w:rPr>
              <w:t>Register of Licensees</w:t>
            </w:r>
          </w:p>
          <w:p w14:paraId="532DA6CF" w14:textId="490EDD07" w:rsidR="00276983" w:rsidRPr="004A453A" w:rsidRDefault="00276983" w:rsidP="00276983">
            <w:pPr>
              <w:pStyle w:val="Tablesub-heading"/>
              <w:rPr>
                <w:szCs w:val="22"/>
              </w:rPr>
            </w:pPr>
            <w:r>
              <w:rPr>
                <w:b w:val="0"/>
                <w:noProof/>
                <w:szCs w:val="22"/>
              </w:rPr>
              <w:t xml:space="preserve">Records in any format (physical books, digital or web-based) of registers of licensees kept in accordance with the </w:t>
            </w:r>
            <w:r w:rsidRPr="009A33B0">
              <w:rPr>
                <w:b w:val="0"/>
                <w:i/>
                <w:iCs/>
                <w:noProof/>
                <w:szCs w:val="22"/>
              </w:rPr>
              <w:t>Queensland Building &amp; Construction Commission Act 1991</w:t>
            </w:r>
            <w:r>
              <w:rPr>
                <w:b w:val="0"/>
                <w:noProof/>
                <w:szCs w:val="22"/>
              </w:rPr>
              <w:t xml:space="preserve">, </w:t>
            </w:r>
            <w:r w:rsidR="00310474">
              <w:rPr>
                <w:b w:val="0"/>
                <w:noProof/>
                <w:szCs w:val="22"/>
              </w:rPr>
              <w:t xml:space="preserve">the </w:t>
            </w:r>
            <w:r w:rsidRPr="009A33B0">
              <w:rPr>
                <w:b w:val="0"/>
                <w:i/>
                <w:iCs/>
                <w:noProof/>
                <w:szCs w:val="22"/>
              </w:rPr>
              <w:t>Building Act 1975</w:t>
            </w:r>
            <w:r>
              <w:rPr>
                <w:b w:val="0"/>
                <w:noProof/>
                <w:szCs w:val="22"/>
              </w:rPr>
              <w:t xml:space="preserve"> and the </w:t>
            </w:r>
            <w:r w:rsidRPr="009A33B0">
              <w:rPr>
                <w:b w:val="0"/>
                <w:i/>
                <w:iCs/>
                <w:noProof/>
                <w:szCs w:val="22"/>
              </w:rPr>
              <w:t>Plumbing</w:t>
            </w:r>
            <w:r w:rsidR="007018FB" w:rsidRPr="009A33B0">
              <w:rPr>
                <w:b w:val="0"/>
                <w:i/>
                <w:iCs/>
                <w:noProof/>
                <w:szCs w:val="22"/>
              </w:rPr>
              <w:t xml:space="preserve"> and</w:t>
            </w:r>
            <w:r w:rsidRPr="009A33B0">
              <w:rPr>
                <w:b w:val="0"/>
                <w:i/>
                <w:iCs/>
                <w:noProof/>
                <w:szCs w:val="22"/>
              </w:rPr>
              <w:t xml:space="preserve"> Drainage Act 2018</w:t>
            </w:r>
            <w:r>
              <w:rPr>
                <w:b w:val="0"/>
                <w:noProof/>
                <w:szCs w:val="22"/>
              </w:rPr>
              <w:t>.</w:t>
            </w:r>
          </w:p>
          <w:p w14:paraId="3BA6073C" w14:textId="77777777" w:rsidR="00501A38" w:rsidRPr="00634D63" w:rsidRDefault="00501A38" w:rsidP="002215E0">
            <w:pPr>
              <w:pStyle w:val="Heading2"/>
            </w:pPr>
            <w:r w:rsidRPr="00634D63">
              <w:t xml:space="preserve">Disposal action – </w:t>
            </w:r>
          </w:p>
          <w:p w14:paraId="6B70548C" w14:textId="2AA7F351" w:rsidR="00501A38" w:rsidRPr="004A453A" w:rsidRDefault="00276983" w:rsidP="002215E0">
            <w:pPr>
              <w:pStyle w:val="Tablesub-heading"/>
              <w:rPr>
                <w:b w:val="0"/>
              </w:rPr>
            </w:pPr>
            <w:r>
              <w:rPr>
                <w:b w:val="0"/>
                <w:bCs/>
                <w:noProof/>
              </w:rPr>
              <w:t>Permanent. Transfer to QSA after business action completed</w:t>
            </w:r>
          </w:p>
        </w:tc>
        <w:tc>
          <w:tcPr>
            <w:tcW w:w="3519" w:type="pct"/>
            <w:tcBorders>
              <w:top w:val="single" w:sz="6" w:space="0" w:color="C0C0C0"/>
              <w:bottom w:val="single" w:sz="6" w:space="0" w:color="C0C0C0"/>
            </w:tcBorders>
            <w:shd w:val="clear" w:color="auto" w:fill="auto"/>
          </w:tcPr>
          <w:p w14:paraId="4F687133" w14:textId="4541A890" w:rsidR="00501A38" w:rsidRPr="004A453A" w:rsidRDefault="00501A38" w:rsidP="002215E0">
            <w:pPr>
              <w:pStyle w:val="Tablesub-heading"/>
              <w:rPr>
                <w:b w:val="0"/>
                <w:szCs w:val="22"/>
              </w:rPr>
            </w:pPr>
            <w:r>
              <w:t xml:space="preserve">Date authorised: </w:t>
            </w:r>
            <w:r w:rsidR="00067BF0">
              <w:rPr>
                <w:b w:val="0"/>
              </w:rPr>
              <w:t>15 December 2023</w:t>
            </w:r>
          </w:p>
          <w:p w14:paraId="74CB928E" w14:textId="77777777" w:rsidR="00501A38" w:rsidRPr="00634D63" w:rsidRDefault="00501A38" w:rsidP="002215E0">
            <w:pPr>
              <w:pStyle w:val="Heading2"/>
            </w:pPr>
            <w:r w:rsidRPr="00634D63">
              <w:t>Why are these records created:</w:t>
            </w:r>
          </w:p>
          <w:p w14:paraId="4EAB8109" w14:textId="62EBF860" w:rsidR="00276983" w:rsidRPr="004A453A" w:rsidRDefault="00276983" w:rsidP="002215E0">
            <w:pPr>
              <w:pStyle w:val="Tablesub-heading"/>
              <w:rPr>
                <w:b w:val="0"/>
                <w:szCs w:val="22"/>
              </w:rPr>
            </w:pPr>
            <w:r w:rsidRPr="00057427">
              <w:rPr>
                <w:b w:val="0"/>
                <w:noProof/>
                <w:szCs w:val="22"/>
              </w:rPr>
              <w:t>Under relevant legislation, registers of licensees must b</w:t>
            </w:r>
            <w:r>
              <w:rPr>
                <w:b w:val="0"/>
                <w:noProof/>
                <w:szCs w:val="22"/>
              </w:rPr>
              <w:t>e</w:t>
            </w:r>
            <w:r w:rsidRPr="00057427">
              <w:rPr>
                <w:b w:val="0"/>
                <w:noProof/>
                <w:szCs w:val="22"/>
              </w:rPr>
              <w:t xml:space="preserve"> kept by the agency. Registers can include particulars in relation to each licensee or person (e.g. name, business address, licence details etc.)</w:t>
            </w:r>
            <w:r>
              <w:rPr>
                <w:b w:val="0"/>
                <w:noProof/>
                <w:szCs w:val="22"/>
              </w:rPr>
              <w:t xml:space="preserve">                                   </w:t>
            </w:r>
            <w:r w:rsidRPr="00057427">
              <w:rPr>
                <w:b w:val="0"/>
                <w:noProof/>
                <w:szCs w:val="22"/>
              </w:rPr>
              <w:t xml:space="preserve"> </w:t>
            </w:r>
            <w:r>
              <w:rPr>
                <w:b w:val="0"/>
                <w:noProof/>
                <w:szCs w:val="22"/>
              </w:rPr>
              <w:t xml:space="preserve">        </w:t>
            </w:r>
            <w:r w:rsidRPr="00057427">
              <w:rPr>
                <w:b w:val="0"/>
                <w:noProof/>
                <w:szCs w:val="22"/>
              </w:rPr>
              <w:t>and also any disciplinary related information (e.g. directions to rectify, infring</w:t>
            </w:r>
            <w:r>
              <w:rPr>
                <w:b w:val="0"/>
                <w:noProof/>
                <w:szCs w:val="22"/>
              </w:rPr>
              <w:t>e</w:t>
            </w:r>
            <w:r w:rsidRPr="00057427">
              <w:rPr>
                <w:b w:val="0"/>
                <w:noProof/>
                <w:szCs w:val="22"/>
              </w:rPr>
              <w:t>ment notices for offences, demerit points, cancellations, supensions etc.)</w:t>
            </w:r>
            <w:r>
              <w:rPr>
                <w:b w:val="0"/>
                <w:noProof/>
                <w:szCs w:val="22"/>
              </w:rPr>
              <w:t>.</w:t>
            </w:r>
            <w:r w:rsidRPr="00057427">
              <w:rPr>
                <w:b w:val="0"/>
                <w:noProof/>
                <w:szCs w:val="22"/>
              </w:rPr>
              <w:t xml:space="preserve"> The registers are kept electronically and are continually updated and amended – under relevant legislation</w:t>
            </w:r>
            <w:r>
              <w:rPr>
                <w:b w:val="0"/>
                <w:noProof/>
                <w:szCs w:val="22"/>
              </w:rPr>
              <w:t xml:space="preserve">, </w:t>
            </w:r>
            <w:r w:rsidRPr="00057427">
              <w:rPr>
                <w:b w:val="0"/>
                <w:noProof/>
                <w:szCs w:val="22"/>
              </w:rPr>
              <w:t>notes (e.g. directions to rec</w:t>
            </w:r>
            <w:r w:rsidR="00917F5B">
              <w:rPr>
                <w:b w:val="0"/>
                <w:noProof/>
                <w:szCs w:val="22"/>
              </w:rPr>
              <w:t xml:space="preserve">tify, </w:t>
            </w:r>
            <w:r w:rsidRPr="00057427">
              <w:rPr>
                <w:b w:val="0"/>
                <w:noProof/>
                <w:szCs w:val="22"/>
              </w:rPr>
              <w:t>infringement notices etc</w:t>
            </w:r>
            <w:r>
              <w:rPr>
                <w:b w:val="0"/>
                <w:noProof/>
                <w:szCs w:val="22"/>
              </w:rPr>
              <w:t>.</w:t>
            </w:r>
            <w:r w:rsidRPr="00057427">
              <w:rPr>
                <w:b w:val="0"/>
                <w:noProof/>
                <w:szCs w:val="22"/>
              </w:rPr>
              <w:t>), must be removed from the register after varying time periods. Registers created and maintained in accordance with the relevant Act are available on the agency website for the general public to search</w:t>
            </w:r>
            <w:r>
              <w:rPr>
                <w:b w:val="0"/>
                <w:noProof/>
                <w:szCs w:val="22"/>
              </w:rPr>
              <w:t>.</w:t>
            </w:r>
          </w:p>
          <w:p w14:paraId="7B131554" w14:textId="77777777" w:rsidR="00501A38" w:rsidRPr="00634D63" w:rsidRDefault="00501A38" w:rsidP="002215E0">
            <w:pPr>
              <w:pStyle w:val="Heading2"/>
            </w:pPr>
            <w:r w:rsidRPr="00634D63">
              <w:t>Why the records are retained for this retention period:</w:t>
            </w:r>
          </w:p>
          <w:p w14:paraId="27C6EE9A" w14:textId="77777777" w:rsidR="00276983" w:rsidRPr="00057427" w:rsidRDefault="00276983" w:rsidP="00276983">
            <w:pPr>
              <w:rPr>
                <w:noProof/>
              </w:rPr>
            </w:pPr>
            <w:r w:rsidRPr="00057427">
              <w:rPr>
                <w:noProof/>
              </w:rPr>
              <w:t xml:space="preserve">The registers are the main record of licensees in Queensland. They provide a good source of information on the development and practice of regulating the building and construction industry in Queensland. </w:t>
            </w:r>
          </w:p>
          <w:p w14:paraId="262637A5" w14:textId="457C0A62" w:rsidR="00501A38" w:rsidRPr="00276983" w:rsidRDefault="00276983" w:rsidP="00276983">
            <w:pPr>
              <w:rPr>
                <w:noProof/>
              </w:rPr>
            </w:pPr>
            <w:r w:rsidRPr="00057427">
              <w:rPr>
                <w:noProof/>
              </w:rPr>
              <w:t xml:space="preserve">The information contained within the register of licensees is invaluable for researching family history </w:t>
            </w:r>
            <w:r>
              <w:rPr>
                <w:noProof/>
              </w:rPr>
              <w:t xml:space="preserve">                                 </w:t>
            </w:r>
            <w:r w:rsidRPr="00057427">
              <w:rPr>
                <w:noProof/>
              </w:rPr>
              <w:t>and the development of the building profession in Queensland. Permanent retention of these registers</w:t>
            </w:r>
            <w:r>
              <w:rPr>
                <w:noProof/>
              </w:rPr>
              <w:t xml:space="preserve">                                                           </w:t>
            </w:r>
            <w:r w:rsidRPr="00057427">
              <w:rPr>
                <w:noProof/>
              </w:rPr>
              <w:t xml:space="preserve"> is consistent with registration records for other professions like surveyors.</w:t>
            </w:r>
            <w:r w:rsidR="00501A38">
              <w:rPr>
                <w:b/>
                <w:szCs w:val="22"/>
              </w:rPr>
              <w:t xml:space="preserve"> </w:t>
            </w:r>
          </w:p>
          <w:p w14:paraId="23317FCC" w14:textId="77777777" w:rsidR="00501A38" w:rsidRPr="00634D63" w:rsidRDefault="00501A38" w:rsidP="002215E0">
            <w:pPr>
              <w:pStyle w:val="Heading2"/>
            </w:pPr>
            <w:r w:rsidRPr="00634D63">
              <w:t>Applicable legislation/standards:</w:t>
            </w:r>
          </w:p>
          <w:p w14:paraId="1F96DE1E" w14:textId="77777777" w:rsidR="00276983" w:rsidRPr="001E27B1" w:rsidRDefault="00276983" w:rsidP="00276983">
            <w:pPr>
              <w:pStyle w:val="Tablesub-heading"/>
              <w:rPr>
                <w:b w:val="0"/>
                <w:szCs w:val="22"/>
              </w:rPr>
            </w:pPr>
            <w:r w:rsidRPr="00803790">
              <w:rPr>
                <w:b w:val="0"/>
                <w:noProof/>
                <w:szCs w:val="22"/>
              </w:rPr>
              <w:t xml:space="preserve">See the list of applicable legislation and standards for public records created, kept and managed by the </w:t>
            </w:r>
            <w:r>
              <w:rPr>
                <w:b w:val="0"/>
                <w:noProof/>
                <w:szCs w:val="22"/>
              </w:rPr>
              <w:t>Building and Construction sector</w:t>
            </w:r>
            <w:r w:rsidRPr="00803790">
              <w:rPr>
                <w:b w:val="0"/>
                <w:noProof/>
                <w:szCs w:val="22"/>
              </w:rPr>
              <w:t xml:space="preserve"> located at the beginning of this appraisal log</w:t>
            </w:r>
            <w:r>
              <w:rPr>
                <w:b w:val="0"/>
                <w:noProof/>
                <w:szCs w:val="22"/>
              </w:rPr>
              <w:t>.</w:t>
            </w:r>
          </w:p>
          <w:p w14:paraId="565C95C5" w14:textId="77777777" w:rsidR="00501A38" w:rsidRPr="00634D63" w:rsidRDefault="00501A38" w:rsidP="002215E0">
            <w:pPr>
              <w:pStyle w:val="Heading2"/>
            </w:pPr>
            <w:r w:rsidRPr="00634D63">
              <w:t xml:space="preserve">QSA permanent appraisal characteristics: </w:t>
            </w:r>
          </w:p>
          <w:p w14:paraId="1B94162F" w14:textId="77777777" w:rsidR="00501A38" w:rsidRDefault="00501A38" w:rsidP="002215E0">
            <w:pPr>
              <w:pStyle w:val="Tablesub-heading"/>
              <w:spacing w:before="60" w:after="60"/>
              <w:rPr>
                <w:b w:val="0"/>
                <w:szCs w:val="22"/>
              </w:rPr>
            </w:pPr>
            <w:r>
              <w:rPr>
                <w:b w:val="0"/>
                <w:szCs w:val="22"/>
              </w:rPr>
              <w:t xml:space="preserve">These records provide evidence of the following characteristics from the </w:t>
            </w:r>
            <w:r w:rsidRPr="00AD0DD6">
              <w:rPr>
                <w:b w:val="0"/>
                <w:szCs w:val="22"/>
              </w:rPr>
              <w:t>Queensland State Archives Appraisal Statement</w:t>
            </w:r>
            <w:r>
              <w:rPr>
                <w:b w:val="0"/>
                <w:szCs w:val="22"/>
              </w:rPr>
              <w:t xml:space="preserve"> and should be retained as archival records for future research:</w:t>
            </w:r>
          </w:p>
          <w:p w14:paraId="455E5AE3" w14:textId="77777777" w:rsidR="00501A38" w:rsidRDefault="00501A38" w:rsidP="00500F64">
            <w:pPr>
              <w:pStyle w:val="Tablesub-heading"/>
              <w:numPr>
                <w:ilvl w:val="0"/>
                <w:numId w:val="6"/>
              </w:numPr>
              <w:rPr>
                <w:b w:val="0"/>
                <w:szCs w:val="22"/>
              </w:rPr>
            </w:pPr>
            <w:r>
              <w:rPr>
                <w:b w:val="0"/>
                <w:szCs w:val="22"/>
              </w:rPr>
              <w:t>2 – primary functions &amp; programs of government</w:t>
            </w:r>
          </w:p>
          <w:p w14:paraId="4FD18331" w14:textId="77777777" w:rsidR="00501A38" w:rsidRDefault="00501A38" w:rsidP="00500F64">
            <w:pPr>
              <w:pStyle w:val="Tablesub-heading"/>
              <w:numPr>
                <w:ilvl w:val="0"/>
                <w:numId w:val="6"/>
              </w:numPr>
              <w:rPr>
                <w:b w:val="0"/>
                <w:szCs w:val="22"/>
              </w:rPr>
            </w:pPr>
            <w:r>
              <w:rPr>
                <w:b w:val="0"/>
                <w:szCs w:val="22"/>
              </w:rPr>
              <w:t>3 – enduring rights &amp; entitlements</w:t>
            </w:r>
          </w:p>
          <w:p w14:paraId="33A2C8A4" w14:textId="77777777" w:rsidR="00501A38" w:rsidRDefault="00501A38" w:rsidP="00500F64">
            <w:pPr>
              <w:pStyle w:val="Tablesub-heading"/>
              <w:numPr>
                <w:ilvl w:val="0"/>
                <w:numId w:val="6"/>
              </w:numPr>
              <w:rPr>
                <w:b w:val="0"/>
                <w:szCs w:val="22"/>
              </w:rPr>
            </w:pPr>
            <w:r>
              <w:rPr>
                <w:b w:val="0"/>
                <w:szCs w:val="22"/>
              </w:rPr>
              <w:lastRenderedPageBreak/>
              <w:t>4 – significant impact on individuals</w:t>
            </w:r>
          </w:p>
          <w:p w14:paraId="06F80D41" w14:textId="77777777" w:rsidR="00501A38" w:rsidRDefault="00501A38" w:rsidP="00500F64">
            <w:pPr>
              <w:pStyle w:val="Tablesub-heading"/>
              <w:numPr>
                <w:ilvl w:val="0"/>
                <w:numId w:val="6"/>
              </w:numPr>
              <w:rPr>
                <w:b w:val="0"/>
                <w:szCs w:val="22"/>
              </w:rPr>
            </w:pPr>
            <w:r>
              <w:rPr>
                <w:b w:val="0"/>
                <w:szCs w:val="22"/>
              </w:rPr>
              <w:t>5 – substantial contribution to community memory</w:t>
            </w:r>
          </w:p>
          <w:p w14:paraId="144746CE" w14:textId="77777777" w:rsidR="00501A38" w:rsidRPr="00634D63" w:rsidRDefault="00501A38" w:rsidP="002215E0">
            <w:pPr>
              <w:pStyle w:val="Heading2"/>
            </w:pPr>
            <w:r w:rsidRPr="00634D63">
              <w:t xml:space="preserve">Comparison with other schedules' retention period: </w:t>
            </w:r>
          </w:p>
          <w:p w14:paraId="07282201" w14:textId="77777777" w:rsidR="00276983" w:rsidRPr="009A33B0" w:rsidRDefault="00276983" w:rsidP="00FE28CC">
            <w:pPr>
              <w:pStyle w:val="Tablesub-heading"/>
              <w:rPr>
                <w:b w:val="0"/>
                <w:noProof/>
                <w:szCs w:val="22"/>
              </w:rPr>
            </w:pPr>
            <w:r w:rsidRPr="00650BB9">
              <w:rPr>
                <w:b w:val="0"/>
                <w:i/>
                <w:iCs/>
                <w:noProof/>
                <w:szCs w:val="22"/>
              </w:rPr>
              <w:t>QDAN 742, v.2, Qld Racing Integrity Commission (QRIC)</w:t>
            </w:r>
            <w:r w:rsidRPr="00FE28CC">
              <w:rPr>
                <w:b w:val="0"/>
                <w:i/>
                <w:iCs/>
                <w:noProof/>
                <w:szCs w:val="22"/>
              </w:rPr>
              <w:t xml:space="preserve"> </w:t>
            </w:r>
            <w:r w:rsidRPr="009A33B0">
              <w:rPr>
                <w:b w:val="0"/>
                <w:noProof/>
                <w:szCs w:val="22"/>
              </w:rPr>
              <w:t>- 1.21.1 - Register of Racing Control Bodies – Permanent - Transfer to QSA after business action completed.</w:t>
            </w:r>
          </w:p>
          <w:p w14:paraId="29AD3A96" w14:textId="77777777" w:rsidR="00276983" w:rsidRPr="009A33B0" w:rsidRDefault="00276983" w:rsidP="00FE28CC">
            <w:pPr>
              <w:pStyle w:val="Tablesub-heading"/>
              <w:rPr>
                <w:b w:val="0"/>
                <w:noProof/>
                <w:szCs w:val="22"/>
              </w:rPr>
            </w:pPr>
            <w:r w:rsidRPr="00650BB9">
              <w:rPr>
                <w:b w:val="0"/>
                <w:i/>
                <w:iCs/>
                <w:noProof/>
                <w:szCs w:val="22"/>
              </w:rPr>
              <w:t>PROS 97/08, variation 7, Victorian Building Commission,</w:t>
            </w:r>
            <w:r w:rsidRPr="00FE28CC">
              <w:rPr>
                <w:b w:val="0"/>
                <w:i/>
                <w:iCs/>
                <w:noProof/>
                <w:szCs w:val="22"/>
              </w:rPr>
              <w:t xml:space="preserve"> </w:t>
            </w:r>
            <w:r w:rsidRPr="009A33B0">
              <w:rPr>
                <w:b w:val="0"/>
                <w:noProof/>
                <w:szCs w:val="22"/>
              </w:rPr>
              <w:t>5.1.1 – Building Practitioners Board Registration – Permanent - Hold in agency for 25 years then transfer to PROV - as issued by Public Record Office Victoria (PROV).</w:t>
            </w:r>
          </w:p>
          <w:p w14:paraId="75AD4523" w14:textId="77777777" w:rsidR="00276983" w:rsidRPr="00FE28CC" w:rsidRDefault="00276983" w:rsidP="00FE28CC">
            <w:pPr>
              <w:pStyle w:val="Tablesub-heading"/>
              <w:rPr>
                <w:b w:val="0"/>
                <w:i/>
                <w:iCs/>
                <w:noProof/>
                <w:szCs w:val="22"/>
              </w:rPr>
            </w:pPr>
            <w:r w:rsidRPr="00650BB9">
              <w:rPr>
                <w:b w:val="0"/>
                <w:i/>
                <w:iCs/>
                <w:noProof/>
                <w:szCs w:val="22"/>
              </w:rPr>
              <w:t>QDAN 615, v.2, Surveyors Board of Queensland</w:t>
            </w:r>
            <w:r w:rsidRPr="00FE28CC">
              <w:rPr>
                <w:b w:val="0"/>
                <w:i/>
                <w:iCs/>
                <w:noProof/>
                <w:szCs w:val="22"/>
              </w:rPr>
              <w:t xml:space="preserve"> </w:t>
            </w:r>
            <w:r w:rsidRPr="009A33B0">
              <w:rPr>
                <w:b w:val="0"/>
                <w:noProof/>
                <w:szCs w:val="22"/>
              </w:rPr>
              <w:t>- 4.1.1 - Register of Surveyors - Retain permanently</w:t>
            </w:r>
            <w:r w:rsidRPr="00FE28CC">
              <w:rPr>
                <w:b w:val="0"/>
                <w:i/>
                <w:iCs/>
                <w:noProof/>
                <w:szCs w:val="22"/>
              </w:rPr>
              <w:t xml:space="preserve"> </w:t>
            </w:r>
          </w:p>
          <w:p w14:paraId="134235D8" w14:textId="77777777" w:rsidR="00276983" w:rsidRPr="009A33B0" w:rsidRDefault="00276983" w:rsidP="00FE28CC">
            <w:pPr>
              <w:pStyle w:val="Tablesub-heading"/>
              <w:rPr>
                <w:b w:val="0"/>
                <w:noProof/>
                <w:szCs w:val="22"/>
              </w:rPr>
            </w:pPr>
            <w:r w:rsidRPr="00FE28CC">
              <w:rPr>
                <w:b w:val="0"/>
                <w:i/>
                <w:iCs/>
                <w:noProof/>
                <w:szCs w:val="22"/>
              </w:rPr>
              <w:t xml:space="preserve">QDAN 674, v.2, Queensland Law Society </w:t>
            </w:r>
            <w:r w:rsidRPr="009A33B0">
              <w:rPr>
                <w:b w:val="0"/>
                <w:noProof/>
                <w:szCs w:val="22"/>
              </w:rPr>
              <w:t xml:space="preserve">– 2739 - Register of Australian Legal Practitioners and Australian Registered Foreign Lawyers – Permanent - Transfer to QSA after business action completed. </w:t>
            </w:r>
          </w:p>
          <w:p w14:paraId="68353EDB" w14:textId="77777777" w:rsidR="00501A38" w:rsidRPr="00634D63" w:rsidRDefault="00501A38" w:rsidP="002215E0">
            <w:pPr>
              <w:pStyle w:val="Heading2"/>
            </w:pPr>
            <w:r w:rsidRPr="00634D63">
              <w:t>Previous schedule references:</w:t>
            </w:r>
          </w:p>
          <w:p w14:paraId="39EEAFCF" w14:textId="77777777" w:rsidR="00276983" w:rsidRPr="007F2EC1" w:rsidRDefault="00276983" w:rsidP="00276983">
            <w:pPr>
              <w:rPr>
                <w:noProof/>
                <w:szCs w:val="22"/>
                <w:lang w:eastAsia="en-AU"/>
              </w:rPr>
            </w:pPr>
            <w:r w:rsidRPr="007F2EC1">
              <w:rPr>
                <w:i/>
                <w:iCs/>
                <w:noProof/>
                <w:szCs w:val="22"/>
                <w:lang w:eastAsia="en-AU"/>
              </w:rPr>
              <w:t>QDAN 185 v.2 Queensland Building and Construction Commission retention and disposal schedule</w:t>
            </w:r>
            <w:r>
              <w:rPr>
                <w:i/>
                <w:iCs/>
                <w:noProof/>
                <w:szCs w:val="22"/>
                <w:lang w:eastAsia="en-AU"/>
              </w:rPr>
              <w:t xml:space="preserve"> </w:t>
            </w:r>
            <w:r w:rsidRPr="009A33B0">
              <w:rPr>
                <w:noProof/>
                <w:szCs w:val="22"/>
                <w:lang w:eastAsia="en-AU"/>
              </w:rPr>
              <w:t>-</w:t>
            </w:r>
            <w:r>
              <w:rPr>
                <w:i/>
                <w:iCs/>
                <w:noProof/>
                <w:szCs w:val="22"/>
                <w:lang w:eastAsia="en-AU"/>
              </w:rPr>
              <w:t xml:space="preserve"> </w:t>
            </w:r>
            <w:r w:rsidRPr="007F2EC1">
              <w:rPr>
                <w:noProof/>
                <w:szCs w:val="22"/>
                <w:lang w:eastAsia="en-AU"/>
              </w:rPr>
              <w:t xml:space="preserve"> </w:t>
            </w:r>
          </w:p>
          <w:p w14:paraId="5DB95390" w14:textId="14DB6321" w:rsidR="00501A38" w:rsidRPr="00276983" w:rsidRDefault="00276983" w:rsidP="00276983">
            <w:pPr>
              <w:pStyle w:val="Tablesub-heading"/>
              <w:rPr>
                <w:b w:val="0"/>
                <w:bCs/>
                <w:szCs w:val="22"/>
              </w:rPr>
            </w:pPr>
            <w:r w:rsidRPr="00276983">
              <w:rPr>
                <w:b w:val="0"/>
                <w:bCs/>
                <w:noProof/>
                <w:szCs w:val="22"/>
              </w:rPr>
              <w:t>1.2.5 - Licensee Register – Retain Permanently.</w:t>
            </w:r>
          </w:p>
        </w:tc>
      </w:tr>
      <w:tr w:rsidR="008D283A" w:rsidRPr="004A453A" w14:paraId="2FEB5D64" w14:textId="77777777" w:rsidTr="00384B0E">
        <w:tc>
          <w:tcPr>
            <w:tcW w:w="567" w:type="pct"/>
            <w:tcBorders>
              <w:top w:val="single" w:sz="6" w:space="0" w:color="C0C0C0"/>
              <w:bottom w:val="single" w:sz="6" w:space="0" w:color="C0C0C0"/>
            </w:tcBorders>
            <w:shd w:val="clear" w:color="auto" w:fill="auto"/>
          </w:tcPr>
          <w:p w14:paraId="63D179FB" w14:textId="3E7359C9" w:rsidR="008D283A" w:rsidRPr="004A453A" w:rsidRDefault="00C06A58" w:rsidP="002215E0">
            <w:pPr>
              <w:pStyle w:val="Tablesub-heading"/>
              <w:rPr>
                <w:b w:val="0"/>
                <w:szCs w:val="22"/>
              </w:rPr>
            </w:pPr>
            <w:r>
              <w:rPr>
                <w:b w:val="0"/>
                <w:szCs w:val="22"/>
              </w:rPr>
              <w:t>2775</w:t>
            </w:r>
          </w:p>
        </w:tc>
        <w:tc>
          <w:tcPr>
            <w:tcW w:w="914" w:type="pct"/>
            <w:tcBorders>
              <w:top w:val="single" w:sz="6" w:space="0" w:color="C0C0C0"/>
              <w:bottom w:val="single" w:sz="6" w:space="0" w:color="C0C0C0"/>
            </w:tcBorders>
            <w:shd w:val="clear" w:color="auto" w:fill="auto"/>
          </w:tcPr>
          <w:p w14:paraId="483CDE6F" w14:textId="77777777" w:rsidR="00555307" w:rsidRDefault="00555307" w:rsidP="00555307">
            <w:pPr>
              <w:pStyle w:val="Heading3"/>
            </w:pPr>
            <w:r>
              <w:rPr>
                <w:noProof/>
              </w:rPr>
              <w:t>Registers – Other</w:t>
            </w:r>
          </w:p>
          <w:p w14:paraId="385D3A0F" w14:textId="613C3230" w:rsidR="00555307" w:rsidRPr="004A453A" w:rsidRDefault="00555307" w:rsidP="00555307">
            <w:pPr>
              <w:pStyle w:val="Tablesub-heading"/>
              <w:rPr>
                <w:szCs w:val="22"/>
              </w:rPr>
            </w:pPr>
            <w:r>
              <w:rPr>
                <w:b w:val="0"/>
                <w:noProof/>
                <w:szCs w:val="22"/>
              </w:rPr>
              <w:t xml:space="preserve">Records in any format (physical books, digital or web-based) of registers of those associated with the building industry kept in accordance </w:t>
            </w:r>
            <w:r w:rsidR="00917F5B">
              <w:rPr>
                <w:b w:val="0"/>
                <w:noProof/>
                <w:szCs w:val="22"/>
              </w:rPr>
              <w:t xml:space="preserve">with </w:t>
            </w:r>
            <w:r>
              <w:rPr>
                <w:b w:val="0"/>
                <w:noProof/>
                <w:szCs w:val="22"/>
              </w:rPr>
              <w:t xml:space="preserve">the </w:t>
            </w:r>
            <w:r w:rsidRPr="009A33B0">
              <w:rPr>
                <w:b w:val="0"/>
                <w:i/>
                <w:iCs/>
                <w:noProof/>
                <w:szCs w:val="22"/>
              </w:rPr>
              <w:t>Queensland Building &amp; Construction Commission Act 1991</w:t>
            </w:r>
            <w:r>
              <w:rPr>
                <w:b w:val="0"/>
                <w:noProof/>
                <w:szCs w:val="22"/>
              </w:rPr>
              <w:t xml:space="preserve">, </w:t>
            </w:r>
            <w:r w:rsidR="0025587A">
              <w:rPr>
                <w:b w:val="0"/>
                <w:noProof/>
                <w:szCs w:val="22"/>
              </w:rPr>
              <w:t xml:space="preserve">the </w:t>
            </w:r>
            <w:r w:rsidRPr="009A33B0">
              <w:rPr>
                <w:b w:val="0"/>
                <w:i/>
                <w:iCs/>
                <w:noProof/>
                <w:szCs w:val="22"/>
              </w:rPr>
              <w:t>Building Act 1975</w:t>
            </w:r>
            <w:r>
              <w:rPr>
                <w:b w:val="0"/>
                <w:noProof/>
                <w:szCs w:val="22"/>
              </w:rPr>
              <w:t xml:space="preserve"> and </w:t>
            </w:r>
            <w:r w:rsidRPr="009A33B0">
              <w:rPr>
                <w:b w:val="0"/>
                <w:i/>
                <w:iCs/>
                <w:noProof/>
                <w:szCs w:val="22"/>
              </w:rPr>
              <w:t xml:space="preserve">the Plumbing </w:t>
            </w:r>
            <w:r w:rsidR="00917F5B" w:rsidRPr="009A33B0">
              <w:rPr>
                <w:b w:val="0"/>
                <w:i/>
                <w:iCs/>
                <w:noProof/>
                <w:szCs w:val="22"/>
              </w:rPr>
              <w:t xml:space="preserve">and </w:t>
            </w:r>
            <w:r w:rsidRPr="009A33B0">
              <w:rPr>
                <w:b w:val="0"/>
                <w:i/>
                <w:iCs/>
                <w:noProof/>
                <w:szCs w:val="22"/>
              </w:rPr>
              <w:t>Drainage Act 2018</w:t>
            </w:r>
            <w:r>
              <w:rPr>
                <w:b w:val="0"/>
                <w:noProof/>
                <w:szCs w:val="22"/>
              </w:rPr>
              <w:t>.</w:t>
            </w:r>
          </w:p>
          <w:p w14:paraId="7322038D" w14:textId="77777777" w:rsidR="008D283A" w:rsidRPr="00634D63" w:rsidRDefault="008D283A" w:rsidP="002215E0">
            <w:pPr>
              <w:pStyle w:val="Heading2"/>
            </w:pPr>
            <w:r w:rsidRPr="00634D63">
              <w:t xml:space="preserve">Disposal action – </w:t>
            </w:r>
          </w:p>
          <w:p w14:paraId="6C49AAE0" w14:textId="77777777" w:rsidR="00555307" w:rsidRPr="007F2EC1" w:rsidRDefault="00555307" w:rsidP="00555307">
            <w:pPr>
              <w:rPr>
                <w:noProof/>
                <w:szCs w:val="22"/>
                <w:lang w:eastAsia="en-AU"/>
              </w:rPr>
            </w:pPr>
            <w:r>
              <w:rPr>
                <w:noProof/>
                <w:szCs w:val="22"/>
                <w:lang w:eastAsia="en-AU"/>
              </w:rPr>
              <w:lastRenderedPageBreak/>
              <w:t>R</w:t>
            </w:r>
            <w:r w:rsidRPr="007F2EC1">
              <w:rPr>
                <w:noProof/>
                <w:szCs w:val="22"/>
                <w:lang w:eastAsia="en-AU"/>
              </w:rPr>
              <w:t xml:space="preserve">etain for 20 years after </w:t>
            </w:r>
            <w:r>
              <w:rPr>
                <w:noProof/>
                <w:szCs w:val="22"/>
                <w:lang w:eastAsia="en-AU"/>
              </w:rPr>
              <w:t>business</w:t>
            </w:r>
            <w:r w:rsidRPr="007F2EC1">
              <w:rPr>
                <w:noProof/>
                <w:szCs w:val="22"/>
                <w:lang w:eastAsia="en-AU"/>
              </w:rPr>
              <w:t xml:space="preserve"> action</w:t>
            </w:r>
            <w:r>
              <w:rPr>
                <w:noProof/>
                <w:szCs w:val="22"/>
                <w:lang w:eastAsia="en-AU"/>
              </w:rPr>
              <w:t xml:space="preserve"> completed.</w:t>
            </w:r>
          </w:p>
          <w:p w14:paraId="7AEF2577" w14:textId="4C83831C" w:rsidR="008D283A" w:rsidRPr="004A453A" w:rsidRDefault="008D283A" w:rsidP="002215E0">
            <w:pPr>
              <w:pStyle w:val="Tablesub-heading"/>
              <w:rPr>
                <w:b w:val="0"/>
              </w:rPr>
            </w:pPr>
          </w:p>
        </w:tc>
        <w:tc>
          <w:tcPr>
            <w:tcW w:w="3519" w:type="pct"/>
            <w:tcBorders>
              <w:top w:val="single" w:sz="6" w:space="0" w:color="C0C0C0"/>
              <w:bottom w:val="single" w:sz="6" w:space="0" w:color="C0C0C0"/>
            </w:tcBorders>
            <w:shd w:val="clear" w:color="auto" w:fill="auto"/>
          </w:tcPr>
          <w:p w14:paraId="437D4024" w14:textId="78D2E4A9" w:rsidR="008D283A" w:rsidRPr="004A453A" w:rsidRDefault="008D283A" w:rsidP="002215E0">
            <w:pPr>
              <w:pStyle w:val="Tablesub-heading"/>
              <w:rPr>
                <w:b w:val="0"/>
                <w:szCs w:val="22"/>
              </w:rPr>
            </w:pPr>
            <w:r>
              <w:lastRenderedPageBreak/>
              <w:t xml:space="preserve">Date authorised: </w:t>
            </w:r>
            <w:r w:rsidR="00067BF0">
              <w:rPr>
                <w:b w:val="0"/>
              </w:rPr>
              <w:t>15 December 2023</w:t>
            </w:r>
          </w:p>
          <w:p w14:paraId="37126CEF" w14:textId="77777777" w:rsidR="008D283A" w:rsidRPr="00634D63" w:rsidRDefault="008D283A" w:rsidP="002215E0">
            <w:pPr>
              <w:pStyle w:val="Heading2"/>
            </w:pPr>
            <w:r w:rsidRPr="00634D63">
              <w:t>Why are these records created:</w:t>
            </w:r>
          </w:p>
          <w:p w14:paraId="7F602D2F" w14:textId="74F1037E" w:rsidR="00743FAF" w:rsidRDefault="00743FAF" w:rsidP="00743FAF">
            <w:pPr>
              <w:pStyle w:val="Tablesub-heading"/>
              <w:rPr>
                <w:b w:val="0"/>
                <w:noProof/>
                <w:szCs w:val="22"/>
              </w:rPr>
            </w:pPr>
            <w:r w:rsidRPr="00057427">
              <w:rPr>
                <w:b w:val="0"/>
                <w:noProof/>
                <w:szCs w:val="22"/>
              </w:rPr>
              <w:t xml:space="preserve">Under relevant legislation, registers of </w:t>
            </w:r>
            <w:r>
              <w:rPr>
                <w:b w:val="0"/>
                <w:noProof/>
                <w:szCs w:val="22"/>
              </w:rPr>
              <w:t xml:space="preserve">those </w:t>
            </w:r>
            <w:r w:rsidRPr="00057427">
              <w:rPr>
                <w:b w:val="0"/>
                <w:noProof/>
                <w:szCs w:val="22"/>
              </w:rPr>
              <w:t>associated with the building industry (e.g. developers</w:t>
            </w:r>
            <w:r>
              <w:rPr>
                <w:b w:val="0"/>
                <w:noProof/>
                <w:szCs w:val="22"/>
              </w:rPr>
              <w:t>,   owner builders, pool inspectors</w:t>
            </w:r>
            <w:r w:rsidRPr="00057427">
              <w:rPr>
                <w:b w:val="0"/>
                <w:noProof/>
                <w:szCs w:val="22"/>
              </w:rPr>
              <w:t>) must b</w:t>
            </w:r>
            <w:r>
              <w:rPr>
                <w:b w:val="0"/>
                <w:noProof/>
                <w:szCs w:val="22"/>
              </w:rPr>
              <w:t>e</w:t>
            </w:r>
            <w:r w:rsidRPr="00057427">
              <w:rPr>
                <w:b w:val="0"/>
                <w:noProof/>
                <w:szCs w:val="22"/>
              </w:rPr>
              <w:t xml:space="preserve"> kept by the agency. Registers can include particulars in relation to each licensee or person (e.g. name, business address, licence details etc.) and also any disciplinary related information (e.g. directions to rectify, infring</w:t>
            </w:r>
            <w:r>
              <w:rPr>
                <w:b w:val="0"/>
                <w:noProof/>
                <w:szCs w:val="22"/>
              </w:rPr>
              <w:t>e</w:t>
            </w:r>
            <w:r w:rsidRPr="00057427">
              <w:rPr>
                <w:b w:val="0"/>
                <w:noProof/>
                <w:szCs w:val="22"/>
              </w:rPr>
              <w:t>ment notices for offences, demerit points, cancellations, supensions etc.)  The registers are kept electronically and are continually updated and amended – under relevant legislation</w:t>
            </w:r>
            <w:r>
              <w:rPr>
                <w:b w:val="0"/>
                <w:noProof/>
                <w:szCs w:val="22"/>
              </w:rPr>
              <w:t xml:space="preserve">, </w:t>
            </w:r>
            <w:r w:rsidRPr="00057427">
              <w:rPr>
                <w:b w:val="0"/>
                <w:noProof/>
                <w:szCs w:val="22"/>
              </w:rPr>
              <w:t>notes (e.g. directions to rec</w:t>
            </w:r>
            <w:r w:rsidR="00917F5B">
              <w:rPr>
                <w:b w:val="0"/>
                <w:noProof/>
                <w:szCs w:val="22"/>
              </w:rPr>
              <w:t>tify</w:t>
            </w:r>
            <w:r w:rsidRPr="00057427">
              <w:rPr>
                <w:b w:val="0"/>
                <w:noProof/>
                <w:szCs w:val="22"/>
              </w:rPr>
              <w:t>, infringement notices etc</w:t>
            </w:r>
            <w:r>
              <w:rPr>
                <w:b w:val="0"/>
                <w:noProof/>
                <w:szCs w:val="22"/>
              </w:rPr>
              <w:t>.</w:t>
            </w:r>
            <w:r w:rsidRPr="00057427">
              <w:rPr>
                <w:b w:val="0"/>
                <w:noProof/>
                <w:szCs w:val="22"/>
              </w:rPr>
              <w:t xml:space="preserve">), must </w:t>
            </w:r>
            <w:r>
              <w:rPr>
                <w:b w:val="0"/>
                <w:noProof/>
                <w:szCs w:val="22"/>
              </w:rPr>
              <w:t xml:space="preserve">                                                         </w:t>
            </w:r>
            <w:r w:rsidRPr="00057427">
              <w:rPr>
                <w:b w:val="0"/>
                <w:noProof/>
                <w:szCs w:val="22"/>
              </w:rPr>
              <w:t>be</w:t>
            </w:r>
            <w:r>
              <w:rPr>
                <w:b w:val="0"/>
                <w:noProof/>
                <w:szCs w:val="22"/>
              </w:rPr>
              <w:t xml:space="preserve"> </w:t>
            </w:r>
            <w:r w:rsidRPr="00057427">
              <w:rPr>
                <w:b w:val="0"/>
                <w:noProof/>
                <w:szCs w:val="22"/>
              </w:rPr>
              <w:t xml:space="preserve">removed from the register after varying time periods.  </w:t>
            </w:r>
          </w:p>
          <w:p w14:paraId="27B25FB5" w14:textId="77777777" w:rsidR="00743FAF" w:rsidRPr="00057427" w:rsidRDefault="00743FAF" w:rsidP="00743FAF">
            <w:pPr>
              <w:pStyle w:val="Tablesub-heading"/>
              <w:rPr>
                <w:b w:val="0"/>
                <w:noProof/>
                <w:szCs w:val="22"/>
              </w:rPr>
            </w:pPr>
            <w:r w:rsidRPr="00057427">
              <w:rPr>
                <w:b w:val="0"/>
                <w:noProof/>
                <w:szCs w:val="22"/>
              </w:rPr>
              <w:t xml:space="preserve">Registers created and maintained in accordance with the relevant Act are available on the agency website for the general public to search. </w:t>
            </w:r>
          </w:p>
          <w:p w14:paraId="215F6CA1" w14:textId="77777777" w:rsidR="008D283A" w:rsidRPr="00634D63" w:rsidRDefault="008D283A" w:rsidP="002215E0">
            <w:pPr>
              <w:pStyle w:val="Heading2"/>
            </w:pPr>
            <w:r w:rsidRPr="00634D63">
              <w:t>Why the records are retained for this retention period:</w:t>
            </w:r>
          </w:p>
          <w:p w14:paraId="64D71D86" w14:textId="6C040612" w:rsidR="008D283A" w:rsidRPr="00743FAF" w:rsidRDefault="00743FAF" w:rsidP="00743FAF">
            <w:pPr>
              <w:rPr>
                <w:noProof/>
              </w:rPr>
            </w:pPr>
            <w:r w:rsidRPr="00057427">
              <w:rPr>
                <w:noProof/>
              </w:rPr>
              <w:lastRenderedPageBreak/>
              <w:t xml:space="preserve">The registers </w:t>
            </w:r>
            <w:r>
              <w:rPr>
                <w:noProof/>
              </w:rPr>
              <w:t xml:space="preserve">provide information concerning registration details and/or history of other industry practitioners </w:t>
            </w:r>
            <w:r w:rsidRPr="00057427">
              <w:rPr>
                <w:noProof/>
              </w:rPr>
              <w:t xml:space="preserve">in </w:t>
            </w:r>
            <w:r>
              <w:rPr>
                <w:noProof/>
              </w:rPr>
              <w:t>the State</w:t>
            </w:r>
            <w:r w:rsidRPr="00057427">
              <w:rPr>
                <w:noProof/>
              </w:rPr>
              <w:t xml:space="preserve">. They provide a good source of information on the practice of regulating </w:t>
            </w:r>
            <w:r>
              <w:rPr>
                <w:noProof/>
              </w:rPr>
              <w:t xml:space="preserve">                                                                                          t</w:t>
            </w:r>
            <w:r w:rsidRPr="00057427">
              <w:rPr>
                <w:noProof/>
              </w:rPr>
              <w:t xml:space="preserve">he building and construction industry in Queensland. </w:t>
            </w:r>
            <w:r w:rsidR="008D283A">
              <w:rPr>
                <w:b/>
                <w:szCs w:val="22"/>
              </w:rPr>
              <w:t xml:space="preserve"> </w:t>
            </w:r>
          </w:p>
          <w:p w14:paraId="2B9490FF" w14:textId="77777777" w:rsidR="008D283A" w:rsidRPr="00634D63" w:rsidRDefault="008D283A" w:rsidP="002215E0">
            <w:pPr>
              <w:pStyle w:val="Heading2"/>
            </w:pPr>
            <w:r w:rsidRPr="00634D63">
              <w:t>Applicable legislation/standards:</w:t>
            </w:r>
          </w:p>
          <w:p w14:paraId="462D179C" w14:textId="77777777" w:rsidR="00743FAF" w:rsidRPr="001E27B1" w:rsidRDefault="00743FAF" w:rsidP="00743FAF">
            <w:pPr>
              <w:pStyle w:val="Tablesub-heading"/>
              <w:rPr>
                <w:b w:val="0"/>
                <w:szCs w:val="22"/>
              </w:rPr>
            </w:pPr>
            <w:r w:rsidRPr="00803790">
              <w:rPr>
                <w:b w:val="0"/>
                <w:noProof/>
                <w:szCs w:val="22"/>
              </w:rPr>
              <w:t xml:space="preserve">See the list of applicable legislation and standards for public records created, kept and managed by the </w:t>
            </w:r>
            <w:r>
              <w:rPr>
                <w:b w:val="0"/>
                <w:noProof/>
                <w:szCs w:val="22"/>
              </w:rPr>
              <w:t>Building and Construction sector</w:t>
            </w:r>
            <w:r w:rsidRPr="00803790">
              <w:rPr>
                <w:b w:val="0"/>
                <w:noProof/>
                <w:szCs w:val="22"/>
              </w:rPr>
              <w:t xml:space="preserve"> located at the beginning of this appraisal log</w:t>
            </w:r>
            <w:r>
              <w:rPr>
                <w:b w:val="0"/>
                <w:noProof/>
                <w:szCs w:val="22"/>
              </w:rPr>
              <w:t>.</w:t>
            </w:r>
          </w:p>
          <w:p w14:paraId="10728E3F" w14:textId="77777777" w:rsidR="008D283A" w:rsidRPr="00634D63" w:rsidRDefault="008D283A" w:rsidP="002215E0">
            <w:pPr>
              <w:pStyle w:val="Heading2"/>
            </w:pPr>
            <w:r w:rsidRPr="00634D63">
              <w:t xml:space="preserve">Comparison with other schedules' retention period: </w:t>
            </w:r>
          </w:p>
          <w:p w14:paraId="150580F4" w14:textId="77777777" w:rsidR="00743FAF" w:rsidRPr="009A33B0" w:rsidRDefault="00743FAF" w:rsidP="00FE28CC">
            <w:pPr>
              <w:pStyle w:val="Tablesub-heading"/>
              <w:rPr>
                <w:b w:val="0"/>
                <w:noProof/>
                <w:szCs w:val="22"/>
              </w:rPr>
            </w:pPr>
            <w:r w:rsidRPr="00FE28CC">
              <w:rPr>
                <w:b w:val="0"/>
                <w:i/>
                <w:iCs/>
                <w:noProof/>
                <w:szCs w:val="22"/>
              </w:rPr>
              <w:t xml:space="preserve">PROS 97/08, variation 7, Victorian Building Commission, </w:t>
            </w:r>
            <w:r w:rsidRPr="009A33B0">
              <w:rPr>
                <w:b w:val="0"/>
                <w:noProof/>
                <w:szCs w:val="22"/>
              </w:rPr>
              <w:t>3.3 – Owner Builder Public Register – Destroy 10 years after action completed - as issued by Public Record Office Victoria (PROV)</w:t>
            </w:r>
          </w:p>
          <w:p w14:paraId="0F30D833" w14:textId="77777777" w:rsidR="00743FAF" w:rsidRPr="009A33B0" w:rsidRDefault="00743FAF" w:rsidP="00FE28CC">
            <w:pPr>
              <w:pStyle w:val="Tablesub-heading"/>
              <w:rPr>
                <w:b w:val="0"/>
                <w:noProof/>
                <w:szCs w:val="22"/>
              </w:rPr>
            </w:pPr>
            <w:r w:rsidRPr="00FE28CC">
              <w:rPr>
                <w:b w:val="0"/>
                <w:i/>
                <w:iCs/>
                <w:noProof/>
                <w:szCs w:val="22"/>
              </w:rPr>
              <w:t xml:space="preserve">PROS 96/10, GRDA for Prison Records, </w:t>
            </w:r>
            <w:r w:rsidRPr="009A33B0">
              <w:rPr>
                <w:b w:val="0"/>
                <w:noProof/>
                <w:szCs w:val="22"/>
              </w:rPr>
              <w:t>12.1.2 – Register of Prisoners’ Telephone Calls – Destroy 7 years after last entry - as issued by Public Record Office Victoria (PROV).</w:t>
            </w:r>
          </w:p>
          <w:p w14:paraId="5FE2E1E9" w14:textId="77777777" w:rsidR="00743FAF" w:rsidRPr="009A33B0" w:rsidRDefault="00743FAF" w:rsidP="00743FAF">
            <w:pPr>
              <w:pStyle w:val="Tablesub-heading"/>
              <w:rPr>
                <w:b w:val="0"/>
                <w:noProof/>
                <w:szCs w:val="22"/>
              </w:rPr>
            </w:pPr>
            <w:r w:rsidRPr="00650BB9">
              <w:rPr>
                <w:b w:val="0"/>
                <w:i/>
                <w:iCs/>
                <w:noProof/>
                <w:szCs w:val="22"/>
              </w:rPr>
              <w:t>GA47 – Higher &amp; Further Education and Research,</w:t>
            </w:r>
            <w:r w:rsidRPr="00FE28CC">
              <w:rPr>
                <w:b w:val="0"/>
                <w:i/>
                <w:iCs/>
                <w:noProof/>
                <w:szCs w:val="22"/>
              </w:rPr>
              <w:t xml:space="preserve"> </w:t>
            </w:r>
            <w:r w:rsidRPr="009A33B0">
              <w:rPr>
                <w:b w:val="0"/>
                <w:noProof/>
                <w:szCs w:val="22"/>
              </w:rPr>
              <w:t>6.0.3 – Register of Commercial Activities – Retain for 7 years after superseded - as issued by the NSW State Archive &amp; Records Authority (SARA).</w:t>
            </w:r>
          </w:p>
          <w:p w14:paraId="22F89D4D" w14:textId="77777777" w:rsidR="008D283A" w:rsidRPr="00634D63" w:rsidRDefault="008D283A" w:rsidP="002215E0">
            <w:pPr>
              <w:pStyle w:val="Heading2"/>
            </w:pPr>
            <w:r w:rsidRPr="00634D63">
              <w:t>Previous schedule references:</w:t>
            </w:r>
          </w:p>
          <w:p w14:paraId="63CEB995" w14:textId="77777777" w:rsidR="00743FAF" w:rsidRPr="007F2EC1" w:rsidRDefault="00743FAF" w:rsidP="00743FAF">
            <w:pPr>
              <w:rPr>
                <w:noProof/>
                <w:szCs w:val="22"/>
                <w:lang w:eastAsia="en-AU"/>
              </w:rPr>
            </w:pPr>
            <w:r w:rsidRPr="007F2EC1">
              <w:rPr>
                <w:i/>
                <w:iCs/>
                <w:noProof/>
                <w:szCs w:val="22"/>
                <w:lang w:eastAsia="en-AU"/>
              </w:rPr>
              <w:t>QDAN 185 v.2 Queensland Building and Construction Commission retention and disposal schedule</w:t>
            </w:r>
            <w:r w:rsidRPr="007F2EC1">
              <w:rPr>
                <w:noProof/>
                <w:szCs w:val="22"/>
                <w:lang w:eastAsia="en-AU"/>
              </w:rPr>
              <w:t xml:space="preserve">: </w:t>
            </w:r>
          </w:p>
          <w:p w14:paraId="0CB27BFF" w14:textId="77777777" w:rsidR="00743FAF" w:rsidRPr="007F2EC1" w:rsidRDefault="00743FAF" w:rsidP="00500F64">
            <w:pPr>
              <w:numPr>
                <w:ilvl w:val="0"/>
                <w:numId w:val="20"/>
              </w:numPr>
              <w:rPr>
                <w:noProof/>
                <w:szCs w:val="22"/>
                <w:lang w:eastAsia="en-AU"/>
              </w:rPr>
            </w:pPr>
            <w:r w:rsidRPr="007F2EC1">
              <w:rPr>
                <w:noProof/>
                <w:szCs w:val="22"/>
                <w:lang w:eastAsia="en-AU"/>
              </w:rPr>
              <w:t xml:space="preserve">1.2.6 Other </w:t>
            </w:r>
            <w:r>
              <w:rPr>
                <w:noProof/>
                <w:szCs w:val="22"/>
                <w:lang w:eastAsia="en-AU"/>
              </w:rPr>
              <w:t>R</w:t>
            </w:r>
            <w:r w:rsidRPr="007F2EC1">
              <w:rPr>
                <w:noProof/>
                <w:szCs w:val="22"/>
                <w:lang w:eastAsia="en-AU"/>
              </w:rPr>
              <w:t>egisters – retain for 20 years after last action</w:t>
            </w:r>
            <w:r>
              <w:rPr>
                <w:noProof/>
                <w:szCs w:val="22"/>
                <w:lang w:eastAsia="en-AU"/>
              </w:rPr>
              <w:t>.</w:t>
            </w:r>
          </w:p>
          <w:p w14:paraId="36B74553" w14:textId="364BAA92" w:rsidR="008D283A" w:rsidRPr="00743FAF" w:rsidRDefault="00743FAF" w:rsidP="00500F64">
            <w:pPr>
              <w:pStyle w:val="Tablesub-heading"/>
              <w:numPr>
                <w:ilvl w:val="0"/>
                <w:numId w:val="20"/>
              </w:numPr>
              <w:rPr>
                <w:b w:val="0"/>
                <w:bCs/>
                <w:szCs w:val="22"/>
              </w:rPr>
            </w:pPr>
            <w:r w:rsidRPr="00743FAF">
              <w:rPr>
                <w:b w:val="0"/>
                <w:bCs/>
                <w:noProof/>
                <w:szCs w:val="22"/>
              </w:rPr>
              <w:t>1.3.2 Licenced Building Certifier Register – retain for 20 years after last action.</w:t>
            </w:r>
          </w:p>
        </w:tc>
      </w:tr>
      <w:tr w:rsidR="008D283A" w:rsidRPr="004A453A" w14:paraId="5B590651" w14:textId="77777777" w:rsidTr="00384B0E">
        <w:tc>
          <w:tcPr>
            <w:tcW w:w="567" w:type="pct"/>
            <w:tcBorders>
              <w:top w:val="single" w:sz="6" w:space="0" w:color="C0C0C0"/>
              <w:bottom w:val="single" w:sz="6" w:space="0" w:color="C0C0C0"/>
            </w:tcBorders>
            <w:shd w:val="clear" w:color="auto" w:fill="auto"/>
          </w:tcPr>
          <w:p w14:paraId="736A8FCE" w14:textId="2C7F34F5" w:rsidR="008D283A" w:rsidRPr="004A453A" w:rsidRDefault="00EB2F82" w:rsidP="002215E0">
            <w:pPr>
              <w:pStyle w:val="Tablesub-heading"/>
              <w:rPr>
                <w:b w:val="0"/>
                <w:szCs w:val="22"/>
              </w:rPr>
            </w:pPr>
            <w:r>
              <w:rPr>
                <w:b w:val="0"/>
                <w:szCs w:val="22"/>
              </w:rPr>
              <w:t>2776</w:t>
            </w:r>
          </w:p>
        </w:tc>
        <w:tc>
          <w:tcPr>
            <w:tcW w:w="914" w:type="pct"/>
            <w:tcBorders>
              <w:top w:val="single" w:sz="6" w:space="0" w:color="C0C0C0"/>
              <w:bottom w:val="single" w:sz="6" w:space="0" w:color="C0C0C0"/>
            </w:tcBorders>
            <w:shd w:val="clear" w:color="auto" w:fill="auto"/>
          </w:tcPr>
          <w:p w14:paraId="309BFF3C" w14:textId="77777777" w:rsidR="00A85C66" w:rsidRPr="00634D63" w:rsidRDefault="00A85C66" w:rsidP="00A85C66">
            <w:pPr>
              <w:pStyle w:val="Heading3"/>
            </w:pPr>
            <w:r>
              <w:rPr>
                <w:noProof/>
              </w:rPr>
              <w:t>Complaints,  Investigations</w:t>
            </w:r>
            <w:r w:rsidDel="00490A77">
              <w:rPr>
                <w:noProof/>
              </w:rPr>
              <w:t xml:space="preserve"> </w:t>
            </w:r>
            <w:r>
              <w:rPr>
                <w:noProof/>
              </w:rPr>
              <w:t xml:space="preserve">and Audits </w:t>
            </w:r>
          </w:p>
          <w:p w14:paraId="0FFFEEC8" w14:textId="5DAAFD50" w:rsidR="00A85C66" w:rsidRDefault="00A85C66" w:rsidP="00A85C66">
            <w:pPr>
              <w:pStyle w:val="Tablesub-heading"/>
              <w:rPr>
                <w:b w:val="0"/>
                <w:szCs w:val="22"/>
              </w:rPr>
            </w:pPr>
            <w:r>
              <w:rPr>
                <w:b w:val="0"/>
                <w:noProof/>
                <w:szCs w:val="22"/>
              </w:rPr>
              <w:t xml:space="preserve">Records relating to the investigation of offences under the </w:t>
            </w:r>
            <w:r w:rsidRPr="009A33B0">
              <w:rPr>
                <w:b w:val="0"/>
                <w:i/>
                <w:iCs/>
                <w:noProof/>
                <w:szCs w:val="22"/>
              </w:rPr>
              <w:t>Queensland Building &amp; Construction Commission Act 1991</w:t>
            </w:r>
            <w:r>
              <w:rPr>
                <w:b w:val="0"/>
                <w:noProof/>
                <w:szCs w:val="22"/>
              </w:rPr>
              <w:t xml:space="preserve">, </w:t>
            </w:r>
            <w:r w:rsidR="0025587A">
              <w:rPr>
                <w:b w:val="0"/>
                <w:noProof/>
                <w:szCs w:val="22"/>
              </w:rPr>
              <w:t xml:space="preserve">the </w:t>
            </w:r>
            <w:r w:rsidRPr="009A33B0">
              <w:rPr>
                <w:b w:val="0"/>
                <w:i/>
                <w:iCs/>
                <w:noProof/>
                <w:szCs w:val="22"/>
              </w:rPr>
              <w:t>Building Industry Fairness Act 2017</w:t>
            </w:r>
            <w:r>
              <w:rPr>
                <w:b w:val="0"/>
                <w:noProof/>
                <w:szCs w:val="22"/>
              </w:rPr>
              <w:t xml:space="preserve"> and the </w:t>
            </w:r>
            <w:r w:rsidRPr="009A33B0">
              <w:rPr>
                <w:b w:val="0"/>
                <w:i/>
                <w:iCs/>
                <w:noProof/>
                <w:szCs w:val="22"/>
              </w:rPr>
              <w:t>Plumbing and Drainage Act 2018</w:t>
            </w:r>
            <w:r>
              <w:rPr>
                <w:b w:val="0"/>
                <w:noProof/>
                <w:szCs w:val="22"/>
              </w:rPr>
              <w:t xml:space="preserve">. Includes records relating </w:t>
            </w:r>
            <w:r>
              <w:rPr>
                <w:b w:val="0"/>
                <w:noProof/>
                <w:szCs w:val="22"/>
              </w:rPr>
              <w:lastRenderedPageBreak/>
              <w:t>to monitoring of enforcement of compliance.</w:t>
            </w:r>
          </w:p>
          <w:p w14:paraId="73F395BE" w14:textId="77777777" w:rsidR="008D283A" w:rsidRPr="00634D63" w:rsidRDefault="008D283A" w:rsidP="002215E0">
            <w:pPr>
              <w:pStyle w:val="Heading2"/>
            </w:pPr>
            <w:r w:rsidRPr="00634D63">
              <w:t xml:space="preserve">Disposal action – </w:t>
            </w:r>
          </w:p>
          <w:p w14:paraId="62C4810C" w14:textId="5A2B8E04" w:rsidR="008D283A" w:rsidRPr="004A453A" w:rsidRDefault="00A85C66" w:rsidP="002215E0">
            <w:pPr>
              <w:pStyle w:val="Tablesub-heading"/>
              <w:rPr>
                <w:b w:val="0"/>
              </w:rPr>
            </w:pPr>
            <w:r>
              <w:rPr>
                <w:b w:val="0"/>
                <w:noProof/>
              </w:rPr>
              <w:t>7 years after business action completed.</w:t>
            </w:r>
          </w:p>
        </w:tc>
        <w:tc>
          <w:tcPr>
            <w:tcW w:w="3519" w:type="pct"/>
            <w:tcBorders>
              <w:top w:val="single" w:sz="6" w:space="0" w:color="C0C0C0"/>
              <w:bottom w:val="single" w:sz="6" w:space="0" w:color="C0C0C0"/>
            </w:tcBorders>
            <w:shd w:val="clear" w:color="auto" w:fill="auto"/>
          </w:tcPr>
          <w:p w14:paraId="2797A046" w14:textId="2E3CC842" w:rsidR="008D283A" w:rsidRPr="004A453A" w:rsidRDefault="008D283A" w:rsidP="002215E0">
            <w:pPr>
              <w:pStyle w:val="Tablesub-heading"/>
              <w:rPr>
                <w:b w:val="0"/>
                <w:szCs w:val="22"/>
              </w:rPr>
            </w:pPr>
            <w:r>
              <w:lastRenderedPageBreak/>
              <w:t xml:space="preserve">Date authorised: </w:t>
            </w:r>
            <w:r w:rsidR="00067BF0">
              <w:rPr>
                <w:b w:val="0"/>
              </w:rPr>
              <w:t>15 December 2023</w:t>
            </w:r>
          </w:p>
          <w:p w14:paraId="7EEC5B04" w14:textId="77777777" w:rsidR="008D283A" w:rsidRPr="00634D63" w:rsidRDefault="008D283A" w:rsidP="002215E0">
            <w:pPr>
              <w:pStyle w:val="Heading2"/>
            </w:pPr>
            <w:r w:rsidRPr="00634D63">
              <w:t>Why are these records created:</w:t>
            </w:r>
          </w:p>
          <w:p w14:paraId="2D059347" w14:textId="77777777" w:rsidR="00E255EE" w:rsidRPr="009B5F3D" w:rsidRDefault="00E255EE" w:rsidP="00E255EE">
            <w:pPr>
              <w:pStyle w:val="Tablesub-heading"/>
              <w:rPr>
                <w:b w:val="0"/>
                <w:bCs/>
                <w:szCs w:val="22"/>
              </w:rPr>
            </w:pPr>
            <w:r>
              <w:rPr>
                <w:b w:val="0"/>
                <w:noProof/>
                <w:szCs w:val="22"/>
              </w:rPr>
              <w:t>Records used to assess and investigate complaints and monitor compliance through regulatory audits and statutory reporting. Also supports decisions made by providing evidence of compliance outcomes and requirements.</w:t>
            </w:r>
            <w:r>
              <w:rPr>
                <w:b w:val="0"/>
                <w:szCs w:val="22"/>
              </w:rPr>
              <w:t xml:space="preserve"> </w:t>
            </w:r>
          </w:p>
          <w:p w14:paraId="49EFDEDD" w14:textId="77777777" w:rsidR="00E255EE" w:rsidRDefault="00E255EE" w:rsidP="00E255EE">
            <w:pPr>
              <w:pStyle w:val="Tablesub-heading"/>
              <w:shd w:val="clear" w:color="auto" w:fill="FFFFFF"/>
              <w:rPr>
                <w:b w:val="0"/>
                <w:bCs/>
              </w:rPr>
            </w:pPr>
            <w:r w:rsidRPr="009B5F3D">
              <w:rPr>
                <w:b w:val="0"/>
                <w:bCs/>
              </w:rPr>
              <w:t xml:space="preserve">Audit records are created </w:t>
            </w:r>
            <w:r>
              <w:rPr>
                <w:b w:val="0"/>
                <w:bCs/>
              </w:rPr>
              <w:t xml:space="preserve">to support </w:t>
            </w:r>
            <w:r w:rsidRPr="009B5F3D">
              <w:rPr>
                <w:b w:val="0"/>
                <w:bCs/>
              </w:rPr>
              <w:t xml:space="preserve">quality management processes, management controls and operational processes for compliance to </w:t>
            </w:r>
            <w:r>
              <w:rPr>
                <w:b w:val="0"/>
                <w:bCs/>
              </w:rPr>
              <w:t>Commonwealth and S</w:t>
            </w:r>
            <w:r w:rsidRPr="009B5F3D">
              <w:rPr>
                <w:b w:val="0"/>
                <w:bCs/>
              </w:rPr>
              <w:t>tate regimes as per audit assessment requirements and criteria.</w:t>
            </w:r>
          </w:p>
          <w:p w14:paraId="1245967C" w14:textId="77777777" w:rsidR="00E255EE" w:rsidRPr="007E0D3B" w:rsidRDefault="00E255EE" w:rsidP="00E255EE">
            <w:pPr>
              <w:pStyle w:val="Tablesub-heading"/>
              <w:shd w:val="clear" w:color="auto" w:fill="FFFFFF"/>
              <w:rPr>
                <w:b w:val="0"/>
                <w:bCs/>
              </w:rPr>
            </w:pPr>
            <w:r w:rsidRPr="007E0D3B">
              <w:rPr>
                <w:b w:val="0"/>
                <w:bCs/>
              </w:rPr>
              <w:t>Investigation records are created as part of compliance enforcement processes, where a</w:t>
            </w:r>
            <w:r>
              <w:rPr>
                <w:b w:val="0"/>
                <w:bCs/>
              </w:rPr>
              <w:t xml:space="preserve"> duly authorised </w:t>
            </w:r>
            <w:r w:rsidRPr="007E0D3B">
              <w:rPr>
                <w:b w:val="0"/>
                <w:bCs/>
              </w:rPr>
              <w:t>officer finds cause or evidence to open a case to investigate further</w:t>
            </w:r>
            <w:r>
              <w:rPr>
                <w:b w:val="0"/>
                <w:bCs/>
              </w:rPr>
              <w:t xml:space="preserve"> </w:t>
            </w:r>
            <w:r w:rsidRPr="007E0D3B">
              <w:rPr>
                <w:b w:val="0"/>
                <w:bCs/>
              </w:rPr>
              <w:t xml:space="preserve">with a view to successfully prosecute </w:t>
            </w:r>
            <w:r w:rsidRPr="007E0D3B">
              <w:rPr>
                <w:b w:val="0"/>
                <w:bCs/>
              </w:rPr>
              <w:lastRenderedPageBreak/>
              <w:t xml:space="preserve">for an offence under relevant legislation. </w:t>
            </w:r>
            <w:r>
              <w:rPr>
                <w:b w:val="0"/>
                <w:bCs/>
              </w:rPr>
              <w:t xml:space="preserve">For more serious matters, a case may </w:t>
            </w:r>
            <w:r w:rsidRPr="007E0D3B">
              <w:rPr>
                <w:b w:val="0"/>
                <w:bCs/>
              </w:rPr>
              <w:t>proceed</w:t>
            </w:r>
            <w:r>
              <w:rPr>
                <w:b w:val="0"/>
                <w:bCs/>
              </w:rPr>
              <w:t xml:space="preserve"> </w:t>
            </w:r>
            <w:r w:rsidRPr="007E0D3B">
              <w:rPr>
                <w:b w:val="0"/>
                <w:bCs/>
              </w:rPr>
              <w:t xml:space="preserve">to prosecution if </w:t>
            </w:r>
            <w:r>
              <w:rPr>
                <w:b w:val="0"/>
                <w:bCs/>
              </w:rPr>
              <w:t xml:space="preserve">there is strong evidence of the offence/s </w:t>
            </w:r>
            <w:r w:rsidRPr="007E0D3B">
              <w:rPr>
                <w:b w:val="0"/>
                <w:bCs/>
              </w:rPr>
              <w:t>and is likely to succeed through the courts</w:t>
            </w:r>
            <w:r>
              <w:rPr>
                <w:b w:val="0"/>
                <w:bCs/>
              </w:rPr>
              <w:t>.</w:t>
            </w:r>
          </w:p>
          <w:p w14:paraId="12AAD07E" w14:textId="77777777" w:rsidR="00E255EE" w:rsidRPr="007E0D3B" w:rsidRDefault="00E255EE" w:rsidP="00E255EE">
            <w:pPr>
              <w:pStyle w:val="Tablesub-heading"/>
              <w:shd w:val="clear" w:color="auto" w:fill="FFFFFF"/>
              <w:rPr>
                <w:b w:val="0"/>
                <w:bCs/>
                <w:szCs w:val="22"/>
              </w:rPr>
            </w:pPr>
            <w:r>
              <w:rPr>
                <w:b w:val="0"/>
                <w:bCs/>
              </w:rPr>
              <w:t>Inspections and e</w:t>
            </w:r>
            <w:r w:rsidRPr="007E0D3B">
              <w:rPr>
                <w:b w:val="0"/>
                <w:bCs/>
              </w:rPr>
              <w:t>nforcement</w:t>
            </w:r>
            <w:r>
              <w:rPr>
                <w:b w:val="0"/>
                <w:bCs/>
              </w:rPr>
              <w:t xml:space="preserve"> are part of the investigation </w:t>
            </w:r>
            <w:r w:rsidRPr="007E0D3B">
              <w:rPr>
                <w:b w:val="0"/>
                <w:bCs/>
              </w:rPr>
              <w:t>process</w:t>
            </w:r>
            <w:r>
              <w:rPr>
                <w:b w:val="0"/>
                <w:bCs/>
              </w:rPr>
              <w:t xml:space="preserve"> </w:t>
            </w:r>
            <w:r w:rsidRPr="007E0D3B">
              <w:rPr>
                <w:b w:val="0"/>
                <w:bCs/>
              </w:rPr>
              <w:t>to ensure adherence to legislative requirements</w:t>
            </w:r>
            <w:r>
              <w:rPr>
                <w:b w:val="0"/>
                <w:bCs/>
              </w:rPr>
              <w:t xml:space="preserve"> </w:t>
            </w:r>
            <w:r w:rsidRPr="007E0D3B">
              <w:rPr>
                <w:b w:val="0"/>
                <w:bCs/>
              </w:rPr>
              <w:t>and take punitive action against offenders.</w:t>
            </w:r>
          </w:p>
          <w:p w14:paraId="01553259" w14:textId="77777777" w:rsidR="008D283A" w:rsidRPr="00634D63" w:rsidRDefault="008D283A" w:rsidP="002215E0">
            <w:pPr>
              <w:pStyle w:val="Heading2"/>
            </w:pPr>
            <w:r w:rsidRPr="00634D63">
              <w:t>Why the records are retained for this retention period:</w:t>
            </w:r>
          </w:p>
          <w:p w14:paraId="253418F6" w14:textId="77777777" w:rsidR="00E255EE" w:rsidRDefault="00E255EE" w:rsidP="00E255EE">
            <w:pPr>
              <w:pStyle w:val="Tablesub-heading"/>
              <w:shd w:val="clear" w:color="auto" w:fill="FFFFFF"/>
              <w:rPr>
                <w:b w:val="0"/>
                <w:bCs/>
              </w:rPr>
            </w:pPr>
            <w:r>
              <w:rPr>
                <w:b w:val="0"/>
                <w:bCs/>
              </w:rPr>
              <w:t>T</w:t>
            </w:r>
            <w:r w:rsidRPr="00E017C5">
              <w:rPr>
                <w:b w:val="0"/>
                <w:bCs/>
              </w:rPr>
              <w:t xml:space="preserve">hese records </w:t>
            </w:r>
            <w:r>
              <w:rPr>
                <w:b w:val="0"/>
                <w:bCs/>
              </w:rPr>
              <w:t xml:space="preserve">are created and need </w:t>
            </w:r>
            <w:r w:rsidRPr="00E017C5">
              <w:rPr>
                <w:b w:val="0"/>
                <w:bCs/>
              </w:rPr>
              <w:t>to be retained for 7 year</w:t>
            </w:r>
            <w:r>
              <w:rPr>
                <w:b w:val="0"/>
                <w:bCs/>
              </w:rPr>
              <w:t>s</w:t>
            </w:r>
            <w:r w:rsidRPr="00E017C5">
              <w:rPr>
                <w:b w:val="0"/>
                <w:bCs/>
              </w:rPr>
              <w:t xml:space="preserve"> as they</w:t>
            </w:r>
            <w:r>
              <w:rPr>
                <w:b w:val="0"/>
                <w:bCs/>
              </w:rPr>
              <w:t xml:space="preserve"> - </w:t>
            </w:r>
          </w:p>
          <w:p w14:paraId="5AAE4DC9" w14:textId="77777777" w:rsidR="00E255EE" w:rsidRDefault="00E255EE" w:rsidP="00500F64">
            <w:pPr>
              <w:pStyle w:val="Tablesub-heading"/>
              <w:numPr>
                <w:ilvl w:val="0"/>
                <w:numId w:val="21"/>
              </w:numPr>
              <w:shd w:val="clear" w:color="auto" w:fill="FFFFFF"/>
              <w:ind w:left="474" w:hanging="425"/>
              <w:rPr>
                <w:b w:val="0"/>
                <w:bCs/>
              </w:rPr>
            </w:pPr>
            <w:r>
              <w:rPr>
                <w:b w:val="0"/>
                <w:bCs/>
              </w:rPr>
              <w:t>S</w:t>
            </w:r>
            <w:r w:rsidRPr="00E017C5">
              <w:rPr>
                <w:b w:val="0"/>
                <w:bCs/>
              </w:rPr>
              <w:t xml:space="preserve">upport the decisions of the business by providing evidence of </w:t>
            </w:r>
            <w:r>
              <w:rPr>
                <w:rFonts w:cs="Arial"/>
                <w:b w:val="0"/>
                <w:bCs/>
              </w:rPr>
              <w:t>actions taken</w:t>
            </w:r>
            <w:r>
              <w:rPr>
                <w:b w:val="0"/>
                <w:bCs/>
              </w:rPr>
              <w:t xml:space="preserve"> and outcomes from </w:t>
            </w:r>
            <w:r w:rsidRPr="00E017C5">
              <w:rPr>
                <w:b w:val="0"/>
                <w:bCs/>
              </w:rPr>
              <w:t>compliance</w:t>
            </w:r>
            <w:r>
              <w:rPr>
                <w:b w:val="0"/>
                <w:bCs/>
              </w:rPr>
              <w:t xml:space="preserve"> and/or audit</w:t>
            </w:r>
            <w:r w:rsidRPr="006B53D8">
              <w:rPr>
                <w:b w:val="0"/>
                <w:bCs/>
              </w:rPr>
              <w:t xml:space="preserve"> </w:t>
            </w:r>
            <w:r>
              <w:rPr>
                <w:b w:val="0"/>
                <w:bCs/>
              </w:rPr>
              <w:t>activities.</w:t>
            </w:r>
          </w:p>
          <w:p w14:paraId="6BEB0F9A" w14:textId="77777777" w:rsidR="00E255EE" w:rsidRPr="00AB50F8" w:rsidRDefault="00E255EE" w:rsidP="00500F64">
            <w:pPr>
              <w:pStyle w:val="Tablesub-heading"/>
              <w:numPr>
                <w:ilvl w:val="0"/>
                <w:numId w:val="21"/>
              </w:numPr>
              <w:shd w:val="clear" w:color="auto" w:fill="FFFFFF"/>
              <w:ind w:left="474" w:hanging="425"/>
              <w:rPr>
                <w:b w:val="0"/>
                <w:bCs/>
                <w:szCs w:val="22"/>
              </w:rPr>
            </w:pPr>
            <w:r>
              <w:rPr>
                <w:b w:val="0"/>
                <w:bCs/>
              </w:rPr>
              <w:t>E</w:t>
            </w:r>
            <w:r w:rsidRPr="00E017C5">
              <w:rPr>
                <w:b w:val="0"/>
                <w:bCs/>
              </w:rPr>
              <w:t xml:space="preserve">nsure legal reference, including standard appeals of decisions, judicial review and other court processes under </w:t>
            </w:r>
            <w:r>
              <w:rPr>
                <w:b w:val="0"/>
                <w:bCs/>
              </w:rPr>
              <w:t xml:space="preserve">s.10 of </w:t>
            </w:r>
            <w:r w:rsidRPr="00E017C5">
              <w:rPr>
                <w:b w:val="0"/>
                <w:bCs/>
              </w:rPr>
              <w:t xml:space="preserve">the </w:t>
            </w:r>
            <w:r w:rsidRPr="009A33B0">
              <w:rPr>
                <w:b w:val="0"/>
                <w:bCs/>
                <w:i/>
                <w:iCs/>
              </w:rPr>
              <w:t>Limitation of Actions Act 1974</w:t>
            </w:r>
            <w:r>
              <w:rPr>
                <w:b w:val="0"/>
                <w:bCs/>
              </w:rPr>
              <w:t>.</w:t>
            </w:r>
          </w:p>
          <w:p w14:paraId="33C28341" w14:textId="77777777" w:rsidR="00E255EE" w:rsidRDefault="00E255EE" w:rsidP="00500F64">
            <w:pPr>
              <w:pStyle w:val="Tablesub-heading"/>
              <w:numPr>
                <w:ilvl w:val="0"/>
                <w:numId w:val="21"/>
              </w:numPr>
              <w:shd w:val="clear" w:color="auto" w:fill="FFFFFF"/>
              <w:ind w:left="474" w:hanging="425"/>
              <w:rPr>
                <w:b w:val="0"/>
                <w:bCs/>
              </w:rPr>
            </w:pPr>
            <w:r>
              <w:rPr>
                <w:b w:val="0"/>
                <w:bCs/>
              </w:rPr>
              <w:t>E</w:t>
            </w:r>
            <w:r w:rsidRPr="00AB50F8">
              <w:rPr>
                <w:b w:val="0"/>
                <w:bCs/>
              </w:rPr>
              <w:t>nsures that records are available for a sufficient period of time to be referred back to if required</w:t>
            </w:r>
            <w:r>
              <w:rPr>
                <w:b w:val="0"/>
                <w:bCs/>
              </w:rPr>
              <w:t>.</w:t>
            </w:r>
          </w:p>
          <w:p w14:paraId="3C793B60" w14:textId="09FADEBC" w:rsidR="008D283A" w:rsidRPr="00E255EE" w:rsidRDefault="00E255EE" w:rsidP="00500F64">
            <w:pPr>
              <w:pStyle w:val="Tablesub-heading"/>
              <w:numPr>
                <w:ilvl w:val="0"/>
                <w:numId w:val="21"/>
              </w:numPr>
              <w:shd w:val="clear" w:color="auto" w:fill="FFFFFF"/>
              <w:ind w:left="474" w:right="612" w:hanging="425"/>
              <w:rPr>
                <w:b w:val="0"/>
                <w:bCs/>
              </w:rPr>
            </w:pPr>
            <w:r>
              <w:rPr>
                <w:b w:val="0"/>
                <w:bCs/>
              </w:rPr>
              <w:t xml:space="preserve">Form </w:t>
            </w:r>
            <w:r w:rsidRPr="00E017C5">
              <w:rPr>
                <w:b w:val="0"/>
                <w:bCs/>
              </w:rPr>
              <w:t>part of monitoring programs</w:t>
            </w:r>
            <w:r>
              <w:rPr>
                <w:b w:val="0"/>
                <w:bCs/>
              </w:rPr>
              <w:t xml:space="preserve"> </w:t>
            </w:r>
            <w:r w:rsidRPr="00E017C5">
              <w:rPr>
                <w:b w:val="0"/>
                <w:bCs/>
              </w:rPr>
              <w:t>and conducting inspection or investigation processes</w:t>
            </w:r>
            <w:r>
              <w:rPr>
                <w:b w:val="0"/>
                <w:bCs/>
              </w:rPr>
              <w:t xml:space="preserve"> where </w:t>
            </w:r>
            <w:r w:rsidRPr="00E017C5">
              <w:rPr>
                <w:b w:val="0"/>
                <w:bCs/>
              </w:rPr>
              <w:t>on-the-spot notices</w:t>
            </w:r>
            <w:r>
              <w:rPr>
                <w:b w:val="0"/>
                <w:bCs/>
              </w:rPr>
              <w:t xml:space="preserve"> </w:t>
            </w:r>
            <w:r w:rsidRPr="00E017C5">
              <w:rPr>
                <w:b w:val="0"/>
                <w:bCs/>
              </w:rPr>
              <w:t xml:space="preserve">such as directives, orders, </w:t>
            </w:r>
            <w:r>
              <w:rPr>
                <w:b w:val="0"/>
                <w:bCs/>
              </w:rPr>
              <w:t xml:space="preserve">cautions, </w:t>
            </w:r>
            <w:r w:rsidRPr="00E017C5">
              <w:rPr>
                <w:b w:val="0"/>
                <w:bCs/>
              </w:rPr>
              <w:t>fines, penalties and exemptions</w:t>
            </w:r>
            <w:r>
              <w:rPr>
                <w:b w:val="0"/>
                <w:bCs/>
              </w:rPr>
              <w:t xml:space="preserve"> </w:t>
            </w:r>
            <w:r w:rsidRPr="00E017C5">
              <w:rPr>
                <w:b w:val="0"/>
                <w:bCs/>
              </w:rPr>
              <w:t xml:space="preserve">are </w:t>
            </w:r>
            <w:r>
              <w:rPr>
                <w:b w:val="0"/>
                <w:bCs/>
              </w:rPr>
              <w:t xml:space="preserve">duly </w:t>
            </w:r>
            <w:r w:rsidRPr="00E017C5">
              <w:rPr>
                <w:b w:val="0"/>
                <w:bCs/>
              </w:rPr>
              <w:t>issued</w:t>
            </w:r>
            <w:r>
              <w:rPr>
                <w:b w:val="0"/>
                <w:bCs/>
              </w:rPr>
              <w:t>.</w:t>
            </w:r>
            <w:r w:rsidR="008D283A" w:rsidRPr="00E255EE">
              <w:rPr>
                <w:b w:val="0"/>
                <w:szCs w:val="22"/>
              </w:rPr>
              <w:t xml:space="preserve"> </w:t>
            </w:r>
          </w:p>
          <w:p w14:paraId="11E7B0D0" w14:textId="77777777" w:rsidR="008D283A" w:rsidRPr="00634D63" w:rsidRDefault="008D283A" w:rsidP="002215E0">
            <w:pPr>
              <w:pStyle w:val="Heading2"/>
            </w:pPr>
            <w:r w:rsidRPr="00634D63">
              <w:t>Applicable legislation/standards:</w:t>
            </w:r>
          </w:p>
          <w:p w14:paraId="1737F85D" w14:textId="77777777" w:rsidR="00E255EE" w:rsidRDefault="00E255EE" w:rsidP="00E255EE">
            <w:pPr>
              <w:pStyle w:val="Heading2"/>
              <w:ind w:right="471"/>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p>
          <w:p w14:paraId="1F73D9DC" w14:textId="77777777" w:rsidR="008D283A" w:rsidRPr="00634D63" w:rsidRDefault="008D283A" w:rsidP="002215E0">
            <w:pPr>
              <w:pStyle w:val="Heading2"/>
            </w:pPr>
            <w:r w:rsidRPr="00634D63">
              <w:t xml:space="preserve">Comparison with other schedules' retention period: </w:t>
            </w:r>
          </w:p>
          <w:p w14:paraId="3783DCD7" w14:textId="77777777" w:rsidR="0047363C" w:rsidRDefault="0047363C" w:rsidP="0047363C">
            <w:pPr>
              <w:pStyle w:val="Tablesub-heading"/>
              <w:rPr>
                <w:b w:val="0"/>
                <w:noProof/>
                <w:szCs w:val="22"/>
              </w:rPr>
            </w:pPr>
            <w:r w:rsidRPr="00DB4F09">
              <w:rPr>
                <w:b w:val="0"/>
                <w:i/>
                <w:iCs/>
                <w:noProof/>
                <w:szCs w:val="22"/>
              </w:rPr>
              <w:t>General Retention and Disposal Schedule</w:t>
            </w:r>
            <w:r>
              <w:rPr>
                <w:b w:val="0"/>
                <w:noProof/>
                <w:szCs w:val="22"/>
              </w:rPr>
              <w:t xml:space="preserve"> (GRDS): </w:t>
            </w:r>
          </w:p>
          <w:p w14:paraId="58BBEFDB" w14:textId="77777777" w:rsidR="0047363C" w:rsidRDefault="0047363C" w:rsidP="00500F64">
            <w:pPr>
              <w:pStyle w:val="Tablesub-heading"/>
              <w:numPr>
                <w:ilvl w:val="0"/>
                <w:numId w:val="22"/>
              </w:numPr>
              <w:rPr>
                <w:b w:val="0"/>
                <w:noProof/>
                <w:szCs w:val="22"/>
              </w:rPr>
            </w:pPr>
            <w:r>
              <w:rPr>
                <w:b w:val="0"/>
                <w:noProof/>
                <w:szCs w:val="22"/>
              </w:rPr>
              <w:t>1073 – Enquiries, Complaints and suggestions – Investigations or Legal significance –                                                       Retain 7 years after business action completed.</w:t>
            </w:r>
          </w:p>
          <w:p w14:paraId="3CED96E6" w14:textId="77777777" w:rsidR="0047363C" w:rsidRDefault="0047363C" w:rsidP="00500F64">
            <w:pPr>
              <w:pStyle w:val="Tablesub-heading"/>
              <w:numPr>
                <w:ilvl w:val="0"/>
                <w:numId w:val="22"/>
              </w:numPr>
              <w:rPr>
                <w:b w:val="0"/>
                <w:noProof/>
                <w:szCs w:val="22"/>
              </w:rPr>
            </w:pPr>
            <w:r>
              <w:rPr>
                <w:b w:val="0"/>
                <w:noProof/>
                <w:szCs w:val="22"/>
              </w:rPr>
              <w:t>1008 - Audits – Other – retain 7 years after business action completed.</w:t>
            </w:r>
          </w:p>
          <w:p w14:paraId="01C2D671" w14:textId="77777777" w:rsidR="0047363C" w:rsidRDefault="0047363C" w:rsidP="0047363C">
            <w:pPr>
              <w:pStyle w:val="Tablesub-heading"/>
              <w:rPr>
                <w:b w:val="0"/>
                <w:noProof/>
                <w:szCs w:val="22"/>
              </w:rPr>
            </w:pPr>
            <w:r w:rsidRPr="00DB4F09">
              <w:rPr>
                <w:b w:val="0"/>
                <w:i/>
                <w:iCs/>
                <w:noProof/>
                <w:szCs w:val="22"/>
              </w:rPr>
              <w:t>QDAN</w:t>
            </w:r>
            <w:r>
              <w:rPr>
                <w:b w:val="0"/>
                <w:i/>
                <w:iCs/>
                <w:noProof/>
                <w:szCs w:val="22"/>
              </w:rPr>
              <w:t xml:space="preserve"> </w:t>
            </w:r>
            <w:r w:rsidRPr="00DB4F09">
              <w:rPr>
                <w:b w:val="0"/>
                <w:i/>
                <w:iCs/>
                <w:noProof/>
                <w:szCs w:val="22"/>
              </w:rPr>
              <w:t>742 v</w:t>
            </w:r>
            <w:r>
              <w:rPr>
                <w:b w:val="0"/>
                <w:i/>
                <w:iCs/>
                <w:noProof/>
                <w:szCs w:val="22"/>
              </w:rPr>
              <w:t>.</w:t>
            </w:r>
            <w:r w:rsidRPr="00DB4F09">
              <w:rPr>
                <w:b w:val="0"/>
                <w:i/>
                <w:iCs/>
                <w:noProof/>
                <w:szCs w:val="22"/>
              </w:rPr>
              <w:t xml:space="preserve">2 </w:t>
            </w:r>
            <w:r>
              <w:rPr>
                <w:b w:val="0"/>
                <w:i/>
                <w:iCs/>
                <w:noProof/>
                <w:szCs w:val="22"/>
              </w:rPr>
              <w:t xml:space="preserve">- </w:t>
            </w:r>
            <w:r w:rsidRPr="00DB4F09">
              <w:rPr>
                <w:b w:val="0"/>
                <w:i/>
                <w:iCs/>
                <w:noProof/>
                <w:szCs w:val="22"/>
              </w:rPr>
              <w:t>Queensland Racing Integrity Commission</w:t>
            </w:r>
            <w:r>
              <w:rPr>
                <w:b w:val="0"/>
                <w:noProof/>
                <w:szCs w:val="22"/>
              </w:rPr>
              <w:t xml:space="preserve"> (QRIC): </w:t>
            </w:r>
          </w:p>
          <w:p w14:paraId="2AA95B35" w14:textId="77777777" w:rsidR="0047363C" w:rsidRDefault="0047363C" w:rsidP="00500F64">
            <w:pPr>
              <w:pStyle w:val="Tablesub-heading"/>
              <w:numPr>
                <w:ilvl w:val="0"/>
                <w:numId w:val="23"/>
              </w:numPr>
              <w:rPr>
                <w:b w:val="0"/>
                <w:noProof/>
                <w:szCs w:val="22"/>
              </w:rPr>
            </w:pPr>
            <w:r>
              <w:rPr>
                <w:b w:val="0"/>
                <w:noProof/>
                <w:szCs w:val="22"/>
              </w:rPr>
              <w:t xml:space="preserve">1.9.2  - </w:t>
            </w:r>
            <w:r w:rsidRPr="00DB4F09">
              <w:rPr>
                <w:b w:val="0"/>
                <w:noProof/>
                <w:szCs w:val="22"/>
              </w:rPr>
              <w:t>Compliance Audits, Reports and</w:t>
            </w:r>
            <w:r>
              <w:rPr>
                <w:i/>
              </w:rPr>
              <w:t xml:space="preserve"> </w:t>
            </w:r>
            <w:r w:rsidRPr="00DB4F09">
              <w:rPr>
                <w:b w:val="0"/>
                <w:noProof/>
                <w:szCs w:val="22"/>
              </w:rPr>
              <w:t>Registers</w:t>
            </w:r>
            <w:r>
              <w:rPr>
                <w:b w:val="0"/>
                <w:noProof/>
                <w:szCs w:val="22"/>
              </w:rPr>
              <w:t xml:space="preserve"> – retain for 7 years after last action.</w:t>
            </w:r>
          </w:p>
          <w:p w14:paraId="3E1CD5E6" w14:textId="77777777" w:rsidR="0047363C" w:rsidRDefault="0047363C" w:rsidP="00500F64">
            <w:pPr>
              <w:pStyle w:val="Tablesub-heading"/>
              <w:numPr>
                <w:ilvl w:val="0"/>
                <w:numId w:val="23"/>
              </w:numPr>
              <w:rPr>
                <w:b w:val="0"/>
                <w:noProof/>
                <w:szCs w:val="22"/>
              </w:rPr>
            </w:pPr>
            <w:r>
              <w:rPr>
                <w:b w:val="0"/>
                <w:noProof/>
                <w:szCs w:val="22"/>
              </w:rPr>
              <w:t xml:space="preserve">1.12.1 - </w:t>
            </w:r>
            <w:r w:rsidRPr="00DB4F09">
              <w:rPr>
                <w:b w:val="0"/>
                <w:noProof/>
                <w:szCs w:val="22"/>
              </w:rPr>
              <w:t>Regulatory Enforcement</w:t>
            </w:r>
            <w:r>
              <w:rPr>
                <w:b w:val="0"/>
                <w:noProof/>
                <w:szCs w:val="22"/>
              </w:rPr>
              <w:t xml:space="preserve"> – retain for 7 years after action completed.</w:t>
            </w:r>
          </w:p>
          <w:p w14:paraId="7346BAA2" w14:textId="77777777" w:rsidR="0047363C" w:rsidRDefault="0047363C" w:rsidP="00500F64">
            <w:pPr>
              <w:pStyle w:val="Tablesub-heading"/>
              <w:numPr>
                <w:ilvl w:val="0"/>
                <w:numId w:val="23"/>
              </w:numPr>
              <w:rPr>
                <w:b w:val="0"/>
                <w:noProof/>
                <w:szCs w:val="22"/>
              </w:rPr>
            </w:pPr>
            <w:r>
              <w:rPr>
                <w:b w:val="0"/>
                <w:noProof/>
                <w:szCs w:val="22"/>
              </w:rPr>
              <w:t>1.15.2 – Investigations – Other – retain for 7 years after action completed.</w:t>
            </w:r>
          </w:p>
          <w:p w14:paraId="7B72D022" w14:textId="77777777" w:rsidR="0047363C" w:rsidRDefault="0047363C" w:rsidP="0047363C">
            <w:pPr>
              <w:pStyle w:val="Tablesub-heading"/>
              <w:rPr>
                <w:b w:val="0"/>
                <w:noProof/>
                <w:szCs w:val="22"/>
              </w:rPr>
            </w:pPr>
            <w:r w:rsidRPr="00650BB9">
              <w:rPr>
                <w:b w:val="0"/>
                <w:i/>
                <w:iCs/>
                <w:noProof/>
                <w:szCs w:val="22"/>
              </w:rPr>
              <w:lastRenderedPageBreak/>
              <w:t>RA 2019/00447636, Australian Building and Construction Commission (ABCC),</w:t>
            </w:r>
            <w:r>
              <w:rPr>
                <w:b w:val="0"/>
                <w:noProof/>
                <w:szCs w:val="22"/>
              </w:rPr>
              <w:t xml:space="preserve"> 62698 – Compliance Monitoring activities (Audits, Inspections, Assessments, Notifications, Findings, Notices) – retain for 7 years after last action - as issued by the National Archives of Australia (NAA).</w:t>
            </w:r>
          </w:p>
          <w:p w14:paraId="3A799202" w14:textId="7487F7B8" w:rsidR="008D283A" w:rsidRPr="004A453A" w:rsidRDefault="0047363C" w:rsidP="002215E0">
            <w:pPr>
              <w:pStyle w:val="Tablesub-heading"/>
              <w:rPr>
                <w:b w:val="0"/>
                <w:noProof/>
                <w:szCs w:val="22"/>
              </w:rPr>
            </w:pPr>
            <w:r w:rsidRPr="00650BB9">
              <w:rPr>
                <w:b w:val="0"/>
                <w:i/>
                <w:iCs/>
                <w:noProof/>
                <w:szCs w:val="22"/>
              </w:rPr>
              <w:t>FA430 for the Department of Customer Service,</w:t>
            </w:r>
            <w:r>
              <w:rPr>
                <w:b w:val="0"/>
                <w:noProof/>
                <w:szCs w:val="22"/>
              </w:rPr>
              <w:t xml:space="preserve"> 1.4.3 – Routine Investigations – retain for 10 years after last action - as issued by the NSW State Archive &amp; Records Authority (SARA).</w:t>
            </w:r>
          </w:p>
          <w:p w14:paraId="09FC0D3F" w14:textId="77777777" w:rsidR="008D283A" w:rsidRPr="00634D63" w:rsidRDefault="008D283A" w:rsidP="002215E0">
            <w:pPr>
              <w:pStyle w:val="Heading2"/>
            </w:pPr>
            <w:r w:rsidRPr="00634D63">
              <w:t>Previous schedule references:</w:t>
            </w:r>
          </w:p>
          <w:p w14:paraId="2594DFC3" w14:textId="24B5A3FB" w:rsidR="008D283A" w:rsidRPr="004A453A" w:rsidRDefault="0047363C" w:rsidP="002215E0">
            <w:pPr>
              <w:pStyle w:val="Tablesub-heading"/>
              <w:rPr>
                <w:b w:val="0"/>
                <w:szCs w:val="22"/>
              </w:rPr>
            </w:pPr>
            <w:r>
              <w:rPr>
                <w:b w:val="0"/>
                <w:szCs w:val="22"/>
              </w:rPr>
              <w:t>New disposal authorisation</w:t>
            </w:r>
          </w:p>
        </w:tc>
      </w:tr>
      <w:tr w:rsidR="008D283A" w:rsidRPr="004A453A" w14:paraId="43F0BCFE" w14:textId="77777777" w:rsidTr="00384B0E">
        <w:tc>
          <w:tcPr>
            <w:tcW w:w="567" w:type="pct"/>
            <w:tcBorders>
              <w:top w:val="single" w:sz="6" w:space="0" w:color="C0C0C0"/>
              <w:bottom w:val="single" w:sz="6" w:space="0" w:color="C0C0C0"/>
            </w:tcBorders>
            <w:shd w:val="clear" w:color="auto" w:fill="auto"/>
          </w:tcPr>
          <w:p w14:paraId="4CDA776B" w14:textId="17D99EFB" w:rsidR="008D283A" w:rsidRPr="004A453A" w:rsidRDefault="002D4525" w:rsidP="002215E0">
            <w:pPr>
              <w:pStyle w:val="Tablesub-heading"/>
              <w:rPr>
                <w:b w:val="0"/>
                <w:szCs w:val="22"/>
              </w:rPr>
            </w:pPr>
            <w:r>
              <w:rPr>
                <w:b w:val="0"/>
                <w:szCs w:val="22"/>
              </w:rPr>
              <w:lastRenderedPageBreak/>
              <w:t>2777</w:t>
            </w:r>
          </w:p>
        </w:tc>
        <w:tc>
          <w:tcPr>
            <w:tcW w:w="914" w:type="pct"/>
            <w:tcBorders>
              <w:top w:val="single" w:sz="6" w:space="0" w:color="C0C0C0"/>
              <w:bottom w:val="single" w:sz="6" w:space="0" w:color="C0C0C0"/>
            </w:tcBorders>
            <w:shd w:val="clear" w:color="auto" w:fill="auto"/>
          </w:tcPr>
          <w:p w14:paraId="1B9544EC" w14:textId="77777777" w:rsidR="00D66894" w:rsidRPr="00634D63" w:rsidRDefault="00D66894" w:rsidP="00D66894">
            <w:pPr>
              <w:pStyle w:val="Heading3"/>
            </w:pPr>
            <w:r>
              <w:rPr>
                <w:noProof/>
              </w:rPr>
              <w:t>Financial Compliance</w:t>
            </w:r>
          </w:p>
          <w:p w14:paraId="64EC2B14" w14:textId="4C76778C" w:rsidR="00D66894" w:rsidRDefault="00D66894" w:rsidP="00D66894">
            <w:r w:rsidRPr="00D725F6">
              <w:t xml:space="preserve">Records relating </w:t>
            </w:r>
            <w:r>
              <w:t xml:space="preserve">to </w:t>
            </w:r>
            <w:r w:rsidRPr="00D725F6">
              <w:t>the</w:t>
            </w:r>
            <w:r>
              <w:t xml:space="preserve"> monitoring, auditing, assessment, reporting and enforcement of financial compliance for licensees in accordance with </w:t>
            </w:r>
            <w:r w:rsidRPr="00FE28CC">
              <w:t>Minimum Financial Requirements Regulation</w:t>
            </w:r>
            <w:r>
              <w:t xml:space="preserve"> (MFR) 2018.</w:t>
            </w:r>
          </w:p>
          <w:p w14:paraId="1DE5E5A8" w14:textId="77777777" w:rsidR="008D283A" w:rsidRPr="00634D63" w:rsidRDefault="008D283A" w:rsidP="002215E0">
            <w:pPr>
              <w:pStyle w:val="Heading2"/>
            </w:pPr>
            <w:r w:rsidRPr="00634D63">
              <w:t xml:space="preserve">Disposal action – </w:t>
            </w:r>
          </w:p>
          <w:p w14:paraId="17A8261D" w14:textId="114F9FF3" w:rsidR="008D283A" w:rsidRPr="00D66894" w:rsidRDefault="00D66894" w:rsidP="002215E0">
            <w:pPr>
              <w:pStyle w:val="Tablesub-heading"/>
              <w:rPr>
                <w:b w:val="0"/>
                <w:bCs/>
              </w:rPr>
            </w:pPr>
            <w:r w:rsidRPr="00D66894">
              <w:rPr>
                <w:b w:val="0"/>
                <w:bCs/>
                <w:noProof/>
              </w:rPr>
              <w:t>12 years after business action completed.</w:t>
            </w:r>
          </w:p>
        </w:tc>
        <w:tc>
          <w:tcPr>
            <w:tcW w:w="3519" w:type="pct"/>
            <w:tcBorders>
              <w:top w:val="single" w:sz="6" w:space="0" w:color="C0C0C0"/>
              <w:bottom w:val="single" w:sz="6" w:space="0" w:color="C0C0C0"/>
            </w:tcBorders>
            <w:shd w:val="clear" w:color="auto" w:fill="auto"/>
          </w:tcPr>
          <w:p w14:paraId="28CAF656" w14:textId="6F8E5D1F" w:rsidR="008D283A" w:rsidRPr="004A453A" w:rsidRDefault="008D283A" w:rsidP="002215E0">
            <w:pPr>
              <w:pStyle w:val="Tablesub-heading"/>
              <w:rPr>
                <w:b w:val="0"/>
                <w:szCs w:val="22"/>
              </w:rPr>
            </w:pPr>
            <w:r>
              <w:t xml:space="preserve">Date authorised: </w:t>
            </w:r>
            <w:r w:rsidR="00067BF0">
              <w:rPr>
                <w:b w:val="0"/>
              </w:rPr>
              <w:t>15 December 2023</w:t>
            </w:r>
          </w:p>
          <w:p w14:paraId="0D5905E1" w14:textId="77777777" w:rsidR="008D283A" w:rsidRPr="00634D63" w:rsidRDefault="008D283A" w:rsidP="002215E0">
            <w:pPr>
              <w:pStyle w:val="Heading2"/>
            </w:pPr>
            <w:r w:rsidRPr="00634D63">
              <w:t>Why are these records created:</w:t>
            </w:r>
          </w:p>
          <w:p w14:paraId="5E98E650" w14:textId="77777777" w:rsidR="00500F64" w:rsidRDefault="00500F64" w:rsidP="00500F64">
            <w:pPr>
              <w:rPr>
                <w:lang w:eastAsia="en-AU"/>
              </w:rPr>
            </w:pPr>
            <w:r>
              <w:rPr>
                <w:lang w:eastAsia="en-AU"/>
              </w:rPr>
              <w:t xml:space="preserve">Records are used to manage financial submissions which applies to a licensee if - </w:t>
            </w:r>
          </w:p>
          <w:p w14:paraId="2AC86A4C" w14:textId="77777777" w:rsidR="00500F64" w:rsidRDefault="00500F64" w:rsidP="00500F64">
            <w:pPr>
              <w:numPr>
                <w:ilvl w:val="0"/>
                <w:numId w:val="24"/>
              </w:numPr>
              <w:ind w:left="475" w:hanging="284"/>
              <w:rPr>
                <w:lang w:eastAsia="en-AU"/>
              </w:rPr>
            </w:pPr>
            <w:r>
              <w:rPr>
                <w:lang w:eastAsia="en-AU"/>
              </w:rPr>
              <w:t>The licensee is selected to be audited under an approved audit program; or</w:t>
            </w:r>
          </w:p>
          <w:p w14:paraId="65A2BA47" w14:textId="77777777" w:rsidR="00500F64" w:rsidRDefault="00500F64" w:rsidP="00500F64">
            <w:pPr>
              <w:numPr>
                <w:ilvl w:val="0"/>
                <w:numId w:val="24"/>
              </w:numPr>
              <w:ind w:left="475" w:hanging="284"/>
              <w:rPr>
                <w:lang w:eastAsia="en-AU"/>
              </w:rPr>
            </w:pPr>
            <w:r>
              <w:rPr>
                <w:lang w:eastAsia="en-AU"/>
              </w:rPr>
              <w:t>The commission is satisfied, because of information received, there are reasonable grounds for concern that the licensee does not satisfy the relevant minimum financial requirements; or</w:t>
            </w:r>
          </w:p>
          <w:p w14:paraId="2ED11960" w14:textId="5D5E4310" w:rsidR="00500F64" w:rsidRDefault="00500F64" w:rsidP="00500F64">
            <w:pPr>
              <w:numPr>
                <w:ilvl w:val="0"/>
                <w:numId w:val="24"/>
              </w:numPr>
              <w:ind w:left="475" w:hanging="284"/>
              <w:rPr>
                <w:lang w:eastAsia="en-AU"/>
              </w:rPr>
            </w:pPr>
            <w:r>
              <w:rPr>
                <w:lang w:eastAsia="en-AU"/>
              </w:rPr>
              <w:t xml:space="preserve">The licensee is not, or has not been, complying with the </w:t>
            </w:r>
            <w:r w:rsidRPr="009A33B0">
              <w:rPr>
                <w:i/>
                <w:iCs/>
                <w:lang w:eastAsia="en-AU"/>
              </w:rPr>
              <w:t>Queensland Building &amp; Construction Commission  Act</w:t>
            </w:r>
            <w:r w:rsidR="001779D4" w:rsidRPr="009A33B0">
              <w:rPr>
                <w:i/>
                <w:iCs/>
                <w:lang w:eastAsia="en-AU"/>
              </w:rPr>
              <w:t xml:space="preserve"> 1991</w:t>
            </w:r>
            <w:r>
              <w:rPr>
                <w:lang w:eastAsia="en-AU"/>
              </w:rPr>
              <w:t>.</w:t>
            </w:r>
          </w:p>
          <w:p w14:paraId="26C73AB7" w14:textId="77777777" w:rsidR="00500F64" w:rsidRPr="00760123" w:rsidRDefault="00500F64" w:rsidP="00500F64">
            <w:pPr>
              <w:pStyle w:val="Tablesub-heading"/>
              <w:rPr>
                <w:noProof/>
                <w:szCs w:val="22"/>
              </w:rPr>
            </w:pPr>
            <w:r w:rsidRPr="00760123">
              <w:rPr>
                <w:b w:val="0"/>
                <w:noProof/>
                <w:szCs w:val="22"/>
              </w:rPr>
              <w:t xml:space="preserve">The Commission may give a written notice to the licensee requiring the licensee to give access to or submit copies of (a) the financial records described in the notice or (b) the documents described in the notice that relate to the licensee’s obligations. </w:t>
            </w:r>
          </w:p>
          <w:p w14:paraId="442432DB" w14:textId="77777777" w:rsidR="00500F64" w:rsidRPr="00760123" w:rsidRDefault="00500F64" w:rsidP="00500F64">
            <w:pPr>
              <w:pStyle w:val="Tablesub-heading"/>
              <w:rPr>
                <w:noProof/>
                <w:szCs w:val="22"/>
              </w:rPr>
            </w:pPr>
            <w:r w:rsidRPr="00760123">
              <w:rPr>
                <w:b w:val="0"/>
                <w:noProof/>
                <w:szCs w:val="22"/>
              </w:rPr>
              <w:t>The written notice may describe only (a) the financial records of the licensee required for deciding whether the licensee satisfies the relevant minimum financial requirements or (b) documents required for deciding whether the licensee is, or has been, complying.</w:t>
            </w:r>
          </w:p>
          <w:p w14:paraId="3BBFD420" w14:textId="77777777" w:rsidR="00500F64" w:rsidRPr="00760123" w:rsidRDefault="00500F64" w:rsidP="00500F64">
            <w:pPr>
              <w:pStyle w:val="Tablesub-heading"/>
              <w:rPr>
                <w:noProof/>
                <w:szCs w:val="22"/>
              </w:rPr>
            </w:pPr>
            <w:r w:rsidRPr="00760123">
              <w:rPr>
                <w:b w:val="0"/>
                <w:noProof/>
                <w:szCs w:val="22"/>
              </w:rPr>
              <w:t>The licensee must comply with the written notice within 21 days after the licensee receives the written notice unless the licensee has a reasonable excuse.</w:t>
            </w:r>
          </w:p>
          <w:p w14:paraId="49399DED" w14:textId="77777777" w:rsidR="00500F64" w:rsidRPr="00760123" w:rsidRDefault="00500F64" w:rsidP="00500F64">
            <w:pPr>
              <w:pStyle w:val="Tablesub-heading"/>
              <w:rPr>
                <w:noProof/>
                <w:szCs w:val="22"/>
              </w:rPr>
            </w:pPr>
            <w:r w:rsidRPr="00760123">
              <w:rPr>
                <w:b w:val="0"/>
                <w:noProof/>
                <w:szCs w:val="22"/>
              </w:rPr>
              <w:t>If the licensee does not comply with the written notice within 21 days after the licensee receives it, the licensee is taken to have contravened a condition imposed under the licensee’s licence.</w:t>
            </w:r>
          </w:p>
          <w:p w14:paraId="426C5FD2" w14:textId="77777777" w:rsidR="00500F64" w:rsidRPr="00760123" w:rsidRDefault="00500F64" w:rsidP="00500F64">
            <w:pPr>
              <w:pStyle w:val="Tablesub-heading"/>
              <w:rPr>
                <w:noProof/>
                <w:szCs w:val="22"/>
              </w:rPr>
            </w:pPr>
            <w:r w:rsidRPr="00760123">
              <w:rPr>
                <w:b w:val="0"/>
                <w:noProof/>
                <w:szCs w:val="22"/>
              </w:rPr>
              <w:t xml:space="preserve">Licensees who hold a contractor / builder grade of licence are required to meet the Minimum Financial Requirements </w:t>
            </w:r>
            <w:r>
              <w:rPr>
                <w:b w:val="0"/>
                <w:noProof/>
                <w:szCs w:val="22"/>
              </w:rPr>
              <w:t xml:space="preserve">(MFR) </w:t>
            </w:r>
            <w:r w:rsidRPr="00760123">
              <w:rPr>
                <w:b w:val="0"/>
                <w:noProof/>
                <w:szCs w:val="22"/>
              </w:rPr>
              <w:t>to obtain and maintain a QBCC licence.</w:t>
            </w:r>
          </w:p>
          <w:p w14:paraId="52A4C325" w14:textId="53E13CA3" w:rsidR="00500F64" w:rsidRPr="00760123" w:rsidRDefault="00500F64" w:rsidP="00500F64">
            <w:pPr>
              <w:pStyle w:val="Tablesub-heading"/>
              <w:rPr>
                <w:noProof/>
                <w:szCs w:val="22"/>
              </w:rPr>
            </w:pPr>
            <w:r w:rsidRPr="00760123">
              <w:rPr>
                <w:b w:val="0"/>
                <w:noProof/>
                <w:szCs w:val="22"/>
              </w:rPr>
              <w:t>If a contractor licence</w:t>
            </w:r>
            <w:r>
              <w:rPr>
                <w:b w:val="0"/>
                <w:noProof/>
                <w:szCs w:val="22"/>
              </w:rPr>
              <w:t xml:space="preserve"> is held</w:t>
            </w:r>
            <w:r w:rsidRPr="00760123">
              <w:rPr>
                <w:b w:val="0"/>
                <w:noProof/>
                <w:szCs w:val="22"/>
              </w:rPr>
              <w:t xml:space="preserve">, </w:t>
            </w:r>
            <w:r>
              <w:rPr>
                <w:b w:val="0"/>
                <w:noProof/>
                <w:szCs w:val="22"/>
              </w:rPr>
              <w:t xml:space="preserve">the licensee is </w:t>
            </w:r>
            <w:r w:rsidRPr="00760123">
              <w:rPr>
                <w:b w:val="0"/>
                <w:noProof/>
                <w:szCs w:val="22"/>
              </w:rPr>
              <w:t>required to comply with annual financial reporting requirements each year, as well as meeting the Minimum Financial Requirements</w:t>
            </w:r>
            <w:r w:rsidR="000931E0">
              <w:rPr>
                <w:b w:val="0"/>
                <w:noProof/>
                <w:szCs w:val="22"/>
              </w:rPr>
              <w:t xml:space="preserve"> (MFR)</w:t>
            </w:r>
            <w:r w:rsidRPr="00760123">
              <w:rPr>
                <w:b w:val="0"/>
                <w:noProof/>
                <w:szCs w:val="22"/>
              </w:rPr>
              <w:t xml:space="preserve"> at all times.</w:t>
            </w:r>
          </w:p>
          <w:p w14:paraId="15DF43B4" w14:textId="77777777" w:rsidR="00500F64" w:rsidRDefault="00500F64" w:rsidP="00500F64">
            <w:pPr>
              <w:pStyle w:val="Tablesub-heading"/>
              <w:rPr>
                <w:b w:val="0"/>
                <w:noProof/>
                <w:szCs w:val="22"/>
              </w:rPr>
            </w:pPr>
            <w:r w:rsidRPr="00760123">
              <w:rPr>
                <w:b w:val="0"/>
                <w:noProof/>
                <w:szCs w:val="22"/>
              </w:rPr>
              <w:lastRenderedPageBreak/>
              <w:t xml:space="preserve">If </w:t>
            </w:r>
            <w:r>
              <w:rPr>
                <w:b w:val="0"/>
                <w:noProof/>
                <w:szCs w:val="22"/>
              </w:rPr>
              <w:t xml:space="preserve">the licence holder is </w:t>
            </w:r>
            <w:r w:rsidRPr="00760123">
              <w:rPr>
                <w:b w:val="0"/>
                <w:noProof/>
                <w:szCs w:val="22"/>
              </w:rPr>
              <w:t>retired, not currently trading in the building industry, an employee</w:t>
            </w:r>
            <w:r>
              <w:rPr>
                <w:b w:val="0"/>
                <w:noProof/>
                <w:szCs w:val="22"/>
              </w:rPr>
              <w:t xml:space="preserve"> </w:t>
            </w:r>
            <w:r w:rsidRPr="00760123">
              <w:rPr>
                <w:b w:val="0"/>
                <w:noProof/>
                <w:szCs w:val="22"/>
              </w:rPr>
              <w:t>or working</w:t>
            </w:r>
            <w:r>
              <w:rPr>
                <w:b w:val="0"/>
                <w:noProof/>
                <w:szCs w:val="22"/>
              </w:rPr>
              <w:t xml:space="preserve">                               </w:t>
            </w:r>
            <w:r w:rsidRPr="00760123">
              <w:rPr>
                <w:b w:val="0"/>
                <w:noProof/>
                <w:szCs w:val="22"/>
              </w:rPr>
              <w:t xml:space="preserve"> for wages, </w:t>
            </w:r>
            <w:r>
              <w:rPr>
                <w:b w:val="0"/>
                <w:noProof/>
                <w:szCs w:val="22"/>
              </w:rPr>
              <w:t xml:space="preserve">the licensee </w:t>
            </w:r>
            <w:r w:rsidRPr="00760123">
              <w:rPr>
                <w:b w:val="0"/>
                <w:noProof/>
                <w:szCs w:val="22"/>
              </w:rPr>
              <w:t xml:space="preserve">may wish to amend </w:t>
            </w:r>
            <w:r>
              <w:rPr>
                <w:b w:val="0"/>
                <w:noProof/>
                <w:szCs w:val="22"/>
              </w:rPr>
              <w:t xml:space="preserve">the </w:t>
            </w:r>
            <w:r w:rsidRPr="00760123">
              <w:rPr>
                <w:b w:val="0"/>
                <w:noProof/>
                <w:szCs w:val="22"/>
              </w:rPr>
              <w:t>licence type to nominee supervisor by completing the change licence type form and paying the appropriate fee.</w:t>
            </w:r>
          </w:p>
          <w:p w14:paraId="3134FB07" w14:textId="77777777" w:rsidR="00500F64" w:rsidRDefault="00500F64" w:rsidP="00500F64">
            <w:pPr>
              <w:pStyle w:val="Tablesub-heading"/>
              <w:rPr>
                <w:b w:val="0"/>
                <w:noProof/>
                <w:szCs w:val="22"/>
              </w:rPr>
            </w:pPr>
            <w:r w:rsidRPr="00760123">
              <w:rPr>
                <w:b w:val="0"/>
                <w:noProof/>
                <w:szCs w:val="22"/>
              </w:rPr>
              <w:t xml:space="preserve">A nominee supervisor licence </w:t>
            </w:r>
            <w:r>
              <w:rPr>
                <w:b w:val="0"/>
                <w:noProof/>
                <w:szCs w:val="22"/>
              </w:rPr>
              <w:t xml:space="preserve">will </w:t>
            </w:r>
            <w:r w:rsidRPr="00760123">
              <w:rPr>
                <w:b w:val="0"/>
                <w:noProof/>
                <w:szCs w:val="22"/>
              </w:rPr>
              <w:t>still allow</w:t>
            </w:r>
            <w:r>
              <w:rPr>
                <w:b w:val="0"/>
                <w:noProof/>
                <w:szCs w:val="22"/>
              </w:rPr>
              <w:t xml:space="preserve"> the licence holder t</w:t>
            </w:r>
            <w:r w:rsidRPr="00760123">
              <w:rPr>
                <w:b w:val="0"/>
                <w:noProof/>
                <w:szCs w:val="22"/>
              </w:rPr>
              <w:t xml:space="preserve">o be the employee for a licensed company, but </w:t>
            </w:r>
            <w:r>
              <w:rPr>
                <w:b w:val="0"/>
                <w:noProof/>
                <w:szCs w:val="22"/>
              </w:rPr>
              <w:t xml:space="preserve">the licensee is </w:t>
            </w:r>
            <w:r w:rsidRPr="00760123">
              <w:rPr>
                <w:b w:val="0"/>
                <w:noProof/>
                <w:szCs w:val="22"/>
              </w:rPr>
              <w:t xml:space="preserve">unable to contract to perform building work in </w:t>
            </w:r>
            <w:r>
              <w:rPr>
                <w:b w:val="0"/>
                <w:noProof/>
                <w:szCs w:val="22"/>
              </w:rPr>
              <w:t xml:space="preserve">their </w:t>
            </w:r>
            <w:r w:rsidRPr="00760123">
              <w:rPr>
                <w:b w:val="0"/>
                <w:noProof/>
                <w:szCs w:val="22"/>
              </w:rPr>
              <w:t>own right.</w:t>
            </w:r>
          </w:p>
          <w:p w14:paraId="1783BB4D" w14:textId="502FE7F8" w:rsidR="00500F64" w:rsidRPr="006A2A97" w:rsidRDefault="00500F64" w:rsidP="00500F64">
            <w:pPr>
              <w:pStyle w:val="Tablesub-heading"/>
              <w:rPr>
                <w:b w:val="0"/>
                <w:noProof/>
                <w:szCs w:val="22"/>
              </w:rPr>
            </w:pPr>
            <w:r w:rsidRPr="006A2A97">
              <w:rPr>
                <w:b w:val="0"/>
                <w:noProof/>
                <w:szCs w:val="22"/>
              </w:rPr>
              <w:t>An application for a contractor’s licence under s</w:t>
            </w:r>
            <w:r>
              <w:rPr>
                <w:b w:val="0"/>
                <w:noProof/>
                <w:szCs w:val="22"/>
              </w:rPr>
              <w:t>.</w:t>
            </w:r>
            <w:r w:rsidRPr="006A2A97">
              <w:rPr>
                <w:b w:val="0"/>
                <w:noProof/>
                <w:szCs w:val="22"/>
              </w:rPr>
              <w:t>33 of</w:t>
            </w:r>
            <w:r>
              <w:rPr>
                <w:b w:val="0"/>
                <w:noProof/>
                <w:szCs w:val="22"/>
              </w:rPr>
              <w:t xml:space="preserve"> </w:t>
            </w:r>
            <w:r w:rsidRPr="006A2A97">
              <w:rPr>
                <w:b w:val="0"/>
                <w:noProof/>
                <w:szCs w:val="22"/>
              </w:rPr>
              <w:t xml:space="preserve">the </w:t>
            </w:r>
            <w:r w:rsidRPr="009A33B0">
              <w:rPr>
                <w:b w:val="0"/>
                <w:i/>
                <w:iCs/>
                <w:noProof/>
                <w:szCs w:val="22"/>
              </w:rPr>
              <w:t>QBCC Act</w:t>
            </w:r>
            <w:r w:rsidR="00E621C1" w:rsidRPr="009A33B0">
              <w:rPr>
                <w:b w:val="0"/>
                <w:i/>
                <w:iCs/>
                <w:noProof/>
                <w:szCs w:val="22"/>
              </w:rPr>
              <w:t xml:space="preserve"> 1991</w:t>
            </w:r>
            <w:r w:rsidRPr="006A2A97">
              <w:rPr>
                <w:b w:val="0"/>
                <w:noProof/>
                <w:szCs w:val="22"/>
              </w:rPr>
              <w:t xml:space="preserve"> must be accompanied by the following information</w:t>
            </w:r>
            <w:r>
              <w:rPr>
                <w:b w:val="0"/>
                <w:noProof/>
                <w:szCs w:val="22"/>
              </w:rPr>
              <w:t xml:space="preserve"> -</w:t>
            </w:r>
          </w:p>
          <w:p w14:paraId="33B53B6F" w14:textId="77777777" w:rsidR="00500F64" w:rsidRPr="006A2A97" w:rsidRDefault="00500F64" w:rsidP="00500F64">
            <w:pPr>
              <w:pStyle w:val="Tablesub-heading"/>
              <w:ind w:left="191"/>
              <w:rPr>
                <w:b w:val="0"/>
                <w:noProof/>
                <w:szCs w:val="22"/>
              </w:rPr>
            </w:pPr>
            <w:r w:rsidRPr="006A2A97">
              <w:rPr>
                <w:b w:val="0"/>
                <w:noProof/>
                <w:szCs w:val="22"/>
              </w:rPr>
              <w:t>(a) if the applicant’s proposed maximum revenue for a</w:t>
            </w:r>
            <w:r>
              <w:rPr>
                <w:b w:val="0"/>
                <w:noProof/>
                <w:szCs w:val="22"/>
              </w:rPr>
              <w:t xml:space="preserve"> </w:t>
            </w:r>
            <w:r w:rsidRPr="006A2A97">
              <w:rPr>
                <w:b w:val="0"/>
                <w:noProof/>
                <w:szCs w:val="22"/>
              </w:rPr>
              <w:t>reporting year is not more than $800,00</w:t>
            </w:r>
            <w:r>
              <w:rPr>
                <w:b w:val="0"/>
                <w:noProof/>
                <w:szCs w:val="22"/>
              </w:rPr>
              <w:t xml:space="preserve">0, </w:t>
            </w:r>
            <w:r w:rsidRPr="006A2A97">
              <w:rPr>
                <w:b w:val="0"/>
                <w:noProof/>
                <w:szCs w:val="22"/>
              </w:rPr>
              <w:t>a declaration</w:t>
            </w:r>
            <w:r>
              <w:rPr>
                <w:b w:val="0"/>
                <w:noProof/>
                <w:szCs w:val="22"/>
              </w:rPr>
              <w:t xml:space="preserve"> </w:t>
            </w:r>
            <w:r w:rsidRPr="006A2A97">
              <w:rPr>
                <w:b w:val="0"/>
                <w:noProof/>
                <w:szCs w:val="22"/>
              </w:rPr>
              <w:t>in the approved form about the applicant’s compliance</w:t>
            </w:r>
            <w:r>
              <w:rPr>
                <w:b w:val="0"/>
                <w:noProof/>
                <w:szCs w:val="22"/>
              </w:rPr>
              <w:t xml:space="preserve"> </w:t>
            </w:r>
            <w:r w:rsidRPr="006A2A97">
              <w:rPr>
                <w:b w:val="0"/>
                <w:noProof/>
                <w:szCs w:val="22"/>
              </w:rPr>
              <w:t>with the minimum financial</w:t>
            </w:r>
            <w:r>
              <w:rPr>
                <w:b w:val="0"/>
                <w:noProof/>
                <w:szCs w:val="22"/>
              </w:rPr>
              <w:t xml:space="preserve"> </w:t>
            </w:r>
            <w:r w:rsidRPr="006A2A97">
              <w:rPr>
                <w:b w:val="0"/>
                <w:noProof/>
                <w:szCs w:val="22"/>
              </w:rPr>
              <w:t>requirements;</w:t>
            </w:r>
            <w:r>
              <w:rPr>
                <w:b w:val="0"/>
                <w:noProof/>
                <w:szCs w:val="22"/>
              </w:rPr>
              <w:t xml:space="preserve"> or</w:t>
            </w:r>
          </w:p>
          <w:p w14:paraId="4AB5EF95" w14:textId="77777777" w:rsidR="00500F64" w:rsidRDefault="00500F64" w:rsidP="00500F64">
            <w:pPr>
              <w:pStyle w:val="Tablesub-heading"/>
              <w:ind w:left="191"/>
              <w:rPr>
                <w:b w:val="0"/>
                <w:noProof/>
                <w:szCs w:val="22"/>
              </w:rPr>
            </w:pPr>
            <w:r w:rsidRPr="006A2A97">
              <w:rPr>
                <w:b w:val="0"/>
                <w:noProof/>
                <w:szCs w:val="22"/>
              </w:rPr>
              <w:t>(b) if the applicant’s proposed maximum revenue for a</w:t>
            </w:r>
            <w:r>
              <w:rPr>
                <w:b w:val="0"/>
                <w:noProof/>
                <w:szCs w:val="22"/>
              </w:rPr>
              <w:t xml:space="preserve"> </w:t>
            </w:r>
            <w:r w:rsidRPr="006A2A97">
              <w:rPr>
                <w:b w:val="0"/>
                <w:noProof/>
                <w:szCs w:val="22"/>
              </w:rPr>
              <w:t>reporting year is more than $800,00</w:t>
            </w:r>
            <w:r>
              <w:rPr>
                <w:b w:val="0"/>
                <w:noProof/>
                <w:szCs w:val="22"/>
              </w:rPr>
              <w:t xml:space="preserve"> - </w:t>
            </w:r>
            <w:r w:rsidRPr="006A2A97">
              <w:rPr>
                <w:b w:val="0"/>
                <w:noProof/>
                <w:szCs w:val="22"/>
              </w:rPr>
              <w:t>a</w:t>
            </w:r>
            <w:r>
              <w:rPr>
                <w:b w:val="0"/>
                <w:noProof/>
                <w:szCs w:val="22"/>
              </w:rPr>
              <w:t xml:space="preserve"> </w:t>
            </w:r>
            <w:r w:rsidRPr="006A2A97">
              <w:rPr>
                <w:b w:val="0"/>
                <w:noProof/>
                <w:szCs w:val="22"/>
              </w:rPr>
              <w:t>MFR report.</w:t>
            </w:r>
          </w:p>
          <w:p w14:paraId="2B434AE7" w14:textId="2514388F" w:rsidR="008D283A" w:rsidRPr="00500F64" w:rsidRDefault="00500F64" w:rsidP="00500F64">
            <w:pPr>
              <w:rPr>
                <w:noProof/>
                <w:szCs w:val="22"/>
              </w:rPr>
            </w:pPr>
            <w:r>
              <w:t>A licensee must ensure an MFR report is prepared by a qualified accountant with the information being no more than 4 months old and must be signed no more than 30 days before the day the report is submitted to the agency.</w:t>
            </w:r>
          </w:p>
          <w:p w14:paraId="4F9D424E" w14:textId="77777777" w:rsidR="008D283A" w:rsidRPr="00634D63" w:rsidRDefault="008D283A" w:rsidP="002215E0">
            <w:pPr>
              <w:pStyle w:val="Heading2"/>
            </w:pPr>
            <w:r w:rsidRPr="00634D63">
              <w:t>Why the records are retained for this retention period:</w:t>
            </w:r>
          </w:p>
          <w:p w14:paraId="5F0581A0" w14:textId="0272764B" w:rsidR="008D283A" w:rsidRPr="00B53E2D" w:rsidRDefault="00B53E2D" w:rsidP="00B53E2D">
            <w:pPr>
              <w:pStyle w:val="Heading2"/>
              <w:rPr>
                <w:rFonts w:ascii="Arial" w:hAnsi="Arial" w:cs="Arial"/>
                <w:b w:val="0"/>
                <w:bCs/>
              </w:rPr>
            </w:pPr>
            <w:r>
              <w:rPr>
                <w:rFonts w:ascii="Arial" w:hAnsi="Arial" w:cs="Arial"/>
                <w:b w:val="0"/>
                <w:bCs/>
              </w:rPr>
              <w:t xml:space="preserve">As activities associated with managing compliance to Minimum </w:t>
            </w:r>
            <w:r w:rsidRPr="00760123">
              <w:rPr>
                <w:rFonts w:ascii="Arial" w:hAnsi="Arial" w:cs="Arial"/>
                <w:b w:val="0"/>
                <w:bCs/>
              </w:rPr>
              <w:t xml:space="preserve">Financial Requirements </w:t>
            </w:r>
            <w:r>
              <w:rPr>
                <w:rFonts w:ascii="Arial" w:hAnsi="Arial" w:cs="Arial"/>
                <w:b w:val="0"/>
                <w:bCs/>
              </w:rPr>
              <w:t>(MFR) can involve Deeds of Covenant (e.g. audits) held by the QBCC, t</w:t>
            </w:r>
            <w:r w:rsidRPr="00760123">
              <w:rPr>
                <w:rFonts w:ascii="Arial" w:hAnsi="Arial" w:cs="Arial"/>
                <w:b w:val="0"/>
                <w:bCs/>
              </w:rPr>
              <w:t xml:space="preserve">he </w:t>
            </w:r>
            <w:r>
              <w:rPr>
                <w:rFonts w:ascii="Arial" w:hAnsi="Arial" w:cs="Arial"/>
                <w:b w:val="0"/>
                <w:bCs/>
              </w:rPr>
              <w:t>retention</w:t>
            </w:r>
            <w:r w:rsidRPr="00211D94">
              <w:rPr>
                <w:rFonts w:ascii="Arial" w:hAnsi="Arial" w:cs="Arial"/>
                <w:b w:val="0"/>
                <w:bCs/>
              </w:rPr>
              <w:t xml:space="preserve"> period </w:t>
            </w:r>
            <w:r>
              <w:rPr>
                <w:rFonts w:ascii="Arial" w:hAnsi="Arial" w:cs="Arial"/>
                <w:b w:val="0"/>
                <w:bCs/>
              </w:rPr>
              <w:t xml:space="preserve">of 12 years </w:t>
            </w:r>
            <w:r w:rsidRPr="00211D94">
              <w:rPr>
                <w:rFonts w:ascii="Arial" w:hAnsi="Arial" w:cs="Arial"/>
                <w:b w:val="0"/>
                <w:bCs/>
              </w:rPr>
              <w:t xml:space="preserve">ensures that </w:t>
            </w:r>
            <w:r>
              <w:rPr>
                <w:rFonts w:ascii="Arial" w:hAnsi="Arial" w:cs="Arial"/>
                <w:b w:val="0"/>
                <w:bCs/>
              </w:rPr>
              <w:t>such r</w:t>
            </w:r>
            <w:r w:rsidRPr="00211D94">
              <w:rPr>
                <w:rFonts w:ascii="Arial" w:hAnsi="Arial" w:cs="Arial"/>
                <w:b w:val="0"/>
                <w:bCs/>
              </w:rPr>
              <w:t xml:space="preserve">ecords are available in the event of any legal claims brought in accordance with s.10 </w:t>
            </w:r>
            <w:r>
              <w:rPr>
                <w:rFonts w:ascii="Arial" w:hAnsi="Arial" w:cs="Arial"/>
                <w:b w:val="0"/>
                <w:bCs/>
              </w:rPr>
              <w:t xml:space="preserve">(3) </w:t>
            </w:r>
            <w:r w:rsidRPr="00211D94">
              <w:rPr>
                <w:rFonts w:ascii="Arial" w:hAnsi="Arial" w:cs="Arial"/>
                <w:b w:val="0"/>
                <w:bCs/>
              </w:rPr>
              <w:t xml:space="preserve">of the </w:t>
            </w:r>
            <w:r w:rsidRPr="009D3D2E">
              <w:rPr>
                <w:rFonts w:ascii="Arial" w:hAnsi="Arial" w:cs="Arial"/>
                <w:b w:val="0"/>
                <w:bCs/>
                <w:i/>
                <w:iCs/>
              </w:rPr>
              <w:t xml:space="preserve">Limitation of Actions Act </w:t>
            </w:r>
            <w:r>
              <w:rPr>
                <w:rFonts w:ascii="Arial" w:hAnsi="Arial" w:cs="Arial"/>
                <w:b w:val="0"/>
                <w:bCs/>
              </w:rPr>
              <w:t>1974.</w:t>
            </w:r>
            <w:r w:rsidR="008D283A">
              <w:rPr>
                <w:b w:val="0"/>
                <w:szCs w:val="22"/>
              </w:rPr>
              <w:t xml:space="preserve"> </w:t>
            </w:r>
          </w:p>
          <w:p w14:paraId="714AC86A" w14:textId="77777777" w:rsidR="008D283A" w:rsidRPr="00634D63" w:rsidRDefault="008D283A" w:rsidP="002215E0">
            <w:pPr>
              <w:pStyle w:val="Heading2"/>
            </w:pPr>
            <w:r w:rsidRPr="00634D63">
              <w:t>Applicable legislation/standards:</w:t>
            </w:r>
          </w:p>
          <w:p w14:paraId="01BD1CCE" w14:textId="77777777" w:rsidR="00B53E2D" w:rsidRPr="00C66CC8" w:rsidRDefault="00B53E2D" w:rsidP="00B53E2D">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p>
          <w:p w14:paraId="63D9C4D4" w14:textId="77777777" w:rsidR="008D283A" w:rsidRPr="00634D63" w:rsidRDefault="008D283A" w:rsidP="002215E0">
            <w:pPr>
              <w:pStyle w:val="Heading2"/>
            </w:pPr>
            <w:r w:rsidRPr="00634D63">
              <w:t xml:space="preserve">Comparison with other schedules' retention period: </w:t>
            </w:r>
          </w:p>
          <w:p w14:paraId="29554849" w14:textId="77777777" w:rsidR="00B53E2D" w:rsidRPr="009A33B0" w:rsidRDefault="00B53E2D" w:rsidP="00FE28CC">
            <w:pPr>
              <w:pStyle w:val="Tablesub-heading"/>
              <w:rPr>
                <w:b w:val="0"/>
                <w:noProof/>
                <w:szCs w:val="22"/>
              </w:rPr>
            </w:pPr>
            <w:r w:rsidRPr="00650BB9">
              <w:rPr>
                <w:b w:val="0"/>
                <w:i/>
                <w:iCs/>
                <w:noProof/>
                <w:szCs w:val="22"/>
              </w:rPr>
              <w:t>PROS 20/01, Victorian Building Authority (VBA),</w:t>
            </w:r>
            <w:r w:rsidRPr="00FE28CC">
              <w:rPr>
                <w:b w:val="0"/>
                <w:i/>
                <w:iCs/>
                <w:noProof/>
                <w:szCs w:val="22"/>
              </w:rPr>
              <w:t xml:space="preserve"> </w:t>
            </w:r>
            <w:r w:rsidRPr="009A33B0">
              <w:rPr>
                <w:b w:val="0"/>
                <w:noProof/>
                <w:szCs w:val="22"/>
              </w:rPr>
              <w:t>2.3 – Compliance Audits: Compliance Certificates or Statements issued by practitioners – retain for 10 years – as issued by the Public Record Office Victoria (PROV).</w:t>
            </w:r>
          </w:p>
          <w:p w14:paraId="47C2D031" w14:textId="043F9EAC" w:rsidR="00B53E2D" w:rsidRPr="009A33B0" w:rsidRDefault="00B53E2D" w:rsidP="00B53E2D">
            <w:pPr>
              <w:pStyle w:val="Tablesub-heading"/>
              <w:rPr>
                <w:b w:val="0"/>
                <w:noProof/>
                <w:szCs w:val="22"/>
              </w:rPr>
            </w:pPr>
            <w:r w:rsidRPr="00650BB9">
              <w:rPr>
                <w:b w:val="0"/>
                <w:i/>
                <w:iCs/>
                <w:noProof/>
                <w:szCs w:val="22"/>
              </w:rPr>
              <w:t>RA 2019/00447636 for the Australian Building and Construction Commission (ABCC</w:t>
            </w:r>
            <w:r w:rsidRPr="009A33B0">
              <w:rPr>
                <w:b w:val="0"/>
                <w:noProof/>
                <w:szCs w:val="22"/>
              </w:rPr>
              <w:t>), 62698</w:t>
            </w:r>
            <w:r w:rsidR="00CF1687">
              <w:rPr>
                <w:b w:val="0"/>
                <w:noProof/>
                <w:szCs w:val="22"/>
              </w:rPr>
              <w:t xml:space="preserve"> -</w:t>
            </w:r>
            <w:r w:rsidRPr="009A33B0">
              <w:rPr>
                <w:b w:val="0"/>
                <w:noProof/>
                <w:szCs w:val="22"/>
              </w:rPr>
              <w:t xml:space="preserve"> Code Compliance Monitoring (Audits, Assessments, Reports etc.) – retain for 7 years - as issued by  the National Archives of Australia (NAA).</w:t>
            </w:r>
          </w:p>
          <w:p w14:paraId="3E8F0BDE" w14:textId="77777777" w:rsidR="008D283A" w:rsidRPr="00634D63" w:rsidRDefault="008D283A" w:rsidP="002215E0">
            <w:pPr>
              <w:pStyle w:val="Heading2"/>
            </w:pPr>
            <w:r w:rsidRPr="00634D63">
              <w:lastRenderedPageBreak/>
              <w:t>Previous schedule references:</w:t>
            </w:r>
          </w:p>
          <w:p w14:paraId="10C72C07" w14:textId="43A482E6" w:rsidR="008D283A" w:rsidRPr="004A453A" w:rsidRDefault="00B53E2D" w:rsidP="002215E0">
            <w:pPr>
              <w:pStyle w:val="Tablesub-heading"/>
              <w:rPr>
                <w:b w:val="0"/>
                <w:szCs w:val="22"/>
              </w:rPr>
            </w:pPr>
            <w:r>
              <w:rPr>
                <w:b w:val="0"/>
                <w:szCs w:val="22"/>
              </w:rPr>
              <w:t>New disposal authorisation</w:t>
            </w:r>
          </w:p>
        </w:tc>
      </w:tr>
      <w:tr w:rsidR="008D283A" w:rsidRPr="004A453A" w14:paraId="03C9E2E1" w14:textId="77777777" w:rsidTr="00384B0E">
        <w:tc>
          <w:tcPr>
            <w:tcW w:w="567" w:type="pct"/>
            <w:tcBorders>
              <w:top w:val="single" w:sz="6" w:space="0" w:color="C0C0C0"/>
              <w:bottom w:val="single" w:sz="6" w:space="0" w:color="C0C0C0"/>
            </w:tcBorders>
            <w:shd w:val="clear" w:color="auto" w:fill="auto"/>
          </w:tcPr>
          <w:p w14:paraId="058F3BD0" w14:textId="68A4ADF0" w:rsidR="008D283A" w:rsidRPr="004A453A" w:rsidRDefault="00E103F9" w:rsidP="002215E0">
            <w:pPr>
              <w:pStyle w:val="Tablesub-heading"/>
              <w:rPr>
                <w:b w:val="0"/>
                <w:szCs w:val="22"/>
              </w:rPr>
            </w:pPr>
            <w:bookmarkStart w:id="21" w:name="_Hlk150351702"/>
            <w:r>
              <w:rPr>
                <w:b w:val="0"/>
                <w:szCs w:val="22"/>
              </w:rPr>
              <w:lastRenderedPageBreak/>
              <w:t>2778</w:t>
            </w:r>
          </w:p>
        </w:tc>
        <w:tc>
          <w:tcPr>
            <w:tcW w:w="914" w:type="pct"/>
            <w:tcBorders>
              <w:top w:val="single" w:sz="6" w:space="0" w:color="C0C0C0"/>
              <w:bottom w:val="single" w:sz="6" w:space="0" w:color="C0C0C0"/>
            </w:tcBorders>
            <w:shd w:val="clear" w:color="auto" w:fill="auto"/>
          </w:tcPr>
          <w:p w14:paraId="69021FD2" w14:textId="77777777" w:rsidR="00695624" w:rsidRPr="00917033" w:rsidRDefault="00695624" w:rsidP="00695624">
            <w:pPr>
              <w:pStyle w:val="Tablesub-heading"/>
              <w:rPr>
                <w:i/>
                <w:szCs w:val="22"/>
              </w:rPr>
            </w:pPr>
            <w:r>
              <w:rPr>
                <w:i/>
                <w:noProof/>
                <w:szCs w:val="22"/>
              </w:rPr>
              <w:t>Swimming Pool Safety – Significant</w:t>
            </w:r>
          </w:p>
          <w:p w14:paraId="1AF0CB90" w14:textId="1D18D5F4" w:rsidR="00695624" w:rsidRDefault="00695624" w:rsidP="00695624">
            <w:pPr>
              <w:ind w:left="34" w:hanging="34"/>
            </w:pPr>
            <w:r w:rsidRPr="0042319E">
              <w:t>Records relating</w:t>
            </w:r>
            <w:r>
              <w:t xml:space="preserve"> to</w:t>
            </w:r>
            <w:r w:rsidRPr="0042319E">
              <w:t xml:space="preserve"> the investigation of </w:t>
            </w:r>
            <w:r>
              <w:t xml:space="preserve">serious </w:t>
            </w:r>
            <w:r w:rsidRPr="0042319E">
              <w:t xml:space="preserve">offences under the </w:t>
            </w:r>
            <w:r w:rsidRPr="009A33B0">
              <w:rPr>
                <w:i/>
                <w:iCs/>
              </w:rPr>
              <w:t>Building Act 1975</w:t>
            </w:r>
            <w:r w:rsidRPr="0042319E">
              <w:t xml:space="preserve"> </w:t>
            </w:r>
            <w:r>
              <w:t>involving matters which show consistent disregard to pool safety regulations and/or incidents of serious accidents, injury or death.</w:t>
            </w:r>
          </w:p>
          <w:p w14:paraId="44CEC194" w14:textId="77777777" w:rsidR="008D283A" w:rsidRPr="00634D63" w:rsidRDefault="008D283A" w:rsidP="002215E0">
            <w:pPr>
              <w:pStyle w:val="Heading2"/>
            </w:pPr>
            <w:r w:rsidRPr="00634D63">
              <w:t xml:space="preserve">Disposal action – </w:t>
            </w:r>
          </w:p>
          <w:p w14:paraId="0CE92634" w14:textId="77777777" w:rsidR="00695624" w:rsidRDefault="00695624" w:rsidP="00695624">
            <w:pPr>
              <w:rPr>
                <w:rFonts w:cs="Arial"/>
                <w:szCs w:val="22"/>
              </w:rPr>
            </w:pPr>
            <w:r>
              <w:rPr>
                <w:rFonts w:cs="Arial"/>
                <w:szCs w:val="22"/>
              </w:rPr>
              <w:t xml:space="preserve">80 years after business action completed. </w:t>
            </w:r>
          </w:p>
          <w:p w14:paraId="4AE5176B" w14:textId="6710DC87" w:rsidR="008D283A" w:rsidRPr="004A453A" w:rsidRDefault="008D283A" w:rsidP="002215E0">
            <w:pPr>
              <w:pStyle w:val="Tablesub-heading"/>
              <w:rPr>
                <w:b w:val="0"/>
              </w:rPr>
            </w:pPr>
          </w:p>
        </w:tc>
        <w:tc>
          <w:tcPr>
            <w:tcW w:w="3519" w:type="pct"/>
            <w:tcBorders>
              <w:top w:val="single" w:sz="6" w:space="0" w:color="C0C0C0"/>
              <w:bottom w:val="single" w:sz="6" w:space="0" w:color="C0C0C0"/>
            </w:tcBorders>
            <w:shd w:val="clear" w:color="auto" w:fill="auto"/>
          </w:tcPr>
          <w:p w14:paraId="51C036BE" w14:textId="263D0ED5" w:rsidR="008D283A" w:rsidRPr="004A453A" w:rsidRDefault="008D283A" w:rsidP="002215E0">
            <w:pPr>
              <w:pStyle w:val="Tablesub-heading"/>
              <w:rPr>
                <w:b w:val="0"/>
                <w:szCs w:val="22"/>
              </w:rPr>
            </w:pPr>
            <w:r>
              <w:t xml:space="preserve">Date authorised: </w:t>
            </w:r>
            <w:r w:rsidR="00067BF0">
              <w:rPr>
                <w:b w:val="0"/>
              </w:rPr>
              <w:t>15 December 2023</w:t>
            </w:r>
          </w:p>
          <w:p w14:paraId="5600ECD1" w14:textId="77777777" w:rsidR="008D283A" w:rsidRPr="00634D63" w:rsidRDefault="008D283A" w:rsidP="002215E0">
            <w:pPr>
              <w:pStyle w:val="Heading2"/>
            </w:pPr>
            <w:r w:rsidRPr="00634D63">
              <w:t>Why are these records created:</w:t>
            </w:r>
          </w:p>
          <w:p w14:paraId="4EDFC3B5" w14:textId="417F2088" w:rsidR="00695624" w:rsidRDefault="00695624" w:rsidP="00695624">
            <w:pPr>
              <w:pStyle w:val="Tablesub-heading"/>
              <w:rPr>
                <w:b w:val="0"/>
                <w:noProof/>
                <w:szCs w:val="22"/>
              </w:rPr>
            </w:pPr>
            <w:r w:rsidRPr="003B21F1">
              <w:rPr>
                <w:b w:val="0"/>
                <w:noProof/>
                <w:szCs w:val="22"/>
              </w:rPr>
              <w:t xml:space="preserve">Records used </w:t>
            </w:r>
            <w:r>
              <w:rPr>
                <w:b w:val="0"/>
                <w:noProof/>
                <w:szCs w:val="22"/>
              </w:rPr>
              <w:t xml:space="preserve">for inspections of </w:t>
            </w:r>
            <w:r w:rsidRPr="003B21F1">
              <w:rPr>
                <w:b w:val="0"/>
                <w:noProof/>
                <w:szCs w:val="22"/>
              </w:rPr>
              <w:t>and investigat</w:t>
            </w:r>
            <w:r>
              <w:rPr>
                <w:b w:val="0"/>
                <w:noProof/>
                <w:szCs w:val="22"/>
              </w:rPr>
              <w:t xml:space="preserve">ions into serious offences under the </w:t>
            </w:r>
            <w:r w:rsidRPr="009A33B0">
              <w:rPr>
                <w:b w:val="0"/>
                <w:i/>
                <w:iCs/>
                <w:noProof/>
                <w:szCs w:val="22"/>
              </w:rPr>
              <w:t>Building Act 1975</w:t>
            </w:r>
            <w:r>
              <w:rPr>
                <w:b w:val="0"/>
                <w:noProof/>
                <w:szCs w:val="22"/>
              </w:rPr>
              <w:t xml:space="preserve"> involving matters which show consistent disregard to pool safety regulations and/or incidents of serious accidents, injury or death.</w:t>
            </w:r>
          </w:p>
          <w:p w14:paraId="7963C31A" w14:textId="77777777" w:rsidR="00695624" w:rsidRPr="003B21F1" w:rsidRDefault="00695624" w:rsidP="00695624">
            <w:pPr>
              <w:pStyle w:val="Tablesub-heading"/>
              <w:rPr>
                <w:noProof/>
                <w:szCs w:val="22"/>
              </w:rPr>
            </w:pPr>
            <w:r w:rsidRPr="003B21F1">
              <w:rPr>
                <w:b w:val="0"/>
                <w:noProof/>
                <w:szCs w:val="22"/>
              </w:rPr>
              <w:t>A</w:t>
            </w:r>
            <w:r>
              <w:rPr>
                <w:b w:val="0"/>
                <w:noProof/>
                <w:szCs w:val="22"/>
              </w:rPr>
              <w:t xml:space="preserve"> pool </w:t>
            </w:r>
            <w:r w:rsidRPr="003B21F1">
              <w:rPr>
                <w:b w:val="0"/>
                <w:noProof/>
                <w:szCs w:val="22"/>
              </w:rPr>
              <w:t>owner on regulated land is required to ensure their pool complies with the pool safety laws</w:t>
            </w:r>
            <w:r>
              <w:rPr>
                <w:b w:val="0"/>
                <w:noProof/>
                <w:szCs w:val="22"/>
              </w:rPr>
              <w:t xml:space="preserve"> and m</w:t>
            </w:r>
            <w:r w:rsidRPr="003B21F1">
              <w:rPr>
                <w:b w:val="0"/>
                <w:noProof/>
                <w:szCs w:val="22"/>
              </w:rPr>
              <w:t>ust also continue to comply with either the pool safety standard or an approved pool safety management plan. Where owners elect to use a pool safety management plan to comply, applications to continue to use the plan must be made annually.</w:t>
            </w:r>
          </w:p>
          <w:p w14:paraId="0340C02C" w14:textId="77777777" w:rsidR="00695624" w:rsidRPr="003B21F1" w:rsidRDefault="00695624" w:rsidP="00695624">
            <w:pPr>
              <w:pStyle w:val="Tablesub-heading"/>
              <w:rPr>
                <w:noProof/>
                <w:szCs w:val="22"/>
              </w:rPr>
            </w:pPr>
            <w:r w:rsidRPr="003B21F1">
              <w:rPr>
                <w:b w:val="0"/>
                <w:noProof/>
                <w:szCs w:val="22"/>
              </w:rPr>
              <w:t>A pool safety management plan must include details of the safety measures the owner intends to implement under the plan to appropriately provide for the safety of young children in and around the pool.</w:t>
            </w:r>
          </w:p>
          <w:p w14:paraId="6619180C" w14:textId="77777777" w:rsidR="00695624" w:rsidRPr="003B21F1" w:rsidRDefault="00695624" w:rsidP="00695624">
            <w:pPr>
              <w:pStyle w:val="Tablesub-heading"/>
              <w:rPr>
                <w:noProof/>
                <w:szCs w:val="22"/>
              </w:rPr>
            </w:pPr>
            <w:r w:rsidRPr="003B21F1">
              <w:rPr>
                <w:b w:val="0"/>
                <w:noProof/>
                <w:szCs w:val="22"/>
              </w:rPr>
              <w:t>The pool owner may be required by the QBCC to provide further information about the pool safety management plan and the measures the pool owner will implement to provide for the safety of young children in and around the pool.</w:t>
            </w:r>
          </w:p>
          <w:p w14:paraId="6BBC69D0" w14:textId="77777777" w:rsidR="00695624" w:rsidRPr="003B21F1" w:rsidRDefault="00695624" w:rsidP="00695624">
            <w:pPr>
              <w:pStyle w:val="Tablesub-heading"/>
              <w:rPr>
                <w:noProof/>
                <w:szCs w:val="22"/>
              </w:rPr>
            </w:pPr>
            <w:r w:rsidRPr="003B21F1">
              <w:rPr>
                <w:b w:val="0"/>
                <w:noProof/>
                <w:szCs w:val="22"/>
              </w:rPr>
              <w:t>If the QBCC is no longer satisfied that the pool safety measures under an approved pool safety management plan appropriately provide for the safety of young children in and around the pool, it may cancel the approved plan or require the owner to amend the plan. However, the QBCC must first provide the pool owner with a show cause notice advising the owner that it intends to cancel or amend the approval.</w:t>
            </w:r>
          </w:p>
          <w:p w14:paraId="7C89E6F0" w14:textId="7EE0D616" w:rsidR="008D283A" w:rsidRPr="00695624" w:rsidRDefault="00695624" w:rsidP="002215E0">
            <w:pPr>
              <w:pStyle w:val="Tablesub-heading"/>
              <w:rPr>
                <w:noProof/>
                <w:szCs w:val="22"/>
              </w:rPr>
            </w:pPr>
            <w:r w:rsidRPr="003B21F1">
              <w:rPr>
                <w:b w:val="0"/>
                <w:noProof/>
                <w:szCs w:val="22"/>
              </w:rPr>
              <w:t>The owner has 20 business days after the show cause notice is given to make a submission as to why the proposed action should not be taken</w:t>
            </w:r>
            <w:r>
              <w:rPr>
                <w:b w:val="0"/>
                <w:noProof/>
                <w:szCs w:val="22"/>
              </w:rPr>
              <w:t>.</w:t>
            </w:r>
          </w:p>
          <w:p w14:paraId="516D7D4C" w14:textId="77777777" w:rsidR="008D283A" w:rsidRPr="00634D63" w:rsidRDefault="008D283A" w:rsidP="002215E0">
            <w:pPr>
              <w:pStyle w:val="Heading2"/>
            </w:pPr>
            <w:r w:rsidRPr="00634D63">
              <w:t>Why the records are retained for this retention period:</w:t>
            </w:r>
          </w:p>
          <w:p w14:paraId="706CAD0A" w14:textId="0DBFDBF7" w:rsidR="008D283A" w:rsidRPr="004A453A" w:rsidRDefault="00695624" w:rsidP="002215E0">
            <w:pPr>
              <w:pStyle w:val="Tablesub-heading"/>
              <w:rPr>
                <w:b w:val="0"/>
                <w:szCs w:val="22"/>
              </w:rPr>
            </w:pPr>
            <w:r w:rsidRPr="001122FA">
              <w:rPr>
                <w:b w:val="0"/>
                <w:noProof/>
                <w:szCs w:val="22"/>
              </w:rPr>
              <w:t>The retention for these records has been aligned with notifiable incidents where there are incidents that involve the death of a person, a serious injury or a dangerous incident. The 80</w:t>
            </w:r>
            <w:r>
              <w:rPr>
                <w:b w:val="0"/>
                <w:noProof/>
                <w:szCs w:val="22"/>
              </w:rPr>
              <w:t>-</w:t>
            </w:r>
            <w:r w:rsidRPr="001122FA">
              <w:rPr>
                <w:b w:val="0"/>
                <w:noProof/>
                <w:szCs w:val="22"/>
              </w:rPr>
              <w:t xml:space="preserve">year retention period allows for compensation claims that could potentially be lodged at any time during the lifetime of a claimant. It also ensures that information that may be required long term for future medical treatment is retained. Records of significant incidents relating to pool safety are also held by other investigating agencies including Queensland Police and the Coroner’s Office.  The community would expect that </w:t>
            </w:r>
            <w:r w:rsidRPr="001122FA">
              <w:rPr>
                <w:b w:val="0"/>
                <w:noProof/>
                <w:szCs w:val="22"/>
              </w:rPr>
              <w:lastRenderedPageBreak/>
              <w:t>records relating to significant pool safety incidents would be retained for a significant period of time to provide evidence of actions and decisions and support the rights and entitlements of any affected parties.</w:t>
            </w:r>
            <w:r w:rsidR="008D283A">
              <w:rPr>
                <w:b w:val="0"/>
                <w:szCs w:val="22"/>
              </w:rPr>
              <w:t xml:space="preserve"> </w:t>
            </w:r>
          </w:p>
          <w:p w14:paraId="14375012" w14:textId="77777777" w:rsidR="008D283A" w:rsidRPr="00634D63" w:rsidRDefault="008D283A" w:rsidP="002215E0">
            <w:pPr>
              <w:pStyle w:val="Heading2"/>
            </w:pPr>
            <w:r w:rsidRPr="00634D63">
              <w:t>Applicable legislation/standards:</w:t>
            </w:r>
          </w:p>
          <w:p w14:paraId="29078AB2" w14:textId="2E7C169C" w:rsidR="008D283A" w:rsidRPr="00695624" w:rsidRDefault="00695624" w:rsidP="00695624">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w:t>
            </w:r>
            <w:r>
              <w:rPr>
                <w:rFonts w:ascii="Arial" w:hAnsi="Arial" w:cs="Arial"/>
                <w:b w:val="0"/>
                <w:noProof/>
                <w:szCs w:val="22"/>
              </w:rPr>
              <w:t xml:space="preserve">                                                                                               </w:t>
            </w:r>
            <w:r w:rsidRPr="00C66CC8">
              <w:rPr>
                <w:rFonts w:ascii="Arial" w:hAnsi="Arial" w:cs="Arial"/>
                <w:b w:val="0"/>
                <w:noProof/>
                <w:szCs w:val="22"/>
              </w:rPr>
              <w:t xml:space="preserve">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w:t>
            </w:r>
            <w:r>
              <w:rPr>
                <w:rFonts w:ascii="Arial" w:hAnsi="Arial" w:cs="Arial"/>
                <w:b w:val="0"/>
                <w:noProof/>
                <w:szCs w:val="22"/>
              </w:rPr>
              <w:t xml:space="preserve"> </w:t>
            </w:r>
            <w:r w:rsidRPr="00C66CC8">
              <w:rPr>
                <w:rFonts w:ascii="Arial" w:hAnsi="Arial" w:cs="Arial"/>
                <w:b w:val="0"/>
                <w:noProof/>
                <w:szCs w:val="22"/>
              </w:rPr>
              <w:t>of this appraisal log.</w:t>
            </w:r>
          </w:p>
          <w:p w14:paraId="2E2120F9" w14:textId="77777777" w:rsidR="008D283A" w:rsidRPr="00634D63" w:rsidRDefault="008D283A" w:rsidP="002215E0">
            <w:pPr>
              <w:pStyle w:val="Heading2"/>
            </w:pPr>
            <w:r w:rsidRPr="00634D63">
              <w:t xml:space="preserve">Comparison with other schedules' retention period: </w:t>
            </w:r>
          </w:p>
          <w:p w14:paraId="79DEB6CB" w14:textId="4C6C9F0A" w:rsidR="00406CBE" w:rsidRPr="00434DB1" w:rsidRDefault="00406CBE" w:rsidP="00406CBE">
            <w:pPr>
              <w:pStyle w:val="Tablesub-heading"/>
              <w:rPr>
                <w:b w:val="0"/>
                <w:noProof/>
                <w:szCs w:val="22"/>
              </w:rPr>
            </w:pPr>
            <w:r w:rsidRPr="00DB4F09">
              <w:rPr>
                <w:b w:val="0"/>
                <w:i/>
                <w:iCs/>
                <w:noProof/>
                <w:szCs w:val="22"/>
              </w:rPr>
              <w:t>General Retention and Disposal Schedule</w:t>
            </w:r>
            <w:r>
              <w:rPr>
                <w:b w:val="0"/>
                <w:noProof/>
                <w:szCs w:val="22"/>
              </w:rPr>
              <w:t xml:space="preserve"> (GRDS) 1214 </w:t>
            </w:r>
            <w:r w:rsidR="00CF1687">
              <w:rPr>
                <w:b w:val="0"/>
                <w:noProof/>
                <w:szCs w:val="22"/>
              </w:rPr>
              <w:t xml:space="preserve">- </w:t>
            </w:r>
            <w:r>
              <w:rPr>
                <w:b w:val="0"/>
                <w:noProof/>
                <w:szCs w:val="22"/>
              </w:rPr>
              <w:t>Notifiable incidents – retain 80 years after business action completed</w:t>
            </w:r>
          </w:p>
          <w:p w14:paraId="701774F7" w14:textId="0DEB44DA" w:rsidR="00406CBE" w:rsidRDefault="00406CBE" w:rsidP="00406CBE">
            <w:pPr>
              <w:pStyle w:val="Tablesub-heading"/>
              <w:rPr>
                <w:b w:val="0"/>
                <w:noProof/>
                <w:szCs w:val="22"/>
              </w:rPr>
            </w:pPr>
            <w:r w:rsidRPr="00546AE6">
              <w:rPr>
                <w:b w:val="0"/>
                <w:i/>
                <w:iCs/>
                <w:noProof/>
                <w:szCs w:val="22"/>
              </w:rPr>
              <w:t>QDAN 705 v1 Courts Sector Retention and Disposal Schedule</w:t>
            </w:r>
            <w:r>
              <w:rPr>
                <w:b w:val="0"/>
                <w:noProof/>
                <w:szCs w:val="22"/>
              </w:rPr>
              <w:t xml:space="preserve"> 3.3.1 </w:t>
            </w:r>
            <w:r w:rsidR="00CF1687">
              <w:rPr>
                <w:b w:val="0"/>
                <w:noProof/>
                <w:szCs w:val="22"/>
              </w:rPr>
              <w:t xml:space="preserve">- </w:t>
            </w:r>
            <w:r>
              <w:rPr>
                <w:b w:val="0"/>
                <w:noProof/>
                <w:szCs w:val="22"/>
              </w:rPr>
              <w:t xml:space="preserve">Reportable deaths – Retain permanently </w:t>
            </w:r>
          </w:p>
          <w:p w14:paraId="4EEF253C" w14:textId="1C404E5B" w:rsidR="00406CBE" w:rsidRDefault="00406CBE" w:rsidP="00406CBE">
            <w:pPr>
              <w:pStyle w:val="Tablesub-heading"/>
              <w:rPr>
                <w:b w:val="0"/>
                <w:noProof/>
                <w:szCs w:val="22"/>
              </w:rPr>
            </w:pPr>
            <w:r w:rsidRPr="00650BB9">
              <w:rPr>
                <w:b w:val="0"/>
                <w:i/>
                <w:iCs/>
                <w:noProof/>
                <w:szCs w:val="22"/>
              </w:rPr>
              <w:t>GA39, Local Government Records – Compliance – Serious Breaches -</w:t>
            </w:r>
            <w:r>
              <w:rPr>
                <w:b w:val="0"/>
                <w:noProof/>
                <w:szCs w:val="22"/>
              </w:rPr>
              <w:t xml:space="preserve"> 20.2.1 - Retain Permanently - as issued by NSW State Archives and Records </w:t>
            </w:r>
            <w:r w:rsidR="00CF1687">
              <w:rPr>
                <w:b w:val="0"/>
                <w:noProof/>
                <w:szCs w:val="22"/>
              </w:rPr>
              <w:t xml:space="preserve">Authority </w:t>
            </w:r>
            <w:r>
              <w:rPr>
                <w:b w:val="0"/>
                <w:noProof/>
                <w:szCs w:val="22"/>
              </w:rPr>
              <w:t>(SARA).</w:t>
            </w:r>
          </w:p>
          <w:p w14:paraId="64AEE749" w14:textId="77777777" w:rsidR="008D283A" w:rsidRPr="00634D63" w:rsidRDefault="008D283A" w:rsidP="002215E0">
            <w:pPr>
              <w:pStyle w:val="Heading2"/>
            </w:pPr>
            <w:r w:rsidRPr="00634D63">
              <w:t>Previous schedule references:</w:t>
            </w:r>
          </w:p>
          <w:p w14:paraId="24EBC3F9" w14:textId="2280E958" w:rsidR="008D283A" w:rsidRPr="004A453A" w:rsidRDefault="00855E6F" w:rsidP="002215E0">
            <w:pPr>
              <w:pStyle w:val="Tablesub-heading"/>
              <w:rPr>
                <w:b w:val="0"/>
                <w:szCs w:val="22"/>
              </w:rPr>
            </w:pPr>
            <w:r>
              <w:rPr>
                <w:b w:val="0"/>
                <w:szCs w:val="22"/>
              </w:rPr>
              <w:t>New disposal authorisation</w:t>
            </w:r>
          </w:p>
        </w:tc>
      </w:tr>
      <w:bookmarkEnd w:id="21"/>
      <w:tr w:rsidR="008D283A" w:rsidRPr="004A453A" w14:paraId="1424ACAD" w14:textId="77777777" w:rsidTr="00384B0E">
        <w:tc>
          <w:tcPr>
            <w:tcW w:w="567" w:type="pct"/>
            <w:tcBorders>
              <w:top w:val="single" w:sz="6" w:space="0" w:color="C0C0C0"/>
              <w:bottom w:val="single" w:sz="6" w:space="0" w:color="C0C0C0"/>
            </w:tcBorders>
            <w:shd w:val="clear" w:color="auto" w:fill="auto"/>
          </w:tcPr>
          <w:p w14:paraId="02135D3F" w14:textId="0543A60E" w:rsidR="008D283A" w:rsidRPr="004A453A" w:rsidRDefault="001A01CA" w:rsidP="002215E0">
            <w:pPr>
              <w:pStyle w:val="Tablesub-heading"/>
              <w:rPr>
                <w:b w:val="0"/>
                <w:szCs w:val="22"/>
              </w:rPr>
            </w:pPr>
            <w:r>
              <w:rPr>
                <w:b w:val="0"/>
                <w:szCs w:val="22"/>
              </w:rPr>
              <w:lastRenderedPageBreak/>
              <w:t>2779</w:t>
            </w:r>
          </w:p>
        </w:tc>
        <w:tc>
          <w:tcPr>
            <w:tcW w:w="914" w:type="pct"/>
            <w:tcBorders>
              <w:top w:val="single" w:sz="6" w:space="0" w:color="C0C0C0"/>
              <w:bottom w:val="single" w:sz="6" w:space="0" w:color="C0C0C0"/>
            </w:tcBorders>
            <w:shd w:val="clear" w:color="auto" w:fill="auto"/>
          </w:tcPr>
          <w:p w14:paraId="1E3650C5" w14:textId="77777777" w:rsidR="00BB4610" w:rsidRPr="00917033" w:rsidRDefault="00BB4610" w:rsidP="00BB4610">
            <w:pPr>
              <w:pStyle w:val="Tablesub-heading"/>
              <w:rPr>
                <w:i/>
                <w:szCs w:val="22"/>
              </w:rPr>
            </w:pPr>
            <w:r>
              <w:rPr>
                <w:i/>
                <w:noProof/>
                <w:szCs w:val="22"/>
              </w:rPr>
              <w:t xml:space="preserve">Swimming Pool Safety – Other </w:t>
            </w:r>
          </w:p>
          <w:p w14:paraId="3B703CE4" w14:textId="742559D9" w:rsidR="00BB4610" w:rsidRPr="004A453A" w:rsidRDefault="00BB4610" w:rsidP="00BB4610">
            <w:pPr>
              <w:pStyle w:val="Tablesub-heading"/>
              <w:rPr>
                <w:szCs w:val="22"/>
              </w:rPr>
            </w:pPr>
            <w:r>
              <w:rPr>
                <w:b w:val="0"/>
                <w:noProof/>
                <w:szCs w:val="22"/>
              </w:rPr>
              <w:t xml:space="preserve">Records relating to the monitoring and enforcement of compliance and investigation of offences under the </w:t>
            </w:r>
            <w:r w:rsidRPr="009A33B0">
              <w:rPr>
                <w:b w:val="0"/>
                <w:i/>
                <w:iCs/>
                <w:noProof/>
                <w:szCs w:val="22"/>
              </w:rPr>
              <w:t>Building Act 1975</w:t>
            </w:r>
            <w:r>
              <w:rPr>
                <w:b w:val="0"/>
                <w:noProof/>
                <w:szCs w:val="22"/>
              </w:rPr>
              <w:t xml:space="preserve"> and maintenance of the pools register. Activities associated are – advice, complaints, reporting, compliant barriers, regulated or shared pools and, show cause notices, pool </w:t>
            </w:r>
            <w:r>
              <w:rPr>
                <w:b w:val="0"/>
                <w:noProof/>
                <w:szCs w:val="22"/>
              </w:rPr>
              <w:lastRenderedPageBreak/>
              <w:t>fencing and all other pool related matters.</w:t>
            </w:r>
          </w:p>
          <w:p w14:paraId="022FCB77" w14:textId="77777777" w:rsidR="008D283A" w:rsidRPr="00634D63" w:rsidRDefault="008D283A" w:rsidP="002215E0">
            <w:pPr>
              <w:pStyle w:val="Heading2"/>
            </w:pPr>
            <w:r w:rsidRPr="00634D63">
              <w:t xml:space="preserve">Disposal action – </w:t>
            </w:r>
          </w:p>
          <w:p w14:paraId="5C182290" w14:textId="77777777" w:rsidR="00BB4610" w:rsidRPr="005B6304" w:rsidRDefault="00BB4610" w:rsidP="00BB4610">
            <w:pPr>
              <w:pStyle w:val="Tablesub-heading"/>
              <w:rPr>
                <w:b w:val="0"/>
                <w:bCs/>
              </w:rPr>
            </w:pPr>
            <w:r w:rsidRPr="005B6304">
              <w:rPr>
                <w:b w:val="0"/>
                <w:bCs/>
              </w:rPr>
              <w:t>10 years after business action completed</w:t>
            </w:r>
          </w:p>
          <w:p w14:paraId="24F2C382" w14:textId="77777777" w:rsidR="00BB4610" w:rsidRPr="005B6304" w:rsidRDefault="00BB4610" w:rsidP="00BB4610">
            <w:pPr>
              <w:pStyle w:val="Tablesub-heading"/>
              <w:rPr>
                <w:b w:val="0"/>
                <w:bCs/>
              </w:rPr>
            </w:pPr>
            <w:r w:rsidRPr="005B6304">
              <w:rPr>
                <w:b w:val="0"/>
                <w:bCs/>
              </w:rPr>
              <w:t xml:space="preserve">OR </w:t>
            </w:r>
          </w:p>
          <w:p w14:paraId="7E9D4C80" w14:textId="104319DC" w:rsidR="008D283A" w:rsidRPr="004A453A" w:rsidRDefault="00BB4610" w:rsidP="00BB4610">
            <w:pPr>
              <w:pStyle w:val="Tablesub-heading"/>
              <w:rPr>
                <w:b w:val="0"/>
              </w:rPr>
            </w:pPr>
            <w:r w:rsidRPr="005B6304">
              <w:rPr>
                <w:b w:val="0"/>
                <w:bCs/>
              </w:rPr>
              <w:t>10 years after any minor involved in a pool immersion incident turns 18, whichever is later.</w:t>
            </w:r>
          </w:p>
        </w:tc>
        <w:tc>
          <w:tcPr>
            <w:tcW w:w="3519" w:type="pct"/>
            <w:tcBorders>
              <w:top w:val="single" w:sz="6" w:space="0" w:color="C0C0C0"/>
              <w:bottom w:val="single" w:sz="6" w:space="0" w:color="C0C0C0"/>
            </w:tcBorders>
            <w:shd w:val="clear" w:color="auto" w:fill="auto"/>
          </w:tcPr>
          <w:p w14:paraId="738CB426" w14:textId="7E6BEB99" w:rsidR="008D283A" w:rsidRPr="004A453A" w:rsidRDefault="008D283A" w:rsidP="002215E0">
            <w:pPr>
              <w:pStyle w:val="Tablesub-heading"/>
              <w:rPr>
                <w:b w:val="0"/>
                <w:szCs w:val="22"/>
              </w:rPr>
            </w:pPr>
            <w:r>
              <w:lastRenderedPageBreak/>
              <w:t xml:space="preserve">Date authorised: </w:t>
            </w:r>
            <w:r w:rsidR="00067BF0">
              <w:rPr>
                <w:b w:val="0"/>
              </w:rPr>
              <w:t>15 December 2023</w:t>
            </w:r>
          </w:p>
          <w:p w14:paraId="77E80B10" w14:textId="77777777" w:rsidR="008D283A" w:rsidRPr="00634D63" w:rsidRDefault="008D283A" w:rsidP="002215E0">
            <w:pPr>
              <w:pStyle w:val="Heading2"/>
            </w:pPr>
            <w:r w:rsidRPr="00634D63">
              <w:t>Why are these records created:</w:t>
            </w:r>
          </w:p>
          <w:p w14:paraId="0D39FD3E" w14:textId="77777777" w:rsidR="00BB4610" w:rsidRPr="003B21F1" w:rsidRDefault="00BB4610" w:rsidP="00BB4610">
            <w:pPr>
              <w:pStyle w:val="Tablesub-heading"/>
              <w:rPr>
                <w:noProof/>
                <w:szCs w:val="22"/>
              </w:rPr>
            </w:pPr>
            <w:r w:rsidRPr="003B21F1">
              <w:rPr>
                <w:b w:val="0"/>
                <w:noProof/>
                <w:szCs w:val="22"/>
              </w:rPr>
              <w:t>Records used to assess and investigate complaints and monitor compliance through regulatory audits and statutory reporting to the agency.</w:t>
            </w:r>
          </w:p>
          <w:p w14:paraId="04B4F521" w14:textId="77777777" w:rsidR="00BB4610" w:rsidRPr="003B21F1" w:rsidRDefault="00BB4610" w:rsidP="00BB4610">
            <w:pPr>
              <w:pStyle w:val="Tablesub-heading"/>
              <w:rPr>
                <w:noProof/>
                <w:szCs w:val="22"/>
              </w:rPr>
            </w:pPr>
            <w:r w:rsidRPr="003B21F1">
              <w:rPr>
                <w:b w:val="0"/>
                <w:noProof/>
                <w:szCs w:val="22"/>
              </w:rPr>
              <w:t>Associated activities includes assessing and approving pool safety management plans and licensing of pool safety inspectors.</w:t>
            </w:r>
          </w:p>
          <w:p w14:paraId="2D2C944C" w14:textId="77777777" w:rsidR="00BB4610" w:rsidRPr="003B21F1" w:rsidRDefault="00BB4610" w:rsidP="00BB4610">
            <w:pPr>
              <w:pStyle w:val="Tablesub-heading"/>
              <w:rPr>
                <w:noProof/>
                <w:szCs w:val="22"/>
              </w:rPr>
            </w:pPr>
            <w:r w:rsidRPr="003B21F1">
              <w:rPr>
                <w:b w:val="0"/>
                <w:noProof/>
                <w:szCs w:val="22"/>
              </w:rPr>
              <w:t>The requirements for pool safety is that it is (1) entered into the QBCC pool safety register (2) the pool barrier fence is compliant to Queensland Development Code (QDC) MP 3.4 and Australian Standard AS-1926 and (3) needs to have a pool safety certificate when properties are sold or leased.</w:t>
            </w:r>
          </w:p>
          <w:p w14:paraId="2241E444" w14:textId="77777777" w:rsidR="00BB4610" w:rsidRPr="003B21F1" w:rsidRDefault="00BB4610" w:rsidP="00BB4610">
            <w:pPr>
              <w:pStyle w:val="Tablesub-heading"/>
              <w:rPr>
                <w:noProof/>
                <w:szCs w:val="22"/>
              </w:rPr>
            </w:pPr>
            <w:r w:rsidRPr="003B21F1">
              <w:rPr>
                <w:b w:val="0"/>
                <w:noProof/>
                <w:szCs w:val="22"/>
              </w:rPr>
              <w:t>An owner of a pool on regulated land is required to ensure their pool complies with the pool safety laws. Pool owners must also continue to comply with either the pool safety standard or an approved pool safety management plan. Where owners elect to use a pool safety management plan to comply, applications to continue to use the plan must be made annually.</w:t>
            </w:r>
          </w:p>
          <w:p w14:paraId="54DECCD2" w14:textId="77777777" w:rsidR="00BB4610" w:rsidRPr="003B21F1" w:rsidRDefault="00BB4610" w:rsidP="00BB4610">
            <w:pPr>
              <w:pStyle w:val="Tablesub-heading"/>
              <w:rPr>
                <w:noProof/>
                <w:szCs w:val="22"/>
              </w:rPr>
            </w:pPr>
            <w:r w:rsidRPr="003B21F1">
              <w:rPr>
                <w:b w:val="0"/>
                <w:noProof/>
                <w:szCs w:val="22"/>
              </w:rPr>
              <w:lastRenderedPageBreak/>
              <w:t>A pool safety management plan must include details of the safety measures the owner intends to implement under the plan to appropriately provide for the safety of young children in and around the pool.</w:t>
            </w:r>
          </w:p>
          <w:p w14:paraId="02647AC2" w14:textId="77777777" w:rsidR="00BB4610" w:rsidRPr="003B21F1" w:rsidRDefault="00BB4610" w:rsidP="00BB4610">
            <w:pPr>
              <w:pStyle w:val="Tablesub-heading"/>
              <w:rPr>
                <w:noProof/>
                <w:szCs w:val="22"/>
              </w:rPr>
            </w:pPr>
            <w:r w:rsidRPr="003B21F1">
              <w:rPr>
                <w:b w:val="0"/>
                <w:noProof/>
                <w:szCs w:val="22"/>
              </w:rPr>
              <w:t>Upon receiving a pool safety application, the QBCC has 20 business days in which to decide to approve or refuse the pool safety management plan. The pool owner may be required by the QBCC to provide further information about the pool safety management plan and the measures the pool owner will implement to provide for the safety of young children in and around the pool.</w:t>
            </w:r>
          </w:p>
          <w:p w14:paraId="63C613D4" w14:textId="77777777" w:rsidR="00BB4610" w:rsidRPr="003B21F1" w:rsidRDefault="00BB4610" w:rsidP="00BB4610">
            <w:pPr>
              <w:pStyle w:val="Tablesub-heading"/>
              <w:rPr>
                <w:noProof/>
                <w:szCs w:val="22"/>
              </w:rPr>
            </w:pPr>
            <w:r w:rsidRPr="003B21F1">
              <w:rPr>
                <w:b w:val="0"/>
                <w:noProof/>
                <w:szCs w:val="22"/>
              </w:rPr>
              <w:t>If the QBCC is no longer satisfied that the pool safety measures under an approved pool safety management plan appropriately provide for the safety of young children in and around the pool, it may cancel the approved plan or require the owner to amend the plan. However, the QBCC must first provide the pool owner with a show cause notice advising the owner that it intends to cancel or amend the approval.</w:t>
            </w:r>
          </w:p>
          <w:p w14:paraId="40F3A46E" w14:textId="7E9A0FFA" w:rsidR="00BB4610" w:rsidRPr="003B21F1" w:rsidRDefault="00BB4610" w:rsidP="00BB4610">
            <w:pPr>
              <w:pStyle w:val="Tablesub-heading"/>
              <w:rPr>
                <w:noProof/>
                <w:szCs w:val="22"/>
              </w:rPr>
            </w:pPr>
            <w:r w:rsidRPr="003B21F1">
              <w:rPr>
                <w:b w:val="0"/>
                <w:noProof/>
                <w:szCs w:val="22"/>
              </w:rPr>
              <w:t>The owner has 20 business days after the show cause notice is given to make a submission as to why the proposed action should not be taken</w:t>
            </w:r>
            <w:r>
              <w:rPr>
                <w:b w:val="0"/>
                <w:noProof/>
                <w:szCs w:val="22"/>
              </w:rPr>
              <w:t>.</w:t>
            </w:r>
          </w:p>
          <w:p w14:paraId="64A5CA5A" w14:textId="77777777" w:rsidR="008D283A" w:rsidRPr="00634D63" w:rsidRDefault="008D283A" w:rsidP="002215E0">
            <w:pPr>
              <w:pStyle w:val="Heading2"/>
            </w:pPr>
            <w:r w:rsidRPr="00634D63">
              <w:t>Why the records are retained for this retention period:</w:t>
            </w:r>
          </w:p>
          <w:p w14:paraId="76D39714" w14:textId="4EF676B5" w:rsidR="00BB4610" w:rsidRDefault="00BB4610" w:rsidP="00BB4610">
            <w:pPr>
              <w:pStyle w:val="Tablesub-heading"/>
              <w:rPr>
                <w:rFonts w:cs="Arial"/>
                <w:b w:val="0"/>
                <w:bCs/>
              </w:rPr>
            </w:pPr>
            <w:r>
              <w:rPr>
                <w:b w:val="0"/>
                <w:noProof/>
                <w:szCs w:val="22"/>
              </w:rPr>
              <w:t xml:space="preserve">Under the </w:t>
            </w:r>
            <w:r w:rsidRPr="003B21F1">
              <w:rPr>
                <w:b w:val="0"/>
                <w:i/>
                <w:iCs/>
                <w:noProof/>
                <w:szCs w:val="22"/>
              </w:rPr>
              <w:t>Building Act</w:t>
            </w:r>
            <w:r>
              <w:rPr>
                <w:b w:val="0"/>
                <w:noProof/>
                <w:szCs w:val="22"/>
              </w:rPr>
              <w:t xml:space="preserve"> </w:t>
            </w:r>
            <w:r w:rsidRPr="009A33B0">
              <w:rPr>
                <w:b w:val="0"/>
                <w:i/>
                <w:iCs/>
                <w:noProof/>
                <w:szCs w:val="22"/>
              </w:rPr>
              <w:t>1975</w:t>
            </w:r>
            <w:r>
              <w:rPr>
                <w:b w:val="0"/>
                <w:noProof/>
                <w:szCs w:val="22"/>
              </w:rPr>
              <w:t xml:space="preserve">, s.246AD, the minimum retention of Pool Safety Inspection Certificates and Notices is five (5) years.  </w:t>
            </w:r>
            <w:r>
              <w:rPr>
                <w:rFonts w:cs="Arial"/>
                <w:b w:val="0"/>
                <w:bCs/>
              </w:rPr>
              <w:t>A ten (10) year retention</w:t>
            </w:r>
            <w:r w:rsidRPr="00211D94">
              <w:rPr>
                <w:rFonts w:cs="Arial"/>
                <w:b w:val="0"/>
                <w:bCs/>
              </w:rPr>
              <w:t xml:space="preserve"> period ensures that the records are available in the event of any legal claims brought in accordance with s.10 of the </w:t>
            </w:r>
            <w:r w:rsidRPr="003B21F1">
              <w:rPr>
                <w:rFonts w:cs="Arial"/>
                <w:b w:val="0"/>
                <w:bCs/>
                <w:i/>
                <w:iCs/>
              </w:rPr>
              <w:t>Limitation of Actions Act</w:t>
            </w:r>
            <w:r>
              <w:rPr>
                <w:rFonts w:cs="Arial"/>
                <w:b w:val="0"/>
                <w:bCs/>
              </w:rPr>
              <w:t xml:space="preserve"> </w:t>
            </w:r>
            <w:r w:rsidRPr="009A33B0">
              <w:rPr>
                <w:rFonts w:cs="Arial"/>
                <w:b w:val="0"/>
                <w:bCs/>
                <w:i/>
                <w:iCs/>
              </w:rPr>
              <w:t>1974</w:t>
            </w:r>
            <w:r>
              <w:rPr>
                <w:rFonts w:cs="Arial"/>
                <w:b w:val="0"/>
                <w:bCs/>
              </w:rPr>
              <w:t>.</w:t>
            </w:r>
            <w:r w:rsidRPr="00211D94">
              <w:rPr>
                <w:rFonts w:cs="Arial"/>
                <w:b w:val="0"/>
                <w:bCs/>
              </w:rPr>
              <w:t xml:space="preserve"> </w:t>
            </w:r>
          </w:p>
          <w:p w14:paraId="4750C5CC" w14:textId="05806F71" w:rsidR="008D283A" w:rsidRPr="00BB4610" w:rsidRDefault="00BB4610" w:rsidP="00BB4610">
            <w:pPr>
              <w:pStyle w:val="Heading2"/>
              <w:shd w:val="clear" w:color="auto" w:fill="FFFFFF"/>
              <w:rPr>
                <w:b w:val="0"/>
                <w:bCs/>
                <w:szCs w:val="22"/>
              </w:rPr>
            </w:pPr>
            <w:r>
              <w:rPr>
                <w:rFonts w:ascii="Arial" w:hAnsi="Arial" w:cs="Arial"/>
                <w:b w:val="0"/>
                <w:bCs/>
              </w:rPr>
              <w:t>The ten-year retention period supports the decisions of the business by providing evidence of actions taken and ensures that records are available for a sufficient period of time to be referred back to if required.</w:t>
            </w:r>
            <w:r w:rsidR="008D283A">
              <w:rPr>
                <w:b w:val="0"/>
                <w:szCs w:val="22"/>
              </w:rPr>
              <w:t xml:space="preserve"> </w:t>
            </w:r>
          </w:p>
          <w:p w14:paraId="00C0FA8E" w14:textId="77777777" w:rsidR="008D283A" w:rsidRPr="00634D63" w:rsidRDefault="008D283A" w:rsidP="002215E0">
            <w:pPr>
              <w:pStyle w:val="Heading2"/>
            </w:pPr>
            <w:r w:rsidRPr="00634D63">
              <w:t>Applicable legislation/standards:</w:t>
            </w:r>
          </w:p>
          <w:p w14:paraId="4E4DFE23" w14:textId="77777777" w:rsidR="00BB4610" w:rsidRPr="00C66CC8" w:rsidRDefault="00BB4610" w:rsidP="00BB4610">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p>
          <w:p w14:paraId="55364FB2" w14:textId="77777777" w:rsidR="008D283A" w:rsidRPr="00634D63" w:rsidRDefault="008D283A" w:rsidP="002215E0">
            <w:pPr>
              <w:pStyle w:val="Heading2"/>
            </w:pPr>
            <w:r w:rsidRPr="00634D63">
              <w:t xml:space="preserve">Comparison with other schedules' retention period: </w:t>
            </w:r>
          </w:p>
          <w:p w14:paraId="72E4FE86" w14:textId="77777777" w:rsidR="00BB4610" w:rsidRDefault="00BB4610" w:rsidP="00BB4610">
            <w:pPr>
              <w:pStyle w:val="Tablesub-heading"/>
              <w:rPr>
                <w:b w:val="0"/>
                <w:noProof/>
                <w:szCs w:val="22"/>
              </w:rPr>
            </w:pPr>
            <w:r w:rsidRPr="00237200">
              <w:rPr>
                <w:b w:val="0"/>
                <w:i/>
                <w:iCs/>
                <w:noProof/>
                <w:szCs w:val="22"/>
              </w:rPr>
              <w:t>QDAN 480 v.4, Local Government Sector retention and disposal schedule</w:t>
            </w:r>
            <w:r>
              <w:rPr>
                <w:b w:val="0"/>
                <w:noProof/>
                <w:szCs w:val="22"/>
              </w:rPr>
              <w:t xml:space="preserve">: </w:t>
            </w:r>
          </w:p>
          <w:p w14:paraId="560561C6" w14:textId="77777777" w:rsidR="00BB4610" w:rsidRDefault="00BB4610" w:rsidP="00BB4610">
            <w:pPr>
              <w:pStyle w:val="Tablesub-heading"/>
              <w:numPr>
                <w:ilvl w:val="0"/>
                <w:numId w:val="25"/>
              </w:numPr>
              <w:rPr>
                <w:b w:val="0"/>
                <w:noProof/>
                <w:szCs w:val="22"/>
              </w:rPr>
            </w:pPr>
            <w:r>
              <w:rPr>
                <w:b w:val="0"/>
                <w:noProof/>
                <w:szCs w:val="22"/>
              </w:rPr>
              <w:t>7.3.3 Swimming Pool Fencing – Advice – retain for 7 years after demolition or removal of swimming pool fencing.</w:t>
            </w:r>
          </w:p>
          <w:p w14:paraId="2784D5F4" w14:textId="77777777" w:rsidR="00BB4610" w:rsidRDefault="00BB4610" w:rsidP="00BB4610">
            <w:pPr>
              <w:pStyle w:val="Tablesub-heading"/>
              <w:numPr>
                <w:ilvl w:val="0"/>
                <w:numId w:val="25"/>
              </w:numPr>
              <w:rPr>
                <w:b w:val="0"/>
                <w:noProof/>
                <w:szCs w:val="22"/>
              </w:rPr>
            </w:pPr>
            <w:r>
              <w:rPr>
                <w:b w:val="0"/>
                <w:noProof/>
                <w:szCs w:val="22"/>
              </w:rPr>
              <w:t>7.12.2 Swimming Pool Fencing - Approved Inspection Programs – retain for 7 years after last action.</w:t>
            </w:r>
          </w:p>
          <w:p w14:paraId="1F9C4EEF" w14:textId="541C8A12" w:rsidR="008D283A" w:rsidRPr="004A453A" w:rsidRDefault="00BB4610" w:rsidP="002215E0">
            <w:pPr>
              <w:pStyle w:val="Tablesub-heading"/>
              <w:rPr>
                <w:b w:val="0"/>
                <w:szCs w:val="22"/>
              </w:rPr>
            </w:pPr>
            <w:r w:rsidRPr="00531F3D">
              <w:rPr>
                <w:b w:val="0"/>
                <w:i/>
                <w:iCs/>
                <w:noProof/>
                <w:szCs w:val="22"/>
              </w:rPr>
              <w:lastRenderedPageBreak/>
              <w:t>GA39, Local Government Records – Infringements (19.2.1), Notices (19.6.1) and Inspections (24.6.2),</w:t>
            </w:r>
            <w:r>
              <w:rPr>
                <w:b w:val="0"/>
                <w:noProof/>
                <w:szCs w:val="22"/>
              </w:rPr>
              <w:t xml:space="preserve"> retain for 7 years – as issued by</w:t>
            </w:r>
            <w:r w:rsidR="00292479">
              <w:rPr>
                <w:b w:val="0"/>
                <w:noProof/>
                <w:szCs w:val="22"/>
              </w:rPr>
              <w:t xml:space="preserve"> the</w:t>
            </w:r>
            <w:r>
              <w:rPr>
                <w:b w:val="0"/>
                <w:noProof/>
                <w:szCs w:val="22"/>
              </w:rPr>
              <w:t xml:space="preserve"> N</w:t>
            </w:r>
            <w:r w:rsidR="00292479">
              <w:rPr>
                <w:b w:val="0"/>
                <w:noProof/>
                <w:szCs w:val="22"/>
              </w:rPr>
              <w:t xml:space="preserve">ew </w:t>
            </w:r>
            <w:r>
              <w:rPr>
                <w:b w:val="0"/>
                <w:noProof/>
                <w:szCs w:val="22"/>
              </w:rPr>
              <w:t>S</w:t>
            </w:r>
            <w:r w:rsidR="00292479">
              <w:rPr>
                <w:b w:val="0"/>
                <w:noProof/>
                <w:szCs w:val="22"/>
              </w:rPr>
              <w:t xml:space="preserve">outh </w:t>
            </w:r>
            <w:r>
              <w:rPr>
                <w:b w:val="0"/>
                <w:noProof/>
                <w:szCs w:val="22"/>
              </w:rPr>
              <w:t>W</w:t>
            </w:r>
            <w:r w:rsidR="00292479">
              <w:rPr>
                <w:b w:val="0"/>
                <w:noProof/>
                <w:szCs w:val="22"/>
              </w:rPr>
              <w:t>ales,</w:t>
            </w:r>
            <w:r>
              <w:rPr>
                <w:b w:val="0"/>
                <w:noProof/>
                <w:szCs w:val="22"/>
              </w:rPr>
              <w:t xml:space="preserve"> State Archives and Records</w:t>
            </w:r>
            <w:r w:rsidR="0006050C">
              <w:rPr>
                <w:b w:val="0"/>
                <w:noProof/>
                <w:szCs w:val="22"/>
              </w:rPr>
              <w:t xml:space="preserve"> Authority</w:t>
            </w:r>
            <w:r>
              <w:rPr>
                <w:b w:val="0"/>
                <w:noProof/>
                <w:szCs w:val="22"/>
              </w:rPr>
              <w:t xml:space="preserve"> (SARA).</w:t>
            </w:r>
          </w:p>
          <w:p w14:paraId="21BBBD1D" w14:textId="77777777" w:rsidR="008D283A" w:rsidRPr="00634D63" w:rsidRDefault="008D283A" w:rsidP="002215E0">
            <w:pPr>
              <w:pStyle w:val="Heading2"/>
            </w:pPr>
            <w:r w:rsidRPr="00634D63">
              <w:t>Previous schedule references:</w:t>
            </w:r>
          </w:p>
          <w:p w14:paraId="3A52C38C" w14:textId="78858890" w:rsidR="008D283A" w:rsidRPr="004A453A" w:rsidRDefault="00BB4610" w:rsidP="002215E0">
            <w:pPr>
              <w:pStyle w:val="Tablesub-heading"/>
              <w:rPr>
                <w:b w:val="0"/>
                <w:szCs w:val="22"/>
              </w:rPr>
            </w:pPr>
            <w:r>
              <w:rPr>
                <w:b w:val="0"/>
                <w:szCs w:val="22"/>
              </w:rPr>
              <w:t>New disposal authorisation.</w:t>
            </w:r>
          </w:p>
        </w:tc>
      </w:tr>
      <w:tr w:rsidR="008D283A" w:rsidRPr="004A453A" w14:paraId="467F30F1" w14:textId="77777777" w:rsidTr="00384B0E">
        <w:tc>
          <w:tcPr>
            <w:tcW w:w="567" w:type="pct"/>
            <w:tcBorders>
              <w:top w:val="single" w:sz="6" w:space="0" w:color="C0C0C0"/>
              <w:bottom w:val="single" w:sz="6" w:space="0" w:color="C0C0C0"/>
            </w:tcBorders>
            <w:shd w:val="clear" w:color="auto" w:fill="auto"/>
          </w:tcPr>
          <w:p w14:paraId="5E012204" w14:textId="022AA3F5" w:rsidR="008D283A" w:rsidRPr="004A453A" w:rsidRDefault="00AA37AE" w:rsidP="002215E0">
            <w:pPr>
              <w:pStyle w:val="Tablesub-heading"/>
              <w:rPr>
                <w:b w:val="0"/>
                <w:szCs w:val="22"/>
              </w:rPr>
            </w:pPr>
            <w:r>
              <w:rPr>
                <w:b w:val="0"/>
                <w:szCs w:val="22"/>
              </w:rPr>
              <w:lastRenderedPageBreak/>
              <w:t>2780</w:t>
            </w:r>
          </w:p>
        </w:tc>
        <w:tc>
          <w:tcPr>
            <w:tcW w:w="914" w:type="pct"/>
            <w:tcBorders>
              <w:top w:val="single" w:sz="6" w:space="0" w:color="C0C0C0"/>
              <w:bottom w:val="single" w:sz="6" w:space="0" w:color="C0C0C0"/>
            </w:tcBorders>
            <w:shd w:val="clear" w:color="auto" w:fill="auto"/>
          </w:tcPr>
          <w:p w14:paraId="03FAF811" w14:textId="77777777" w:rsidR="00DD5D83" w:rsidRPr="00272D94" w:rsidRDefault="00DD5D83" w:rsidP="00DD5D83">
            <w:pPr>
              <w:pStyle w:val="Heading3"/>
            </w:pPr>
            <w:r w:rsidRPr="00272D94">
              <w:rPr>
                <w:noProof/>
              </w:rPr>
              <w:t>Audits</w:t>
            </w:r>
            <w:r>
              <w:rPr>
                <w:noProof/>
              </w:rPr>
              <w:t xml:space="preserve"> and Reporting – Other</w:t>
            </w:r>
          </w:p>
          <w:p w14:paraId="5C0952D1" w14:textId="0E1D08C1" w:rsidR="00DD5D83" w:rsidRDefault="00DD5D83" w:rsidP="00DD5D83">
            <w:pPr>
              <w:pStyle w:val="Tablesub-heading"/>
              <w:rPr>
                <w:b w:val="0"/>
                <w:szCs w:val="22"/>
              </w:rPr>
            </w:pPr>
            <w:r>
              <w:rPr>
                <w:b w:val="0"/>
                <w:noProof/>
                <w:szCs w:val="22"/>
              </w:rPr>
              <w:t>Records relating to reports and/or audits that do not require further action or investig</w:t>
            </w:r>
            <w:r w:rsidR="00FE28CC">
              <w:rPr>
                <w:b w:val="0"/>
                <w:noProof/>
                <w:szCs w:val="22"/>
              </w:rPr>
              <w:t>a</w:t>
            </w:r>
            <w:r>
              <w:rPr>
                <w:b w:val="0"/>
                <w:noProof/>
                <w:szCs w:val="22"/>
              </w:rPr>
              <w:t xml:space="preserve">tion involving the building industry and/or builders, contractors, sub-contractors and certifiers licensed under the </w:t>
            </w:r>
            <w:r w:rsidRPr="009A33B0">
              <w:rPr>
                <w:b w:val="0"/>
                <w:i/>
                <w:iCs/>
                <w:noProof/>
                <w:szCs w:val="22"/>
              </w:rPr>
              <w:t>Queensland Building  and Construction Commission Act 1991</w:t>
            </w:r>
            <w:r>
              <w:rPr>
                <w:b w:val="0"/>
                <w:noProof/>
                <w:szCs w:val="22"/>
              </w:rPr>
              <w:t xml:space="preserve">, the </w:t>
            </w:r>
            <w:r w:rsidRPr="009A33B0">
              <w:rPr>
                <w:b w:val="0"/>
                <w:i/>
                <w:iCs/>
                <w:noProof/>
                <w:szCs w:val="22"/>
              </w:rPr>
              <w:t>Building Act 1975</w:t>
            </w:r>
            <w:r>
              <w:rPr>
                <w:b w:val="0"/>
                <w:noProof/>
                <w:szCs w:val="22"/>
              </w:rPr>
              <w:t xml:space="preserve"> and the </w:t>
            </w:r>
            <w:r w:rsidRPr="009A33B0">
              <w:rPr>
                <w:b w:val="0"/>
                <w:i/>
                <w:iCs/>
                <w:noProof/>
                <w:szCs w:val="22"/>
              </w:rPr>
              <w:t>Plumbing and Drainage Act 2018</w:t>
            </w:r>
            <w:r>
              <w:rPr>
                <w:b w:val="0"/>
                <w:noProof/>
                <w:szCs w:val="22"/>
              </w:rPr>
              <w:t xml:space="preserve">. </w:t>
            </w:r>
          </w:p>
          <w:p w14:paraId="416470B5" w14:textId="77777777" w:rsidR="008D283A" w:rsidRPr="00634D63" w:rsidRDefault="008D283A" w:rsidP="002215E0">
            <w:pPr>
              <w:pStyle w:val="Heading2"/>
            </w:pPr>
            <w:r w:rsidRPr="00634D63">
              <w:t xml:space="preserve">Disposal action – </w:t>
            </w:r>
          </w:p>
          <w:p w14:paraId="4544A373" w14:textId="086326F8" w:rsidR="008D283A" w:rsidRPr="004A453A" w:rsidRDefault="00DD5D83" w:rsidP="002215E0">
            <w:pPr>
              <w:pStyle w:val="Tablesub-heading"/>
              <w:rPr>
                <w:b w:val="0"/>
              </w:rPr>
            </w:pPr>
            <w:r>
              <w:rPr>
                <w:b w:val="0"/>
                <w:noProof/>
              </w:rPr>
              <w:t>7 years after business action completed.</w:t>
            </w:r>
          </w:p>
        </w:tc>
        <w:tc>
          <w:tcPr>
            <w:tcW w:w="3519" w:type="pct"/>
            <w:tcBorders>
              <w:top w:val="single" w:sz="6" w:space="0" w:color="C0C0C0"/>
              <w:bottom w:val="single" w:sz="6" w:space="0" w:color="C0C0C0"/>
            </w:tcBorders>
            <w:shd w:val="clear" w:color="auto" w:fill="auto"/>
          </w:tcPr>
          <w:p w14:paraId="753F487E" w14:textId="3D8E8C67" w:rsidR="008D283A" w:rsidRPr="004A453A" w:rsidRDefault="008D283A" w:rsidP="002215E0">
            <w:pPr>
              <w:pStyle w:val="Tablesub-heading"/>
              <w:rPr>
                <w:b w:val="0"/>
                <w:szCs w:val="22"/>
              </w:rPr>
            </w:pPr>
            <w:r>
              <w:t xml:space="preserve">Date authorised: </w:t>
            </w:r>
            <w:r w:rsidR="00067BF0">
              <w:rPr>
                <w:b w:val="0"/>
              </w:rPr>
              <w:t>15 December 2023</w:t>
            </w:r>
          </w:p>
          <w:p w14:paraId="17CD0230" w14:textId="77777777" w:rsidR="008D283A" w:rsidRPr="00634D63" w:rsidRDefault="008D283A" w:rsidP="002215E0">
            <w:pPr>
              <w:pStyle w:val="Heading2"/>
            </w:pPr>
            <w:r w:rsidRPr="00634D63">
              <w:t>Why are these records created:</w:t>
            </w:r>
          </w:p>
          <w:p w14:paraId="56016D03" w14:textId="6400608E" w:rsidR="00DD5D83" w:rsidRPr="004A453A" w:rsidRDefault="00DD5D83" w:rsidP="00DD5D83">
            <w:pPr>
              <w:pStyle w:val="Tablesub-heading"/>
              <w:rPr>
                <w:b w:val="0"/>
                <w:szCs w:val="22"/>
              </w:rPr>
            </w:pPr>
            <w:r>
              <w:rPr>
                <w:b w:val="0"/>
                <w:noProof/>
                <w:szCs w:val="22"/>
              </w:rPr>
              <w:t xml:space="preserve">Records relating to receiving </w:t>
            </w:r>
            <w:r w:rsidR="004720BD">
              <w:rPr>
                <w:b w:val="0"/>
                <w:noProof/>
                <w:szCs w:val="22"/>
              </w:rPr>
              <w:t>statistical</w:t>
            </w:r>
            <w:r>
              <w:rPr>
                <w:b w:val="0"/>
                <w:noProof/>
                <w:szCs w:val="22"/>
              </w:rPr>
              <w:t xml:space="preserve"> reports and/or conducting regulatory audits to monitor and measure compliance to applicable legislation where associated action is not significant and does not escalate to</w:t>
            </w:r>
            <w:r w:rsidR="00024307">
              <w:rPr>
                <w:b w:val="0"/>
                <w:noProof/>
                <w:szCs w:val="22"/>
              </w:rPr>
              <w:t xml:space="preserve"> </w:t>
            </w:r>
            <w:r>
              <w:rPr>
                <w:b w:val="0"/>
                <w:noProof/>
                <w:szCs w:val="22"/>
              </w:rPr>
              <w:t xml:space="preserve">an investigation.  </w:t>
            </w:r>
          </w:p>
          <w:p w14:paraId="6D1CCF67" w14:textId="77777777" w:rsidR="008D283A" w:rsidRPr="00634D63" w:rsidRDefault="008D283A" w:rsidP="002215E0">
            <w:pPr>
              <w:pStyle w:val="Heading2"/>
            </w:pPr>
            <w:r w:rsidRPr="00634D63">
              <w:t>Why the records are retained for this retention period:</w:t>
            </w:r>
          </w:p>
          <w:p w14:paraId="49BC6730" w14:textId="77777777" w:rsidR="00DD5D83" w:rsidRDefault="00DD5D83" w:rsidP="00DD5D83">
            <w:pPr>
              <w:pStyle w:val="Tablesub-heading"/>
              <w:rPr>
                <w:b w:val="0"/>
                <w:noProof/>
                <w:szCs w:val="22"/>
              </w:rPr>
            </w:pPr>
            <w:r>
              <w:rPr>
                <w:b w:val="0"/>
                <w:noProof/>
                <w:szCs w:val="22"/>
              </w:rPr>
              <w:t xml:space="preserve">Records of regulatory reporting to the agency and audits undertaken by the agency which support the taking of possible remedial or legal action. </w:t>
            </w:r>
          </w:p>
          <w:p w14:paraId="5BCF8483" w14:textId="20918758" w:rsidR="00DD5D83" w:rsidRDefault="00DD5D83" w:rsidP="00DD5D83">
            <w:pPr>
              <w:pStyle w:val="Heading2"/>
              <w:shd w:val="clear" w:color="auto" w:fill="FFFFFF"/>
              <w:rPr>
                <w:rFonts w:ascii="Arial" w:hAnsi="Arial" w:cs="Arial"/>
                <w:b w:val="0"/>
                <w:bCs/>
              </w:rPr>
            </w:pPr>
            <w:r>
              <w:rPr>
                <w:rFonts w:ascii="Arial" w:hAnsi="Arial" w:cs="Arial"/>
                <w:b w:val="0"/>
                <w:bCs/>
              </w:rPr>
              <w:t>A seven</w:t>
            </w:r>
            <w:r w:rsidR="00FE28CC">
              <w:rPr>
                <w:rFonts w:ascii="Arial" w:hAnsi="Arial" w:cs="Arial"/>
                <w:b w:val="0"/>
                <w:bCs/>
              </w:rPr>
              <w:t>-</w:t>
            </w:r>
            <w:r>
              <w:rPr>
                <w:rFonts w:ascii="Arial" w:hAnsi="Arial" w:cs="Arial"/>
                <w:b w:val="0"/>
                <w:bCs/>
              </w:rPr>
              <w:t>year retention</w:t>
            </w:r>
            <w:r w:rsidRPr="00211D94">
              <w:rPr>
                <w:rFonts w:ascii="Arial" w:hAnsi="Arial" w:cs="Arial"/>
                <w:b w:val="0"/>
                <w:bCs/>
              </w:rPr>
              <w:t xml:space="preserve"> period ensures that the records are available in the event of any legal claims brought in accordance with s.10 </w:t>
            </w:r>
            <w:r>
              <w:rPr>
                <w:rFonts w:ascii="Arial" w:hAnsi="Arial" w:cs="Arial"/>
                <w:b w:val="0"/>
                <w:bCs/>
              </w:rPr>
              <w:t xml:space="preserve">(1) and (2) </w:t>
            </w:r>
            <w:r w:rsidRPr="00211D94">
              <w:rPr>
                <w:rFonts w:ascii="Arial" w:hAnsi="Arial" w:cs="Arial"/>
                <w:b w:val="0"/>
                <w:bCs/>
              </w:rPr>
              <w:t xml:space="preserve">of the </w:t>
            </w:r>
            <w:r w:rsidRPr="009A33B0">
              <w:rPr>
                <w:rFonts w:ascii="Arial" w:hAnsi="Arial" w:cs="Arial"/>
                <w:b w:val="0"/>
                <w:bCs/>
                <w:i/>
                <w:iCs/>
              </w:rPr>
              <w:t>Limitation of Actions Act 1974</w:t>
            </w:r>
            <w:r>
              <w:rPr>
                <w:rFonts w:ascii="Arial" w:hAnsi="Arial" w:cs="Arial"/>
                <w:b w:val="0"/>
                <w:bCs/>
              </w:rPr>
              <w:t>.</w:t>
            </w:r>
            <w:r w:rsidRPr="00211D94">
              <w:rPr>
                <w:rFonts w:ascii="Arial" w:hAnsi="Arial" w:cs="Arial"/>
                <w:b w:val="0"/>
                <w:bCs/>
              </w:rPr>
              <w:t xml:space="preserve"> </w:t>
            </w:r>
          </w:p>
          <w:p w14:paraId="431B7AE5" w14:textId="5FA3595D" w:rsidR="00DD5D83" w:rsidRPr="002D4F0D" w:rsidRDefault="00DD5D83" w:rsidP="00DD5D83">
            <w:pPr>
              <w:pStyle w:val="Heading2"/>
              <w:shd w:val="clear" w:color="auto" w:fill="FFFFFF"/>
              <w:rPr>
                <w:rFonts w:cs="Arial"/>
                <w:bCs/>
              </w:rPr>
            </w:pPr>
            <w:r w:rsidRPr="009A1F0B">
              <w:rPr>
                <w:rFonts w:ascii="Arial" w:hAnsi="Arial" w:cs="Arial"/>
                <w:b w:val="0"/>
                <w:bCs/>
              </w:rPr>
              <w:t>This is a reduction in retention from the previous schedule.  QBCC have stated the previous retention was based on an erroneous interpretation</w:t>
            </w:r>
            <w:r>
              <w:t xml:space="preserve"> </w:t>
            </w:r>
            <w:r w:rsidRPr="002D4F0D">
              <w:rPr>
                <w:rFonts w:ascii="Arial" w:hAnsi="Arial" w:cs="Arial"/>
                <w:b w:val="0"/>
                <w:bCs/>
              </w:rPr>
              <w:t xml:space="preserve">based on s.10 (3) and/or (4) of the </w:t>
            </w:r>
            <w:r w:rsidRPr="009A33B0">
              <w:rPr>
                <w:rFonts w:ascii="Arial" w:hAnsi="Arial" w:cs="Arial"/>
                <w:b w:val="0"/>
                <w:bCs/>
                <w:i/>
                <w:iCs/>
              </w:rPr>
              <w:t>Limitation of Actions Act 1974</w:t>
            </w:r>
            <w:r w:rsidRPr="002D4F0D">
              <w:rPr>
                <w:rFonts w:ascii="Arial" w:hAnsi="Arial" w:cs="Arial"/>
                <w:b w:val="0"/>
                <w:bCs/>
              </w:rPr>
              <w:t xml:space="preserve"> which is specific to a specialty contract (a deed).</w:t>
            </w:r>
          </w:p>
          <w:p w14:paraId="054D924A" w14:textId="3E01A47B" w:rsidR="008D283A" w:rsidRPr="00DD5D83" w:rsidRDefault="00DD5D83" w:rsidP="00DD5D83">
            <w:pPr>
              <w:pStyle w:val="Heading2"/>
              <w:shd w:val="clear" w:color="auto" w:fill="FFFFFF"/>
              <w:rPr>
                <w:rFonts w:ascii="Arial" w:hAnsi="Arial" w:cs="Arial"/>
                <w:b w:val="0"/>
                <w:bCs/>
              </w:rPr>
            </w:pPr>
            <w:r>
              <w:rPr>
                <w:rFonts w:ascii="Arial" w:hAnsi="Arial" w:cs="Arial"/>
                <w:b w:val="0"/>
                <w:bCs/>
              </w:rPr>
              <w:t>The seven-year retention period supports the decisions of the business by providing evidence of actions taken and ensures that records are available for a sufficient period of time to be referred back to if so required.</w:t>
            </w:r>
            <w:r w:rsidR="008D283A">
              <w:rPr>
                <w:b w:val="0"/>
                <w:szCs w:val="22"/>
              </w:rPr>
              <w:t xml:space="preserve"> </w:t>
            </w:r>
          </w:p>
          <w:p w14:paraId="0BF1DBB4" w14:textId="77777777" w:rsidR="008D283A" w:rsidRPr="00634D63" w:rsidRDefault="008D283A" w:rsidP="002215E0">
            <w:pPr>
              <w:pStyle w:val="Heading2"/>
            </w:pPr>
            <w:r w:rsidRPr="00634D63">
              <w:t>Applicable legislation/standards:</w:t>
            </w:r>
          </w:p>
          <w:p w14:paraId="5C664885" w14:textId="77777777" w:rsidR="00DD5D83" w:rsidRPr="00C66CC8" w:rsidRDefault="00DD5D83" w:rsidP="00DD5D83">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p>
          <w:p w14:paraId="7256111B" w14:textId="77777777" w:rsidR="008D283A" w:rsidRPr="00634D63" w:rsidRDefault="008D283A" w:rsidP="002215E0">
            <w:pPr>
              <w:pStyle w:val="Heading2"/>
            </w:pPr>
            <w:r w:rsidRPr="00634D63">
              <w:t xml:space="preserve">Comparison with other schedules' retention period: </w:t>
            </w:r>
          </w:p>
          <w:p w14:paraId="2D73879E" w14:textId="77777777" w:rsidR="00DD5D83" w:rsidRPr="00FA28F1" w:rsidRDefault="00DD5D83" w:rsidP="00DD5D83">
            <w:pPr>
              <w:pStyle w:val="Heading2"/>
              <w:shd w:val="clear" w:color="auto" w:fill="FFFFFF"/>
              <w:rPr>
                <w:rFonts w:cs="Arial"/>
                <w:b w:val="0"/>
                <w:bCs/>
              </w:rPr>
            </w:pPr>
            <w:r w:rsidRPr="00747684">
              <w:rPr>
                <w:rFonts w:ascii="Arial" w:hAnsi="Arial" w:cs="Arial"/>
                <w:b w:val="0"/>
                <w:bCs/>
                <w:i/>
                <w:iCs/>
              </w:rPr>
              <w:t>General retention and disposal schedule</w:t>
            </w:r>
            <w:r>
              <w:rPr>
                <w:rFonts w:ascii="Arial" w:hAnsi="Arial" w:cs="Arial"/>
                <w:b w:val="0"/>
                <w:bCs/>
              </w:rPr>
              <w:t xml:space="preserve"> </w:t>
            </w:r>
            <w:r w:rsidRPr="00F549C7">
              <w:rPr>
                <w:rFonts w:ascii="Arial" w:hAnsi="Arial" w:cs="Arial"/>
                <w:b w:val="0"/>
                <w:bCs/>
              </w:rPr>
              <w:t>(GRDS) 1008</w:t>
            </w:r>
            <w:r w:rsidRPr="00FA28F1">
              <w:rPr>
                <w:rFonts w:ascii="Arial" w:hAnsi="Arial" w:cs="Arial"/>
                <w:b w:val="0"/>
                <w:bCs/>
              </w:rPr>
              <w:t xml:space="preserve"> – Audit</w:t>
            </w:r>
            <w:r>
              <w:rPr>
                <w:rFonts w:ascii="Arial" w:hAnsi="Arial" w:cs="Arial"/>
                <w:b w:val="0"/>
                <w:bCs/>
              </w:rPr>
              <w:t>s – other – 7 years after business action completed.</w:t>
            </w:r>
          </w:p>
          <w:p w14:paraId="44268174" w14:textId="77777777" w:rsidR="00DD5D83" w:rsidRPr="00FA28F1" w:rsidRDefault="00DD5D83" w:rsidP="00DD5D83">
            <w:pPr>
              <w:pStyle w:val="Heading2"/>
              <w:shd w:val="clear" w:color="auto" w:fill="FFFFFF"/>
              <w:rPr>
                <w:rFonts w:cs="Arial"/>
                <w:b w:val="0"/>
                <w:bCs/>
              </w:rPr>
            </w:pPr>
            <w:r w:rsidRPr="00747684">
              <w:rPr>
                <w:rFonts w:ascii="Arial" w:hAnsi="Arial" w:cs="Arial"/>
                <w:b w:val="0"/>
                <w:bCs/>
                <w:i/>
                <w:iCs/>
              </w:rPr>
              <w:t>QDAN 742 v.2 Queensland Racing Integrity Commission</w:t>
            </w:r>
            <w:r w:rsidRPr="00FA28F1">
              <w:rPr>
                <w:rFonts w:ascii="Arial" w:hAnsi="Arial" w:cs="Arial"/>
                <w:b w:val="0"/>
                <w:bCs/>
              </w:rPr>
              <w:t xml:space="preserve"> (QRIC)</w:t>
            </w:r>
            <w:r>
              <w:rPr>
                <w:rFonts w:ascii="Arial" w:hAnsi="Arial" w:cs="Arial"/>
                <w:b w:val="0"/>
                <w:bCs/>
              </w:rPr>
              <w:t xml:space="preserve"> - </w:t>
            </w:r>
            <w:r w:rsidRPr="009A1F0B">
              <w:rPr>
                <w:rFonts w:ascii="Arial" w:hAnsi="Arial" w:cs="Arial"/>
                <w:b w:val="0"/>
                <w:bCs/>
              </w:rPr>
              <w:t>1.6.2</w:t>
            </w:r>
            <w:r w:rsidRPr="00FA28F1">
              <w:rPr>
                <w:rFonts w:ascii="Arial" w:hAnsi="Arial" w:cs="Arial"/>
                <w:b w:val="0"/>
                <w:bCs/>
              </w:rPr>
              <w:t xml:space="preserve"> </w:t>
            </w:r>
            <w:r>
              <w:rPr>
                <w:rFonts w:ascii="Arial" w:hAnsi="Arial" w:cs="Arial"/>
                <w:b w:val="0"/>
                <w:bCs/>
              </w:rPr>
              <w:t>–</w:t>
            </w:r>
            <w:r w:rsidRPr="00FA28F1">
              <w:rPr>
                <w:rFonts w:ascii="Arial" w:hAnsi="Arial" w:cs="Arial"/>
                <w:b w:val="0"/>
                <w:bCs/>
              </w:rPr>
              <w:t xml:space="preserve"> Audit</w:t>
            </w:r>
            <w:r>
              <w:rPr>
                <w:rFonts w:ascii="Arial" w:hAnsi="Arial" w:cs="Arial"/>
                <w:b w:val="0"/>
                <w:bCs/>
              </w:rPr>
              <w:t>s</w:t>
            </w:r>
            <w:r w:rsidRPr="00FA28F1">
              <w:rPr>
                <w:rFonts w:ascii="Arial" w:hAnsi="Arial" w:cs="Arial"/>
                <w:b w:val="0"/>
                <w:bCs/>
              </w:rPr>
              <w:t xml:space="preserve"> </w:t>
            </w:r>
            <w:r>
              <w:rPr>
                <w:rFonts w:ascii="Arial" w:hAnsi="Arial" w:cs="Arial"/>
                <w:b w:val="0"/>
                <w:bCs/>
              </w:rPr>
              <w:t>–</w:t>
            </w:r>
            <w:r w:rsidRPr="00FA28F1">
              <w:rPr>
                <w:rFonts w:ascii="Arial" w:hAnsi="Arial" w:cs="Arial"/>
                <w:b w:val="0"/>
                <w:bCs/>
              </w:rPr>
              <w:t xml:space="preserve"> </w:t>
            </w:r>
            <w:r>
              <w:rPr>
                <w:rFonts w:ascii="Arial" w:hAnsi="Arial" w:cs="Arial"/>
                <w:b w:val="0"/>
                <w:bCs/>
              </w:rPr>
              <w:t>Other – Observation and Actions - retain for 7 years after action completed.</w:t>
            </w:r>
          </w:p>
          <w:p w14:paraId="7660A2D5" w14:textId="77777777" w:rsidR="008D283A" w:rsidRPr="00634D63" w:rsidRDefault="008D283A" w:rsidP="002215E0">
            <w:pPr>
              <w:pStyle w:val="Heading2"/>
            </w:pPr>
            <w:r w:rsidRPr="00634D63">
              <w:lastRenderedPageBreak/>
              <w:t>Other comments/factors for consideration:</w:t>
            </w:r>
          </w:p>
          <w:p w14:paraId="13835D31" w14:textId="2C622C02" w:rsidR="00DD5D83" w:rsidRPr="00747684" w:rsidRDefault="00DD5D83" w:rsidP="00DD5D83">
            <w:pPr>
              <w:pStyle w:val="Heading2"/>
              <w:shd w:val="clear" w:color="auto" w:fill="FFFFFF"/>
              <w:rPr>
                <w:rFonts w:cs="Arial"/>
                <w:bCs/>
              </w:rPr>
            </w:pPr>
            <w:r w:rsidRPr="00747684">
              <w:rPr>
                <w:rFonts w:ascii="Arial" w:hAnsi="Arial" w:cs="Arial"/>
                <w:b w:val="0"/>
                <w:bCs/>
              </w:rPr>
              <w:t>A record is created and maintained for every licensee, cover</w:t>
            </w:r>
            <w:r w:rsidR="00FE28CC">
              <w:rPr>
                <w:rFonts w:ascii="Arial" w:hAnsi="Arial" w:cs="Arial"/>
                <w:b w:val="0"/>
                <w:bCs/>
              </w:rPr>
              <w:t>s</w:t>
            </w:r>
            <w:r w:rsidRPr="00747684">
              <w:rPr>
                <w:rFonts w:ascii="Arial" w:hAnsi="Arial" w:cs="Arial"/>
                <w:b w:val="0"/>
                <w:bCs/>
              </w:rPr>
              <w:t xml:space="preserve"> the entire period of being licen</w:t>
            </w:r>
            <w:r>
              <w:rPr>
                <w:rFonts w:ascii="Arial" w:hAnsi="Arial" w:cs="Arial"/>
                <w:b w:val="0"/>
                <w:bCs/>
              </w:rPr>
              <w:t>s</w:t>
            </w:r>
            <w:r w:rsidRPr="00747684">
              <w:rPr>
                <w:rFonts w:ascii="Arial" w:hAnsi="Arial" w:cs="Arial"/>
                <w:b w:val="0"/>
                <w:bCs/>
              </w:rPr>
              <w:t>ed which</w:t>
            </w:r>
            <w:r>
              <w:rPr>
                <w:noProof/>
              </w:rPr>
              <w:t xml:space="preserve"> </w:t>
            </w:r>
            <w:r w:rsidRPr="00747684">
              <w:rPr>
                <w:rFonts w:ascii="Arial" w:hAnsi="Arial" w:cs="Arial"/>
                <w:b w:val="0"/>
                <w:bCs/>
              </w:rPr>
              <w:t>potentially could be retained for over 40 years being the working life of a licensee.</w:t>
            </w:r>
          </w:p>
          <w:p w14:paraId="319AECDB" w14:textId="77777777" w:rsidR="00DD5D83" w:rsidRPr="00C70680" w:rsidRDefault="00DD5D83" w:rsidP="00DD5D83">
            <w:pPr>
              <w:pStyle w:val="Heading2"/>
              <w:shd w:val="clear" w:color="auto" w:fill="FFFFFF"/>
              <w:rPr>
                <w:rFonts w:cs="Arial"/>
                <w:bCs/>
              </w:rPr>
            </w:pPr>
            <w:r w:rsidRPr="00747684">
              <w:rPr>
                <w:rFonts w:ascii="Arial" w:hAnsi="Arial" w:cs="Arial"/>
                <w:b w:val="0"/>
                <w:bCs/>
              </w:rPr>
              <w:t xml:space="preserve">This single record for the licensee holds the history of all actions associated with the industry practitioner and covers the </w:t>
            </w:r>
            <w:r>
              <w:rPr>
                <w:rFonts w:ascii="Arial" w:hAnsi="Arial" w:cs="Arial"/>
                <w:b w:val="0"/>
                <w:bCs/>
              </w:rPr>
              <w:t xml:space="preserve">initial </w:t>
            </w:r>
            <w:r w:rsidRPr="00747684">
              <w:rPr>
                <w:rFonts w:ascii="Arial" w:hAnsi="Arial" w:cs="Arial"/>
                <w:b w:val="0"/>
                <w:bCs/>
              </w:rPr>
              <w:t>registration process period, any compulsory continuing professional development, reports</w:t>
            </w:r>
            <w:r>
              <w:rPr>
                <w:rFonts w:ascii="Arial" w:hAnsi="Arial" w:cs="Arial"/>
                <w:b w:val="0"/>
                <w:bCs/>
              </w:rPr>
              <w:t xml:space="preserve"> </w:t>
            </w:r>
            <w:r w:rsidRPr="00747684">
              <w:rPr>
                <w:rFonts w:ascii="Arial" w:hAnsi="Arial" w:cs="Arial"/>
                <w:b w:val="0"/>
                <w:bCs/>
              </w:rPr>
              <w:t>to the agency, audits, caution notices, suspensions etc.</w:t>
            </w:r>
          </w:p>
          <w:p w14:paraId="1F7D4F0C" w14:textId="213F2CA9" w:rsidR="00DD5D83" w:rsidRPr="00C70680" w:rsidRDefault="00DD5D83" w:rsidP="00DD5D83">
            <w:pPr>
              <w:pStyle w:val="Heading2"/>
              <w:shd w:val="clear" w:color="auto" w:fill="FFFFFF"/>
              <w:rPr>
                <w:rFonts w:cs="Arial"/>
                <w:bCs/>
              </w:rPr>
            </w:pPr>
            <w:r w:rsidRPr="00747684">
              <w:rPr>
                <w:rFonts w:ascii="Arial" w:hAnsi="Arial" w:cs="Arial"/>
                <w:b w:val="0"/>
                <w:bCs/>
              </w:rPr>
              <w:t xml:space="preserve">There can be general audits of licensees but these are based on targeted activities such as continuing professional development (CPD) </w:t>
            </w:r>
            <w:r>
              <w:rPr>
                <w:rFonts w:ascii="Arial" w:hAnsi="Arial" w:cs="Arial"/>
                <w:b w:val="0"/>
                <w:bCs/>
              </w:rPr>
              <w:t xml:space="preserve">and </w:t>
            </w:r>
            <w:r w:rsidRPr="00747684">
              <w:rPr>
                <w:rFonts w:ascii="Arial" w:hAnsi="Arial" w:cs="Arial"/>
                <w:b w:val="0"/>
                <w:bCs/>
              </w:rPr>
              <w:t xml:space="preserve">this is used to measure industry compliance to a general thing </w:t>
            </w:r>
            <w:r>
              <w:rPr>
                <w:rFonts w:ascii="Arial" w:hAnsi="Arial" w:cs="Arial"/>
                <w:b w:val="0"/>
                <w:bCs/>
              </w:rPr>
              <w:t xml:space="preserve">  </w:t>
            </w:r>
            <w:r w:rsidRPr="00747684">
              <w:rPr>
                <w:rFonts w:ascii="Arial" w:hAnsi="Arial" w:cs="Arial"/>
                <w:b w:val="0"/>
                <w:bCs/>
              </w:rPr>
              <w:t xml:space="preserve">such as </w:t>
            </w:r>
            <w:r w:rsidRPr="007018FB">
              <w:rPr>
                <w:rFonts w:ascii="Arial" w:hAnsi="Arial" w:cs="Arial"/>
                <w:b w:val="0"/>
                <w:bCs/>
              </w:rPr>
              <w:t>CPD</w:t>
            </w:r>
            <w:r w:rsidRPr="00747684">
              <w:rPr>
                <w:rFonts w:ascii="Arial" w:hAnsi="Arial" w:cs="Arial"/>
                <w:b w:val="0"/>
                <w:bCs/>
              </w:rPr>
              <w:t xml:space="preserve"> etc. If a weakness is </w:t>
            </w:r>
            <w:r>
              <w:rPr>
                <w:rFonts w:ascii="Arial" w:hAnsi="Arial" w:cs="Arial"/>
                <w:b w:val="0"/>
                <w:bCs/>
              </w:rPr>
              <w:t xml:space="preserve">found </w:t>
            </w:r>
            <w:r w:rsidRPr="00747684">
              <w:rPr>
                <w:rFonts w:ascii="Arial" w:hAnsi="Arial" w:cs="Arial"/>
                <w:b w:val="0"/>
                <w:bCs/>
              </w:rPr>
              <w:t>through this process, educational programs can be launched</w:t>
            </w:r>
            <w:r>
              <w:rPr>
                <w:rFonts w:ascii="Arial" w:hAnsi="Arial" w:cs="Arial"/>
                <w:b w:val="0"/>
                <w:bCs/>
              </w:rPr>
              <w:t xml:space="preserve"> </w:t>
            </w:r>
            <w:r w:rsidRPr="00747684">
              <w:rPr>
                <w:rFonts w:ascii="Arial" w:hAnsi="Arial" w:cs="Arial"/>
                <w:b w:val="0"/>
                <w:bCs/>
              </w:rPr>
              <w:t xml:space="preserve">to address any identified shortcomings. </w:t>
            </w:r>
          </w:p>
          <w:p w14:paraId="254E4FC2" w14:textId="77777777" w:rsidR="00DD5D83" w:rsidRPr="00C70680" w:rsidRDefault="00DD5D83" w:rsidP="00DD5D83">
            <w:pPr>
              <w:pStyle w:val="Heading2"/>
              <w:shd w:val="clear" w:color="auto" w:fill="FFFFFF"/>
              <w:rPr>
                <w:rFonts w:cs="Arial"/>
                <w:bCs/>
              </w:rPr>
            </w:pPr>
            <w:r w:rsidRPr="00747684">
              <w:rPr>
                <w:rFonts w:ascii="Arial" w:hAnsi="Arial" w:cs="Arial"/>
                <w:b w:val="0"/>
                <w:bCs/>
              </w:rPr>
              <w:t>From the same general licensee audit, if a trend for higher-level or more endemic non-compliance is found, then specific audits would be conducted against individual licence holders. This may be a case where a particular regional locality is less compliant than the average, so specific measures, such as training, information forums or targeted auditing could be utilised.</w:t>
            </w:r>
          </w:p>
          <w:p w14:paraId="48569B7E" w14:textId="090712E5" w:rsidR="00DD5D83" w:rsidRPr="00C70680" w:rsidRDefault="00DD5D83" w:rsidP="00DD5D83">
            <w:pPr>
              <w:pStyle w:val="Heading2"/>
              <w:shd w:val="clear" w:color="auto" w:fill="FFFFFF"/>
              <w:rPr>
                <w:rFonts w:cs="Arial"/>
                <w:bCs/>
              </w:rPr>
            </w:pPr>
            <w:r w:rsidRPr="00B22C58">
              <w:rPr>
                <w:rFonts w:ascii="Arial" w:hAnsi="Arial" w:cs="Arial"/>
                <w:b w:val="0"/>
                <w:bCs/>
              </w:rPr>
              <w:t>In view of this, a 7</w:t>
            </w:r>
            <w:r>
              <w:rPr>
                <w:rFonts w:ascii="Arial" w:hAnsi="Arial" w:cs="Arial"/>
                <w:b w:val="0"/>
                <w:bCs/>
              </w:rPr>
              <w:t>-</w:t>
            </w:r>
            <w:r w:rsidRPr="00B22C58">
              <w:rPr>
                <w:rFonts w:ascii="Arial" w:hAnsi="Arial" w:cs="Arial"/>
                <w:b w:val="0"/>
                <w:bCs/>
              </w:rPr>
              <w:t xml:space="preserve">year retention period is considered to be </w:t>
            </w:r>
            <w:r w:rsidR="00FE28CC">
              <w:rPr>
                <w:rFonts w:ascii="Arial" w:hAnsi="Arial" w:cs="Arial"/>
                <w:b w:val="0"/>
                <w:bCs/>
              </w:rPr>
              <w:t xml:space="preserve">a </w:t>
            </w:r>
            <w:r w:rsidRPr="00B22C58">
              <w:rPr>
                <w:rFonts w:ascii="Arial" w:hAnsi="Arial" w:cs="Arial"/>
                <w:b w:val="0"/>
                <w:bCs/>
              </w:rPr>
              <w:t>reasonable measure of risk for covering all other regulatory audits conducted by the agency. This includes – audits of building certifiers, compliance audits (other than MFR audits), statutory</w:t>
            </w:r>
            <w:r>
              <w:rPr>
                <w:rFonts w:ascii="Arial" w:hAnsi="Arial" w:cs="Arial"/>
                <w:b w:val="0"/>
                <w:bCs/>
              </w:rPr>
              <w:t xml:space="preserve"> </w:t>
            </w:r>
            <w:r w:rsidRPr="00B22C58">
              <w:rPr>
                <w:rFonts w:ascii="Arial" w:hAnsi="Arial" w:cs="Arial"/>
                <w:b w:val="0"/>
                <w:bCs/>
              </w:rPr>
              <w:t>insurance audits etc.</w:t>
            </w:r>
          </w:p>
          <w:p w14:paraId="4B76C665" w14:textId="77777777" w:rsidR="008D283A" w:rsidRPr="00634D63" w:rsidRDefault="008D283A" w:rsidP="002215E0">
            <w:pPr>
              <w:pStyle w:val="Heading2"/>
            </w:pPr>
            <w:r w:rsidRPr="00634D63">
              <w:t>Previous schedule references:</w:t>
            </w:r>
          </w:p>
          <w:p w14:paraId="26A5ECEE" w14:textId="06B6793D" w:rsidR="008D283A" w:rsidRPr="004A453A" w:rsidRDefault="00DD5D83" w:rsidP="002215E0">
            <w:pPr>
              <w:pStyle w:val="Tablesub-heading"/>
              <w:rPr>
                <w:b w:val="0"/>
                <w:szCs w:val="22"/>
              </w:rPr>
            </w:pPr>
            <w:r w:rsidRPr="00F549C7">
              <w:rPr>
                <w:b w:val="0"/>
                <w:bCs/>
                <w:i/>
                <w:iCs/>
                <w:noProof/>
                <w:szCs w:val="22"/>
              </w:rPr>
              <w:t>QDAN 185 v.2 Queensland Building and Construction Commission retention and disposal schedule</w:t>
            </w:r>
            <w:r w:rsidRPr="00F549C7" w:rsidDel="00F549C7">
              <w:rPr>
                <w:b w:val="0"/>
                <w:bCs/>
                <w:noProof/>
                <w:szCs w:val="22"/>
              </w:rPr>
              <w:t xml:space="preserve"> </w:t>
            </w:r>
            <w:r w:rsidRPr="00F549C7">
              <w:rPr>
                <w:b w:val="0"/>
                <w:bCs/>
                <w:noProof/>
                <w:szCs w:val="22"/>
              </w:rPr>
              <w:t>1.4.1 Audits – Retain for 12 years after last action</w:t>
            </w:r>
            <w:r>
              <w:rPr>
                <w:b w:val="0"/>
                <w:bCs/>
                <w:noProof/>
                <w:szCs w:val="22"/>
              </w:rPr>
              <w:t>.</w:t>
            </w:r>
          </w:p>
        </w:tc>
      </w:tr>
    </w:tbl>
    <w:p w14:paraId="30448AEE" w14:textId="1E70E2F1" w:rsidR="00501A38" w:rsidRDefault="00501A38"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E143D4" w:rsidRPr="004A453A" w14:paraId="7845AEF4" w14:textId="77777777" w:rsidTr="002215E0">
        <w:tc>
          <w:tcPr>
            <w:tcW w:w="5000" w:type="pct"/>
            <w:shd w:val="clear" w:color="auto" w:fill="E0E0E0"/>
          </w:tcPr>
          <w:p w14:paraId="5953A09E" w14:textId="77777777" w:rsidR="00E143D4" w:rsidRPr="004A453A" w:rsidRDefault="00E143D4" w:rsidP="002215E0">
            <w:pPr>
              <w:spacing w:before="60" w:after="60"/>
              <w:rPr>
                <w:b/>
                <w:lang w:eastAsia="en-AU"/>
              </w:rPr>
            </w:pPr>
            <w:r>
              <w:rPr>
                <w:b/>
                <w:lang w:eastAsia="en-AU"/>
              </w:rPr>
              <w:t>Activity</w:t>
            </w:r>
          </w:p>
        </w:tc>
      </w:tr>
      <w:tr w:rsidR="00E143D4" w:rsidRPr="004A453A" w14:paraId="06D47F96" w14:textId="77777777" w:rsidTr="002215E0">
        <w:tc>
          <w:tcPr>
            <w:tcW w:w="5000" w:type="pct"/>
          </w:tcPr>
          <w:p w14:paraId="74FE0A82" w14:textId="77777777" w:rsidR="00E143D4" w:rsidRDefault="00E143D4" w:rsidP="00E143D4">
            <w:pPr>
              <w:pStyle w:val="Heading2"/>
            </w:pPr>
            <w:r w:rsidRPr="008843B1">
              <w:t>INTERNAL REVIEW</w:t>
            </w:r>
            <w:r>
              <w:t xml:space="preserve"> OF DECISIONS</w:t>
            </w:r>
          </w:p>
          <w:p w14:paraId="2455B383" w14:textId="322B31D4" w:rsidR="00E143D4" w:rsidRPr="00E35904" w:rsidRDefault="00E143D4" w:rsidP="00E143D4">
            <w:pPr>
              <w:pStyle w:val="Scopenote"/>
            </w:pPr>
            <w:r w:rsidRPr="009F4197">
              <w:rPr>
                <w:bCs/>
                <w:iCs/>
              </w:rPr>
              <w:t xml:space="preserve">The activities involved with providing an independent internal review service to reduce the number of administrative reviews made through the Queensland Civil and Administrative Tribunal (QCAT) in accordance with the s.86 of the Queensland Building and Construction </w:t>
            </w:r>
            <w:r>
              <w:rPr>
                <w:bCs/>
                <w:iCs/>
              </w:rPr>
              <w:t xml:space="preserve">Commission </w:t>
            </w:r>
            <w:r w:rsidRPr="009F4197">
              <w:rPr>
                <w:bCs/>
                <w:iCs/>
              </w:rPr>
              <w:t xml:space="preserve">Act 1991. </w:t>
            </w:r>
          </w:p>
        </w:tc>
      </w:tr>
    </w:tbl>
    <w:p w14:paraId="6BBEE9C0" w14:textId="57559D6B" w:rsidR="00E143D4" w:rsidRDefault="00E143D4"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2721"/>
        <w:gridCol w:w="10477"/>
      </w:tblGrid>
      <w:tr w:rsidR="00E143D4" w:rsidRPr="004A453A" w14:paraId="332E8875" w14:textId="77777777" w:rsidTr="00384B0E">
        <w:trPr>
          <w:tblHeader/>
        </w:trPr>
        <w:tc>
          <w:tcPr>
            <w:tcW w:w="567" w:type="pct"/>
            <w:tcBorders>
              <w:top w:val="single" w:sz="6" w:space="0" w:color="C0C0C0"/>
              <w:bottom w:val="single" w:sz="6" w:space="0" w:color="C0C0C0"/>
            </w:tcBorders>
            <w:shd w:val="clear" w:color="auto" w:fill="C0C0C0"/>
            <w:vAlign w:val="center"/>
          </w:tcPr>
          <w:p w14:paraId="09F09945" w14:textId="77777777" w:rsidR="00E143D4" w:rsidRPr="003B6B5D" w:rsidRDefault="00E143D4" w:rsidP="002215E0">
            <w:pPr>
              <w:pStyle w:val="Tablesub-heading"/>
              <w:rPr>
                <w:szCs w:val="22"/>
              </w:rPr>
            </w:pPr>
            <w:r w:rsidRPr="003B6B5D">
              <w:lastRenderedPageBreak/>
              <w:t>Disposal Authorisation</w:t>
            </w:r>
          </w:p>
        </w:tc>
        <w:tc>
          <w:tcPr>
            <w:tcW w:w="914" w:type="pct"/>
            <w:tcBorders>
              <w:top w:val="single" w:sz="6" w:space="0" w:color="C0C0C0"/>
              <w:bottom w:val="single" w:sz="6" w:space="0" w:color="C0C0C0"/>
            </w:tcBorders>
            <w:shd w:val="clear" w:color="auto" w:fill="C0C0C0"/>
            <w:vAlign w:val="center"/>
          </w:tcPr>
          <w:p w14:paraId="6E34B3D8" w14:textId="77777777" w:rsidR="00E143D4" w:rsidRPr="004A453A" w:rsidRDefault="00E143D4" w:rsidP="002215E0">
            <w:pPr>
              <w:pStyle w:val="Tablesub-heading"/>
            </w:pPr>
            <w:r>
              <w:t>Record class</w:t>
            </w:r>
            <w:r w:rsidRPr="004A453A">
              <w:t xml:space="preserve"> and retention period</w:t>
            </w:r>
          </w:p>
        </w:tc>
        <w:tc>
          <w:tcPr>
            <w:tcW w:w="3519" w:type="pct"/>
            <w:tcBorders>
              <w:top w:val="single" w:sz="6" w:space="0" w:color="C0C0C0"/>
              <w:bottom w:val="single" w:sz="6" w:space="0" w:color="C0C0C0"/>
            </w:tcBorders>
            <w:shd w:val="clear" w:color="auto" w:fill="C0C0C0"/>
            <w:vAlign w:val="center"/>
          </w:tcPr>
          <w:p w14:paraId="76E4661E" w14:textId="77777777" w:rsidR="00E143D4" w:rsidRPr="004A453A" w:rsidRDefault="00E143D4" w:rsidP="002215E0">
            <w:pPr>
              <w:pStyle w:val="Tablesub-heading"/>
            </w:pPr>
            <w:r>
              <w:t>Justifying</w:t>
            </w:r>
            <w:r w:rsidRPr="004A453A">
              <w:t xml:space="preserve"> </w:t>
            </w:r>
            <w:r>
              <w:t>the</w:t>
            </w:r>
            <w:r w:rsidRPr="004A453A">
              <w:t xml:space="preserve"> retention period</w:t>
            </w:r>
          </w:p>
        </w:tc>
      </w:tr>
      <w:tr w:rsidR="00E143D4" w:rsidRPr="004A453A" w14:paraId="7CEB8CC9" w14:textId="77777777" w:rsidTr="00384B0E">
        <w:tc>
          <w:tcPr>
            <w:tcW w:w="567" w:type="pct"/>
            <w:tcBorders>
              <w:top w:val="single" w:sz="6" w:space="0" w:color="C0C0C0"/>
              <w:bottom w:val="single" w:sz="6" w:space="0" w:color="C0C0C0"/>
            </w:tcBorders>
            <w:shd w:val="clear" w:color="auto" w:fill="auto"/>
          </w:tcPr>
          <w:p w14:paraId="1B35B836" w14:textId="066702A7" w:rsidR="00E143D4" w:rsidRPr="004A453A" w:rsidRDefault="00D631EA" w:rsidP="002215E0">
            <w:pPr>
              <w:pStyle w:val="Tablesub-heading"/>
              <w:rPr>
                <w:b w:val="0"/>
                <w:szCs w:val="22"/>
              </w:rPr>
            </w:pPr>
            <w:r>
              <w:rPr>
                <w:b w:val="0"/>
                <w:szCs w:val="22"/>
              </w:rPr>
              <w:t>2781</w:t>
            </w:r>
          </w:p>
        </w:tc>
        <w:tc>
          <w:tcPr>
            <w:tcW w:w="914" w:type="pct"/>
            <w:tcBorders>
              <w:top w:val="single" w:sz="6" w:space="0" w:color="C0C0C0"/>
              <w:bottom w:val="single" w:sz="6" w:space="0" w:color="C0C0C0"/>
            </w:tcBorders>
            <w:shd w:val="clear" w:color="auto" w:fill="auto"/>
          </w:tcPr>
          <w:p w14:paraId="19B56981" w14:textId="77777777" w:rsidR="00E143D4" w:rsidRPr="00917033" w:rsidRDefault="00E143D4" w:rsidP="00E143D4">
            <w:pPr>
              <w:pStyle w:val="Tablesub-heading"/>
              <w:rPr>
                <w:i/>
                <w:szCs w:val="22"/>
              </w:rPr>
            </w:pPr>
            <w:r w:rsidRPr="009C642C">
              <w:rPr>
                <w:i/>
                <w:noProof/>
                <w:szCs w:val="22"/>
              </w:rPr>
              <w:t>Internal Review of Decisions</w:t>
            </w:r>
          </w:p>
          <w:p w14:paraId="0EC95ADE" w14:textId="6C52CBBE" w:rsidR="00E143D4" w:rsidRPr="004A453A" w:rsidRDefault="00E143D4" w:rsidP="00E143D4">
            <w:pPr>
              <w:pStyle w:val="Tablesub-heading"/>
              <w:rPr>
                <w:szCs w:val="22"/>
              </w:rPr>
            </w:pPr>
            <w:r>
              <w:rPr>
                <w:b w:val="0"/>
                <w:noProof/>
                <w:szCs w:val="22"/>
              </w:rPr>
              <w:t xml:space="preserve">The activities involved with providing an independent internal review service to reduce the number of administrative reviews made through the Queensland Civil and Administrative Tribunal (QCAT) in accordance with s.86 of the </w:t>
            </w:r>
            <w:r w:rsidRPr="009A33B0">
              <w:rPr>
                <w:b w:val="0"/>
                <w:i/>
                <w:iCs/>
                <w:noProof/>
                <w:szCs w:val="22"/>
              </w:rPr>
              <w:t>Queens</w:t>
            </w:r>
            <w:r w:rsidR="009E22C4" w:rsidRPr="009A33B0">
              <w:rPr>
                <w:b w:val="0"/>
                <w:i/>
                <w:iCs/>
                <w:noProof/>
                <w:szCs w:val="22"/>
              </w:rPr>
              <w:t>land</w:t>
            </w:r>
            <w:r w:rsidRPr="009A33B0">
              <w:rPr>
                <w:b w:val="0"/>
                <w:i/>
                <w:iCs/>
                <w:noProof/>
                <w:szCs w:val="22"/>
              </w:rPr>
              <w:t xml:space="preserve"> Building  and Construction Com</w:t>
            </w:r>
            <w:r w:rsidR="009E22C4" w:rsidRPr="009A33B0">
              <w:rPr>
                <w:b w:val="0"/>
                <w:i/>
                <w:iCs/>
                <w:noProof/>
                <w:szCs w:val="22"/>
              </w:rPr>
              <w:t>m</w:t>
            </w:r>
            <w:r w:rsidRPr="009A33B0">
              <w:rPr>
                <w:b w:val="0"/>
                <w:i/>
                <w:iCs/>
                <w:noProof/>
                <w:szCs w:val="22"/>
              </w:rPr>
              <w:t>ission Act 1991</w:t>
            </w:r>
            <w:r>
              <w:rPr>
                <w:b w:val="0"/>
                <w:noProof/>
                <w:szCs w:val="22"/>
              </w:rPr>
              <w:t>.</w:t>
            </w:r>
          </w:p>
          <w:p w14:paraId="2CB31E53" w14:textId="77777777" w:rsidR="00E143D4" w:rsidRPr="00634D63" w:rsidRDefault="00E143D4" w:rsidP="002215E0">
            <w:pPr>
              <w:pStyle w:val="Heading2"/>
            </w:pPr>
            <w:r w:rsidRPr="00634D63">
              <w:t xml:space="preserve">Disposal action – </w:t>
            </w:r>
          </w:p>
          <w:p w14:paraId="6E9F311D" w14:textId="1C98CEF4" w:rsidR="00E143D4" w:rsidRPr="004A453A" w:rsidRDefault="00E143D4" w:rsidP="002215E0">
            <w:pPr>
              <w:pStyle w:val="Tablesub-heading"/>
              <w:rPr>
                <w:b w:val="0"/>
              </w:rPr>
            </w:pPr>
            <w:r>
              <w:rPr>
                <w:b w:val="0"/>
                <w:noProof/>
              </w:rPr>
              <w:t>15 years after business action completed.</w:t>
            </w:r>
          </w:p>
        </w:tc>
        <w:tc>
          <w:tcPr>
            <w:tcW w:w="3519" w:type="pct"/>
            <w:tcBorders>
              <w:top w:val="single" w:sz="6" w:space="0" w:color="C0C0C0"/>
              <w:bottom w:val="single" w:sz="6" w:space="0" w:color="C0C0C0"/>
            </w:tcBorders>
            <w:shd w:val="clear" w:color="auto" w:fill="auto"/>
          </w:tcPr>
          <w:p w14:paraId="6C2C1301" w14:textId="0FDAB6B3" w:rsidR="00E143D4" w:rsidRPr="004A453A" w:rsidRDefault="00E143D4" w:rsidP="002215E0">
            <w:pPr>
              <w:pStyle w:val="Tablesub-heading"/>
              <w:rPr>
                <w:b w:val="0"/>
                <w:szCs w:val="22"/>
              </w:rPr>
            </w:pPr>
            <w:r>
              <w:t xml:space="preserve">Date authorised: </w:t>
            </w:r>
            <w:r w:rsidR="00067BF0">
              <w:rPr>
                <w:b w:val="0"/>
              </w:rPr>
              <w:t>15 December 2023</w:t>
            </w:r>
          </w:p>
          <w:p w14:paraId="71E1F5BC" w14:textId="77777777" w:rsidR="00E143D4" w:rsidRPr="00634D63" w:rsidRDefault="00E143D4" w:rsidP="002215E0">
            <w:pPr>
              <w:pStyle w:val="Heading2"/>
            </w:pPr>
            <w:r w:rsidRPr="00634D63">
              <w:t>Why are these records created:</w:t>
            </w:r>
          </w:p>
          <w:p w14:paraId="6F35BCE1" w14:textId="77777777" w:rsidR="00E143D4" w:rsidRPr="00C8213D" w:rsidRDefault="00E143D4" w:rsidP="00E143D4">
            <w:pPr>
              <w:pStyle w:val="Tablesub-heading"/>
              <w:rPr>
                <w:b w:val="0"/>
                <w:noProof/>
                <w:szCs w:val="22"/>
              </w:rPr>
            </w:pPr>
            <w:r w:rsidRPr="00C8213D">
              <w:rPr>
                <w:b w:val="0"/>
                <w:noProof/>
                <w:szCs w:val="22"/>
              </w:rPr>
              <w:t xml:space="preserve">Records relating to requests to review a nominated Decision. Once an internal review decision </w:t>
            </w:r>
            <w:r>
              <w:rPr>
                <w:b w:val="0"/>
                <w:noProof/>
                <w:szCs w:val="22"/>
              </w:rPr>
              <w:t>ha</w:t>
            </w:r>
            <w:r w:rsidRPr="00C8213D">
              <w:rPr>
                <w:b w:val="0"/>
                <w:noProof/>
                <w:szCs w:val="22"/>
              </w:rPr>
              <w:t xml:space="preserve">s </w:t>
            </w:r>
            <w:r>
              <w:rPr>
                <w:b w:val="0"/>
                <w:noProof/>
                <w:szCs w:val="22"/>
              </w:rPr>
              <w:t xml:space="preserve">been </w:t>
            </w:r>
            <w:r w:rsidRPr="00C8213D">
              <w:rPr>
                <w:b w:val="0"/>
                <w:noProof/>
                <w:szCs w:val="22"/>
              </w:rPr>
              <w:t xml:space="preserve">made, the </w:t>
            </w:r>
            <w:r>
              <w:rPr>
                <w:b w:val="0"/>
                <w:noProof/>
                <w:szCs w:val="22"/>
              </w:rPr>
              <w:t>D</w:t>
            </w:r>
            <w:r w:rsidRPr="00C8213D">
              <w:rPr>
                <w:b w:val="0"/>
                <w:noProof/>
                <w:szCs w:val="22"/>
              </w:rPr>
              <w:t xml:space="preserve">ecision cannot be changed by </w:t>
            </w:r>
            <w:r>
              <w:rPr>
                <w:b w:val="0"/>
                <w:noProof/>
                <w:szCs w:val="22"/>
              </w:rPr>
              <w:t xml:space="preserve">the </w:t>
            </w:r>
            <w:r w:rsidRPr="00C8213D">
              <w:rPr>
                <w:b w:val="0"/>
                <w:noProof/>
                <w:szCs w:val="22"/>
              </w:rPr>
              <w:t>QBCC.</w:t>
            </w:r>
          </w:p>
          <w:p w14:paraId="7B9BF28E" w14:textId="77777777" w:rsidR="00E143D4" w:rsidRDefault="00E143D4" w:rsidP="00E143D4">
            <w:pPr>
              <w:pStyle w:val="Tablesub-heading"/>
              <w:rPr>
                <w:b w:val="0"/>
                <w:szCs w:val="22"/>
              </w:rPr>
            </w:pPr>
            <w:r>
              <w:rPr>
                <w:b w:val="0"/>
                <w:noProof/>
                <w:szCs w:val="22"/>
              </w:rPr>
              <w:t xml:space="preserve">The </w:t>
            </w:r>
            <w:r w:rsidRPr="00C8213D">
              <w:rPr>
                <w:b w:val="0"/>
                <w:noProof/>
                <w:szCs w:val="22"/>
              </w:rPr>
              <w:t xml:space="preserve">QCAT </w:t>
            </w:r>
            <w:r>
              <w:rPr>
                <w:b w:val="0"/>
                <w:noProof/>
                <w:szCs w:val="22"/>
              </w:rPr>
              <w:t xml:space="preserve">can </w:t>
            </w:r>
            <w:r w:rsidRPr="00C8213D">
              <w:rPr>
                <w:b w:val="0"/>
                <w:noProof/>
                <w:szCs w:val="22"/>
              </w:rPr>
              <w:t xml:space="preserve">review a decision made by </w:t>
            </w:r>
            <w:r>
              <w:rPr>
                <w:b w:val="0"/>
                <w:noProof/>
                <w:szCs w:val="22"/>
              </w:rPr>
              <w:t xml:space="preserve">the </w:t>
            </w:r>
            <w:r w:rsidRPr="00C8213D">
              <w:rPr>
                <w:b w:val="0"/>
                <w:noProof/>
                <w:szCs w:val="22"/>
              </w:rPr>
              <w:t>QBCC, including a decision made by the Internal Review Unit</w:t>
            </w:r>
            <w:r>
              <w:rPr>
                <w:b w:val="0"/>
                <w:noProof/>
                <w:szCs w:val="22"/>
              </w:rPr>
              <w:t xml:space="preserve"> (IRU) although not all </w:t>
            </w:r>
            <w:r w:rsidRPr="00C8213D">
              <w:rPr>
                <w:b w:val="0"/>
                <w:noProof/>
                <w:szCs w:val="22"/>
              </w:rPr>
              <w:t xml:space="preserve">decisions are reviewable by </w:t>
            </w:r>
            <w:r>
              <w:rPr>
                <w:b w:val="0"/>
                <w:noProof/>
                <w:szCs w:val="22"/>
              </w:rPr>
              <w:t xml:space="preserve">the </w:t>
            </w:r>
            <w:r w:rsidRPr="00C8213D">
              <w:rPr>
                <w:b w:val="0"/>
                <w:noProof/>
                <w:szCs w:val="22"/>
              </w:rPr>
              <w:t>QCAT.</w:t>
            </w:r>
          </w:p>
          <w:p w14:paraId="28B5244E" w14:textId="77777777" w:rsidR="00E143D4" w:rsidRPr="00C2465E" w:rsidRDefault="00E143D4" w:rsidP="00E143D4">
            <w:pPr>
              <w:pStyle w:val="Tablesub-heading"/>
              <w:shd w:val="clear" w:color="auto" w:fill="FFFFFF"/>
              <w:spacing w:after="0"/>
              <w:rPr>
                <w:b w:val="0"/>
                <w:bCs/>
                <w:szCs w:val="22"/>
              </w:rPr>
            </w:pPr>
            <w:r w:rsidRPr="00C2465E">
              <w:rPr>
                <w:b w:val="0"/>
                <w:bCs/>
                <w:szCs w:val="22"/>
              </w:rPr>
              <w:t xml:space="preserve">Licensing and Compliance Decisions Subject to Review </w:t>
            </w:r>
            <w:r>
              <w:rPr>
                <w:b w:val="0"/>
                <w:bCs/>
                <w:szCs w:val="22"/>
              </w:rPr>
              <w:t>–</w:t>
            </w:r>
            <w:r w:rsidRPr="00C2465E">
              <w:rPr>
                <w:b w:val="0"/>
                <w:bCs/>
                <w:szCs w:val="22"/>
              </w:rPr>
              <w:t xml:space="preserve"> </w:t>
            </w:r>
          </w:p>
          <w:p w14:paraId="483E7B68" w14:textId="77777777" w:rsidR="00E143D4" w:rsidRPr="00C8213D" w:rsidRDefault="00E143D4" w:rsidP="00E143D4">
            <w:pPr>
              <w:numPr>
                <w:ilvl w:val="0"/>
                <w:numId w:val="26"/>
              </w:numPr>
              <w:shd w:val="clear" w:color="auto" w:fill="FFFFFF"/>
              <w:spacing w:before="100" w:beforeAutospacing="1" w:after="100" w:afterAutospacing="1"/>
              <w:rPr>
                <w:szCs w:val="22"/>
                <w:lang w:eastAsia="en-AU"/>
              </w:rPr>
            </w:pPr>
            <w:r w:rsidRPr="00C8213D">
              <w:rPr>
                <w:szCs w:val="22"/>
                <w:lang w:eastAsia="en-AU"/>
              </w:rPr>
              <w:t>Decision to refuse a licence application</w:t>
            </w:r>
            <w:r>
              <w:rPr>
                <w:szCs w:val="22"/>
                <w:lang w:eastAsia="en-AU"/>
              </w:rPr>
              <w:t>.</w:t>
            </w:r>
          </w:p>
          <w:p w14:paraId="20113207" w14:textId="77777777" w:rsidR="00E143D4" w:rsidRPr="00C8213D" w:rsidRDefault="00E143D4" w:rsidP="00E143D4">
            <w:pPr>
              <w:numPr>
                <w:ilvl w:val="0"/>
                <w:numId w:val="26"/>
              </w:numPr>
              <w:shd w:val="clear" w:color="auto" w:fill="FFFFFF"/>
              <w:spacing w:before="100" w:beforeAutospacing="1" w:after="100" w:afterAutospacing="1"/>
              <w:rPr>
                <w:szCs w:val="22"/>
                <w:lang w:eastAsia="en-AU"/>
              </w:rPr>
            </w:pPr>
            <w:r w:rsidRPr="00C8213D">
              <w:rPr>
                <w:szCs w:val="22"/>
                <w:lang w:eastAsia="en-AU"/>
              </w:rPr>
              <w:t>Decision to refuse a licence renewal</w:t>
            </w:r>
            <w:r>
              <w:rPr>
                <w:szCs w:val="22"/>
                <w:lang w:eastAsia="en-AU"/>
              </w:rPr>
              <w:t>.</w:t>
            </w:r>
          </w:p>
          <w:p w14:paraId="4EB909F0" w14:textId="77777777" w:rsidR="00E143D4" w:rsidRPr="00C8213D" w:rsidRDefault="00E143D4" w:rsidP="00E143D4">
            <w:pPr>
              <w:numPr>
                <w:ilvl w:val="0"/>
                <w:numId w:val="26"/>
              </w:numPr>
              <w:shd w:val="clear" w:color="auto" w:fill="FFFFFF"/>
              <w:spacing w:before="100" w:beforeAutospacing="1" w:after="100" w:afterAutospacing="1"/>
              <w:rPr>
                <w:szCs w:val="22"/>
                <w:lang w:eastAsia="en-AU"/>
              </w:rPr>
            </w:pPr>
            <w:r w:rsidRPr="00C8213D">
              <w:rPr>
                <w:szCs w:val="22"/>
                <w:lang w:eastAsia="en-AU"/>
              </w:rPr>
              <w:t>Decision to impose or vary a licence condition</w:t>
            </w:r>
            <w:r>
              <w:rPr>
                <w:szCs w:val="22"/>
                <w:lang w:eastAsia="en-AU"/>
              </w:rPr>
              <w:t>.</w:t>
            </w:r>
          </w:p>
          <w:p w14:paraId="2BBF1C66" w14:textId="77777777" w:rsidR="00E143D4" w:rsidRPr="00C8213D" w:rsidRDefault="00E143D4" w:rsidP="00E143D4">
            <w:pPr>
              <w:numPr>
                <w:ilvl w:val="0"/>
                <w:numId w:val="26"/>
              </w:numPr>
              <w:shd w:val="clear" w:color="auto" w:fill="FFFFFF"/>
              <w:spacing w:before="100" w:beforeAutospacing="1" w:after="100" w:afterAutospacing="1"/>
              <w:rPr>
                <w:szCs w:val="22"/>
                <w:lang w:eastAsia="en-AU"/>
              </w:rPr>
            </w:pPr>
            <w:r w:rsidRPr="00C8213D">
              <w:rPr>
                <w:szCs w:val="22"/>
                <w:lang w:eastAsia="en-AU"/>
              </w:rPr>
              <w:t>Decision to suspend a licence</w:t>
            </w:r>
            <w:r>
              <w:rPr>
                <w:szCs w:val="22"/>
                <w:lang w:eastAsia="en-AU"/>
              </w:rPr>
              <w:t>.</w:t>
            </w:r>
          </w:p>
          <w:p w14:paraId="5DB13138" w14:textId="77777777" w:rsidR="00E143D4" w:rsidRPr="00C8213D" w:rsidRDefault="00E143D4" w:rsidP="00E143D4">
            <w:pPr>
              <w:numPr>
                <w:ilvl w:val="0"/>
                <w:numId w:val="26"/>
              </w:numPr>
              <w:shd w:val="clear" w:color="auto" w:fill="FFFFFF"/>
              <w:spacing w:before="100" w:beforeAutospacing="1" w:after="100" w:afterAutospacing="1"/>
              <w:rPr>
                <w:szCs w:val="22"/>
                <w:lang w:eastAsia="en-AU"/>
              </w:rPr>
            </w:pPr>
            <w:r w:rsidRPr="00C8213D">
              <w:rPr>
                <w:szCs w:val="22"/>
                <w:lang w:eastAsia="en-AU"/>
              </w:rPr>
              <w:t>Decision to cancel a licence</w:t>
            </w:r>
            <w:r>
              <w:rPr>
                <w:szCs w:val="22"/>
                <w:lang w:eastAsia="en-AU"/>
              </w:rPr>
              <w:t>.</w:t>
            </w:r>
          </w:p>
          <w:p w14:paraId="71BA2C13" w14:textId="77777777" w:rsidR="00E143D4" w:rsidRPr="00C8213D" w:rsidRDefault="00E143D4" w:rsidP="00E143D4">
            <w:pPr>
              <w:numPr>
                <w:ilvl w:val="0"/>
                <w:numId w:val="26"/>
              </w:numPr>
              <w:shd w:val="clear" w:color="auto" w:fill="FFFFFF"/>
              <w:spacing w:before="100" w:beforeAutospacing="1" w:after="100" w:afterAutospacing="1"/>
              <w:rPr>
                <w:szCs w:val="22"/>
                <w:lang w:eastAsia="en-AU"/>
              </w:rPr>
            </w:pPr>
            <w:r w:rsidRPr="00C8213D">
              <w:rPr>
                <w:szCs w:val="22"/>
                <w:lang w:eastAsia="en-AU"/>
              </w:rPr>
              <w:t>Decision that there are reasonable grounds for concern that a licensee does not satisfy the financial requirements for their licence</w:t>
            </w:r>
            <w:r>
              <w:rPr>
                <w:szCs w:val="22"/>
                <w:lang w:eastAsia="en-AU"/>
              </w:rPr>
              <w:t>.</w:t>
            </w:r>
          </w:p>
          <w:p w14:paraId="0E39C2FA" w14:textId="77777777" w:rsidR="00E143D4" w:rsidRDefault="00E143D4" w:rsidP="00E143D4">
            <w:pPr>
              <w:numPr>
                <w:ilvl w:val="0"/>
                <w:numId w:val="26"/>
              </w:numPr>
              <w:shd w:val="clear" w:color="auto" w:fill="FFFFFF"/>
              <w:spacing w:before="100" w:beforeAutospacing="1" w:after="100" w:afterAutospacing="1"/>
              <w:rPr>
                <w:szCs w:val="22"/>
                <w:lang w:eastAsia="en-AU"/>
              </w:rPr>
            </w:pPr>
            <w:r w:rsidRPr="00C8213D">
              <w:rPr>
                <w:szCs w:val="22"/>
                <w:lang w:eastAsia="en-AU"/>
              </w:rPr>
              <w:t>Decision that a person is an excluded individual for an insolvency event or a series of insolvency events</w:t>
            </w:r>
            <w:r>
              <w:rPr>
                <w:szCs w:val="22"/>
                <w:lang w:eastAsia="en-AU"/>
              </w:rPr>
              <w:t>.</w:t>
            </w:r>
          </w:p>
          <w:p w14:paraId="58F99DDA" w14:textId="77777777" w:rsidR="00E143D4" w:rsidRDefault="00E143D4" w:rsidP="00E143D4">
            <w:pPr>
              <w:numPr>
                <w:ilvl w:val="0"/>
                <w:numId w:val="26"/>
              </w:numPr>
              <w:shd w:val="clear" w:color="auto" w:fill="FFFFFF"/>
              <w:spacing w:before="100" w:beforeAutospacing="1" w:after="100" w:afterAutospacing="1"/>
              <w:rPr>
                <w:szCs w:val="22"/>
                <w:lang w:eastAsia="en-AU"/>
              </w:rPr>
            </w:pPr>
            <w:r>
              <w:rPr>
                <w:szCs w:val="22"/>
                <w:lang w:eastAsia="en-AU"/>
              </w:rPr>
              <w:t>Licence Application not approved.</w:t>
            </w:r>
          </w:p>
          <w:p w14:paraId="7B299466" w14:textId="77777777" w:rsidR="00E143D4" w:rsidRDefault="00E143D4" w:rsidP="00E143D4">
            <w:pPr>
              <w:numPr>
                <w:ilvl w:val="0"/>
                <w:numId w:val="26"/>
              </w:numPr>
              <w:shd w:val="clear" w:color="auto" w:fill="FFFFFF"/>
              <w:spacing w:before="100" w:beforeAutospacing="1" w:after="100" w:afterAutospacing="1"/>
              <w:rPr>
                <w:szCs w:val="22"/>
                <w:lang w:eastAsia="en-AU"/>
              </w:rPr>
            </w:pPr>
            <w:r>
              <w:rPr>
                <w:szCs w:val="22"/>
                <w:lang w:eastAsia="en-AU"/>
              </w:rPr>
              <w:t>Direction to Rectify.</w:t>
            </w:r>
          </w:p>
          <w:p w14:paraId="052F15F4" w14:textId="77777777" w:rsidR="00E143D4" w:rsidRPr="00C8213D" w:rsidRDefault="00E143D4" w:rsidP="00E143D4">
            <w:pPr>
              <w:numPr>
                <w:ilvl w:val="0"/>
                <w:numId w:val="26"/>
              </w:numPr>
              <w:shd w:val="clear" w:color="auto" w:fill="FFFFFF"/>
              <w:spacing w:before="100" w:beforeAutospacing="1"/>
              <w:rPr>
                <w:szCs w:val="22"/>
                <w:lang w:eastAsia="en-AU"/>
              </w:rPr>
            </w:pPr>
            <w:r w:rsidRPr="00C8213D">
              <w:rPr>
                <w:szCs w:val="22"/>
                <w:lang w:eastAsia="en-AU"/>
              </w:rPr>
              <w:t>Decision to decline insurance in full or in part under the Queensland Home Warranty Insurance Scheme</w:t>
            </w:r>
            <w:r>
              <w:rPr>
                <w:szCs w:val="22"/>
                <w:lang w:eastAsia="en-AU"/>
              </w:rPr>
              <w:t>.</w:t>
            </w:r>
          </w:p>
          <w:p w14:paraId="1D0F9770" w14:textId="77777777" w:rsidR="00E143D4" w:rsidRPr="00634D63" w:rsidRDefault="00E143D4" w:rsidP="002215E0">
            <w:pPr>
              <w:pStyle w:val="Heading2"/>
            </w:pPr>
            <w:r w:rsidRPr="00634D63">
              <w:t>Why the records are retained for this retention period:</w:t>
            </w:r>
          </w:p>
          <w:p w14:paraId="7A3170B6" w14:textId="257902C2" w:rsidR="00E143D4" w:rsidRPr="004A453A" w:rsidRDefault="00E143D4" w:rsidP="002215E0">
            <w:pPr>
              <w:pStyle w:val="Tablesub-heading"/>
              <w:rPr>
                <w:b w:val="0"/>
                <w:szCs w:val="22"/>
              </w:rPr>
            </w:pPr>
            <w:r>
              <w:rPr>
                <w:b w:val="0"/>
                <w:noProof/>
                <w:szCs w:val="22"/>
              </w:rPr>
              <w:t xml:space="preserve">Records of review decisions made can have bearing to other similar matters or cases involving developers or licensees. As such, retention of 15 years is considered reasonable as this information has medium to long term business and/or reference value.  </w:t>
            </w:r>
            <w:r>
              <w:rPr>
                <w:b w:val="0"/>
                <w:szCs w:val="22"/>
              </w:rPr>
              <w:t xml:space="preserve">  </w:t>
            </w:r>
          </w:p>
          <w:p w14:paraId="55BDEBD4" w14:textId="77777777" w:rsidR="00E143D4" w:rsidRPr="00634D63" w:rsidRDefault="00E143D4" w:rsidP="002215E0">
            <w:pPr>
              <w:pStyle w:val="Heading2"/>
            </w:pPr>
            <w:r w:rsidRPr="00634D63">
              <w:t>Applicable legislation/standards:</w:t>
            </w:r>
          </w:p>
          <w:p w14:paraId="6EED103B" w14:textId="77777777" w:rsidR="00E143D4" w:rsidRPr="00C66CC8" w:rsidRDefault="00E143D4" w:rsidP="00E143D4">
            <w:pPr>
              <w:pStyle w:val="Heading2"/>
              <w:rPr>
                <w:rFonts w:ascii="Arial" w:hAnsi="Arial" w:cs="Arial"/>
                <w:b w:val="0"/>
                <w:noProof/>
                <w:szCs w:val="22"/>
              </w:rPr>
            </w:pPr>
            <w:r w:rsidRPr="00C66CC8">
              <w:rPr>
                <w:rFonts w:ascii="Arial" w:hAnsi="Arial" w:cs="Arial"/>
                <w:b w:val="0"/>
                <w:noProof/>
                <w:szCs w:val="22"/>
              </w:rPr>
              <w:t>See the list of applicable legislation and standards for public records created, kept and managed by</w:t>
            </w:r>
            <w:r>
              <w:rPr>
                <w:rFonts w:ascii="Arial" w:hAnsi="Arial" w:cs="Arial"/>
                <w:b w:val="0"/>
                <w:noProof/>
                <w:szCs w:val="22"/>
              </w:rPr>
              <w:t xml:space="preserve"> </w:t>
            </w:r>
            <w:r w:rsidRPr="00C66CC8">
              <w:rPr>
                <w:rFonts w:ascii="Arial" w:hAnsi="Arial" w:cs="Arial"/>
                <w:b w:val="0"/>
                <w:noProof/>
                <w:szCs w:val="22"/>
              </w:rPr>
              <w:t xml:space="preserve">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p>
          <w:p w14:paraId="68A7BC4F" w14:textId="77777777" w:rsidR="00E143D4" w:rsidRPr="00634D63" w:rsidRDefault="00E143D4" w:rsidP="002215E0">
            <w:pPr>
              <w:pStyle w:val="Heading2"/>
            </w:pPr>
            <w:r w:rsidRPr="00634D63">
              <w:t xml:space="preserve">Comparison with other schedules' retention period: </w:t>
            </w:r>
          </w:p>
          <w:p w14:paraId="171FF048" w14:textId="77777777" w:rsidR="00E143D4" w:rsidRDefault="00E143D4" w:rsidP="00E143D4">
            <w:pPr>
              <w:pStyle w:val="Tablesub-heading"/>
              <w:rPr>
                <w:b w:val="0"/>
                <w:noProof/>
                <w:szCs w:val="22"/>
              </w:rPr>
            </w:pPr>
            <w:r w:rsidRPr="00531F3D">
              <w:rPr>
                <w:b w:val="0"/>
                <w:i/>
                <w:iCs/>
                <w:szCs w:val="22"/>
              </w:rPr>
              <w:lastRenderedPageBreak/>
              <w:t>GDS-30 v.2, General Disposal Schedule for State Government Agencies in South Australia,</w:t>
            </w:r>
            <w:r>
              <w:rPr>
                <w:b w:val="0"/>
                <w:szCs w:val="22"/>
              </w:rPr>
              <w:t xml:space="preserve"> 5.1.1 – Appeals – retain for 15 years - as issued by State Records of South Australia</w:t>
            </w:r>
            <w:r>
              <w:rPr>
                <w:b w:val="0"/>
                <w:noProof/>
                <w:szCs w:val="22"/>
              </w:rPr>
              <w:t>.</w:t>
            </w:r>
          </w:p>
          <w:p w14:paraId="3F51AD8F" w14:textId="3F5F23EC" w:rsidR="00E143D4" w:rsidRDefault="00E143D4" w:rsidP="00E143D4">
            <w:pPr>
              <w:pStyle w:val="Tablesub-heading"/>
              <w:rPr>
                <w:b w:val="0"/>
                <w:noProof/>
                <w:szCs w:val="22"/>
              </w:rPr>
            </w:pPr>
            <w:r w:rsidRPr="00531F3D">
              <w:rPr>
                <w:b w:val="0"/>
                <w:i/>
                <w:iCs/>
                <w:noProof/>
                <w:szCs w:val="22"/>
              </w:rPr>
              <w:t>GA39, Local Government Records, 7.1.2 (7 years), 22.31.1 (10 years) and 22.31.2 (5 years)</w:t>
            </w:r>
            <w:r>
              <w:rPr>
                <w:b w:val="0"/>
                <w:noProof/>
                <w:szCs w:val="22"/>
              </w:rPr>
              <w:t xml:space="preserve"> – Appeals - as issued by </w:t>
            </w:r>
            <w:r w:rsidR="009A33B0">
              <w:rPr>
                <w:b w:val="0"/>
                <w:noProof/>
                <w:szCs w:val="22"/>
              </w:rPr>
              <w:t xml:space="preserve">the New South Wales, </w:t>
            </w:r>
            <w:r>
              <w:rPr>
                <w:b w:val="0"/>
                <w:noProof/>
                <w:szCs w:val="22"/>
              </w:rPr>
              <w:t>State Archives and Records</w:t>
            </w:r>
            <w:r w:rsidR="00A80AC9">
              <w:rPr>
                <w:b w:val="0"/>
                <w:noProof/>
                <w:szCs w:val="22"/>
              </w:rPr>
              <w:t xml:space="preserve"> Authority</w:t>
            </w:r>
            <w:r>
              <w:rPr>
                <w:b w:val="0"/>
                <w:noProof/>
                <w:szCs w:val="22"/>
              </w:rPr>
              <w:t xml:space="preserve"> (SARA).</w:t>
            </w:r>
          </w:p>
          <w:p w14:paraId="4194E3A3" w14:textId="77777777" w:rsidR="00E143D4" w:rsidRDefault="00E143D4" w:rsidP="00E143D4">
            <w:pPr>
              <w:pStyle w:val="Tablesub-heading"/>
              <w:rPr>
                <w:b w:val="0"/>
                <w:szCs w:val="22"/>
              </w:rPr>
            </w:pPr>
            <w:r w:rsidRPr="006266A2">
              <w:rPr>
                <w:b w:val="0"/>
                <w:i/>
                <w:iCs/>
                <w:szCs w:val="22"/>
              </w:rPr>
              <w:t>QDAN 690 v.1 Maritime Safety Sector Retention and Disposal Schedule</w:t>
            </w:r>
            <w:r>
              <w:rPr>
                <w:b w:val="0"/>
                <w:szCs w:val="22"/>
              </w:rPr>
              <w:t xml:space="preserve">: </w:t>
            </w:r>
          </w:p>
          <w:p w14:paraId="07EDC540" w14:textId="349E85C8" w:rsidR="00E143D4" w:rsidRDefault="00E143D4" w:rsidP="00E143D4">
            <w:pPr>
              <w:pStyle w:val="Tablesub-heading"/>
              <w:numPr>
                <w:ilvl w:val="0"/>
                <w:numId w:val="27"/>
              </w:numPr>
              <w:rPr>
                <w:b w:val="0"/>
                <w:szCs w:val="22"/>
              </w:rPr>
            </w:pPr>
            <w:r>
              <w:rPr>
                <w:b w:val="0"/>
                <w:szCs w:val="22"/>
              </w:rPr>
              <w:t>4.8.1 - Buoy Mooring – Appeals – Retain for 10 years after conclusion of appeal process.</w:t>
            </w:r>
          </w:p>
          <w:p w14:paraId="47B4E458" w14:textId="77777777" w:rsidR="00E143D4" w:rsidRDefault="00E143D4" w:rsidP="00E143D4">
            <w:pPr>
              <w:pStyle w:val="Tablesub-heading"/>
              <w:numPr>
                <w:ilvl w:val="0"/>
                <w:numId w:val="27"/>
              </w:numPr>
              <w:rPr>
                <w:b w:val="0"/>
                <w:szCs w:val="22"/>
              </w:rPr>
            </w:pPr>
            <w:r>
              <w:rPr>
                <w:b w:val="0"/>
                <w:szCs w:val="22"/>
              </w:rPr>
              <w:t>4.8.2 - Development Applications – Tidal Works – Appeals – Retain for 10 years after conclusion of appeal process.</w:t>
            </w:r>
          </w:p>
          <w:p w14:paraId="01A8D160" w14:textId="77777777" w:rsidR="00E143D4" w:rsidRDefault="00E143D4" w:rsidP="00E143D4">
            <w:pPr>
              <w:pStyle w:val="Tablesub-heading"/>
              <w:numPr>
                <w:ilvl w:val="0"/>
                <w:numId w:val="27"/>
              </w:numPr>
              <w:rPr>
                <w:b w:val="0"/>
                <w:szCs w:val="22"/>
              </w:rPr>
            </w:pPr>
            <w:r>
              <w:rPr>
                <w:b w:val="0"/>
                <w:szCs w:val="22"/>
              </w:rPr>
              <w:t>6.18.1 - Appeals – Retain for 10 years after conclusion of appeal process.</w:t>
            </w:r>
          </w:p>
          <w:p w14:paraId="4474F557" w14:textId="77777777" w:rsidR="00E143D4" w:rsidRDefault="00E143D4" w:rsidP="00E143D4">
            <w:pPr>
              <w:pStyle w:val="Tablesub-heading"/>
              <w:numPr>
                <w:ilvl w:val="0"/>
                <w:numId w:val="27"/>
              </w:numPr>
              <w:rPr>
                <w:b w:val="0"/>
                <w:szCs w:val="22"/>
              </w:rPr>
            </w:pPr>
            <w:r>
              <w:rPr>
                <w:b w:val="0"/>
                <w:szCs w:val="22"/>
              </w:rPr>
              <w:t>7.9.1 Marine licence – appeals – retain for 10 years after conclusion of appeal process.</w:t>
            </w:r>
          </w:p>
          <w:p w14:paraId="55F4DD8D" w14:textId="77777777" w:rsidR="00E143D4" w:rsidRPr="004A453A" w:rsidRDefault="00E143D4" w:rsidP="00E143D4">
            <w:pPr>
              <w:pStyle w:val="Tablesub-heading"/>
              <w:numPr>
                <w:ilvl w:val="0"/>
                <w:numId w:val="27"/>
              </w:numPr>
              <w:rPr>
                <w:b w:val="0"/>
                <w:szCs w:val="22"/>
              </w:rPr>
            </w:pPr>
            <w:r>
              <w:rPr>
                <w:b w:val="0"/>
                <w:szCs w:val="22"/>
              </w:rPr>
              <w:t>9.6.1 Registration – appeals – retain for 10 years after conclusion of appeal process.</w:t>
            </w:r>
          </w:p>
          <w:p w14:paraId="2DE45273" w14:textId="77777777" w:rsidR="00E143D4" w:rsidRDefault="00E143D4" w:rsidP="00E143D4">
            <w:pPr>
              <w:pStyle w:val="Tablesub-heading"/>
              <w:rPr>
                <w:b w:val="0"/>
                <w:szCs w:val="22"/>
              </w:rPr>
            </w:pPr>
            <w:r w:rsidRPr="00AB7EE6">
              <w:rPr>
                <w:b w:val="0"/>
                <w:i/>
                <w:iCs/>
                <w:szCs w:val="22"/>
              </w:rPr>
              <w:t>QDAN 731 v.1 Queensland Civil and Administrative Tribunal (QCAT)</w:t>
            </w:r>
            <w:r>
              <w:rPr>
                <w:b w:val="0"/>
                <w:szCs w:val="22"/>
              </w:rPr>
              <w:t xml:space="preserve"> 1.3.1 Building Case files – Retain for 12 years after business action completed and finalisation of all appeal processes.</w:t>
            </w:r>
          </w:p>
          <w:p w14:paraId="350F1440" w14:textId="77777777" w:rsidR="00E143D4" w:rsidRPr="00634D63" w:rsidRDefault="00E143D4" w:rsidP="002215E0">
            <w:pPr>
              <w:pStyle w:val="Heading2"/>
            </w:pPr>
            <w:r w:rsidRPr="00634D63">
              <w:t>Previous schedule references:</w:t>
            </w:r>
          </w:p>
          <w:p w14:paraId="1E88B098" w14:textId="72ADE216" w:rsidR="00E143D4" w:rsidRPr="004A453A" w:rsidRDefault="00E143D4" w:rsidP="002215E0">
            <w:pPr>
              <w:pStyle w:val="Tablesub-heading"/>
              <w:rPr>
                <w:b w:val="0"/>
                <w:szCs w:val="22"/>
              </w:rPr>
            </w:pPr>
            <w:r>
              <w:rPr>
                <w:b w:val="0"/>
                <w:szCs w:val="22"/>
              </w:rPr>
              <w:t>New disposal authorisation</w:t>
            </w:r>
          </w:p>
        </w:tc>
      </w:tr>
    </w:tbl>
    <w:p w14:paraId="0A84ED96" w14:textId="506258D0" w:rsidR="00283221" w:rsidRDefault="00283221" w:rsidP="00F8629C"/>
    <w:p w14:paraId="61E0B879" w14:textId="77777777" w:rsidR="00283221" w:rsidRDefault="00283221" w:rsidP="00F8629C">
      <w:r>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283221" w:rsidRPr="004A453A" w14:paraId="5926FC7E" w14:textId="77777777" w:rsidTr="002215E0">
        <w:tc>
          <w:tcPr>
            <w:tcW w:w="1077" w:type="pct"/>
            <w:shd w:val="clear" w:color="auto" w:fill="E0E0E0"/>
          </w:tcPr>
          <w:p w14:paraId="0511F2A7" w14:textId="77777777" w:rsidR="00283221" w:rsidRPr="004A453A" w:rsidRDefault="00283221" w:rsidP="002215E0">
            <w:pPr>
              <w:spacing w:before="60" w:after="60"/>
              <w:jc w:val="center"/>
              <w:rPr>
                <w:b/>
                <w:lang w:eastAsia="en-AU"/>
              </w:rPr>
            </w:pPr>
            <w:r>
              <w:lastRenderedPageBreak/>
              <w:br w:type="page"/>
            </w:r>
            <w:r w:rsidRPr="004A453A">
              <w:rPr>
                <w:b/>
                <w:lang w:eastAsia="en-AU"/>
              </w:rPr>
              <w:t>Title</w:t>
            </w:r>
          </w:p>
        </w:tc>
        <w:tc>
          <w:tcPr>
            <w:tcW w:w="3923" w:type="pct"/>
            <w:shd w:val="clear" w:color="auto" w:fill="E0E0E0"/>
          </w:tcPr>
          <w:p w14:paraId="1C969D8D" w14:textId="77777777" w:rsidR="00283221" w:rsidRPr="004A453A" w:rsidRDefault="00283221" w:rsidP="002215E0">
            <w:pPr>
              <w:spacing w:before="60" w:after="60"/>
              <w:jc w:val="center"/>
              <w:rPr>
                <w:b/>
                <w:lang w:eastAsia="en-AU"/>
              </w:rPr>
            </w:pPr>
            <w:r w:rsidRPr="004A453A">
              <w:rPr>
                <w:b/>
                <w:lang w:eastAsia="en-AU"/>
              </w:rPr>
              <w:t>Scope Note</w:t>
            </w:r>
          </w:p>
        </w:tc>
      </w:tr>
      <w:tr w:rsidR="00283221" w:rsidRPr="004A453A" w14:paraId="5B312B6F" w14:textId="77777777" w:rsidTr="002215E0">
        <w:tc>
          <w:tcPr>
            <w:tcW w:w="1077" w:type="pct"/>
          </w:tcPr>
          <w:p w14:paraId="47B1588C" w14:textId="635DC46F" w:rsidR="00283221" w:rsidRPr="00634D63" w:rsidRDefault="00283221" w:rsidP="002215E0">
            <w:pPr>
              <w:pStyle w:val="Heading1"/>
            </w:pPr>
            <w:r>
              <w:rPr>
                <w:noProof/>
              </w:rPr>
              <w:t>INSURANCE SCHEME MANAGEMENT</w:t>
            </w:r>
          </w:p>
        </w:tc>
        <w:tc>
          <w:tcPr>
            <w:tcW w:w="3923" w:type="pct"/>
          </w:tcPr>
          <w:p w14:paraId="799EC67A" w14:textId="3236AFCD" w:rsidR="00283221" w:rsidRPr="00E35904" w:rsidRDefault="00283221" w:rsidP="002215E0">
            <w:pPr>
              <w:pStyle w:val="Scopenote"/>
            </w:pPr>
            <w:r>
              <w:rPr>
                <w:noProof/>
              </w:rPr>
              <w:t>The function of managing the Queensland Building and Construction Commission Home Warranty Insurance Scheme and investigating defective work claims.</w:t>
            </w:r>
          </w:p>
        </w:tc>
      </w:tr>
    </w:tbl>
    <w:p w14:paraId="7A635936" w14:textId="4230BC18" w:rsidR="00E143D4" w:rsidRDefault="00E143D4"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83221" w:rsidRPr="004A453A" w14:paraId="46F01FD2" w14:textId="77777777" w:rsidTr="002215E0">
        <w:tc>
          <w:tcPr>
            <w:tcW w:w="5000" w:type="pct"/>
            <w:shd w:val="clear" w:color="auto" w:fill="E0E0E0"/>
          </w:tcPr>
          <w:p w14:paraId="1A97A70B" w14:textId="77777777" w:rsidR="00283221" w:rsidRPr="004A453A" w:rsidRDefault="00283221" w:rsidP="002215E0">
            <w:pPr>
              <w:spacing w:before="60" w:after="60"/>
              <w:rPr>
                <w:b/>
                <w:lang w:eastAsia="en-AU"/>
              </w:rPr>
            </w:pPr>
            <w:r>
              <w:rPr>
                <w:b/>
                <w:lang w:eastAsia="en-AU"/>
              </w:rPr>
              <w:t>Activity</w:t>
            </w:r>
          </w:p>
        </w:tc>
      </w:tr>
      <w:tr w:rsidR="00283221" w:rsidRPr="004A453A" w14:paraId="29415EF9" w14:textId="77777777" w:rsidTr="002215E0">
        <w:tc>
          <w:tcPr>
            <w:tcW w:w="5000" w:type="pct"/>
          </w:tcPr>
          <w:p w14:paraId="5A37E322" w14:textId="77777777" w:rsidR="00283221" w:rsidRPr="009D721E" w:rsidRDefault="00283221" w:rsidP="00283221">
            <w:pPr>
              <w:pStyle w:val="Heading2"/>
            </w:pPr>
            <w:r>
              <w:rPr>
                <w:noProof/>
              </w:rPr>
              <w:t>STATUTORY INSURANCE SCHEME</w:t>
            </w:r>
          </w:p>
          <w:p w14:paraId="0501986E" w14:textId="2D116DD6" w:rsidR="00283221" w:rsidRPr="00E35904" w:rsidRDefault="00283221" w:rsidP="00283221">
            <w:pPr>
              <w:pStyle w:val="Scopenote"/>
            </w:pPr>
            <w:r>
              <w:rPr>
                <w:noProof/>
              </w:rPr>
              <w:t>The activities associated with mananging claims and notifying and advising customers about the Queensland Home Warranty Scheme</w:t>
            </w:r>
          </w:p>
        </w:tc>
      </w:tr>
    </w:tbl>
    <w:p w14:paraId="62ACB843" w14:textId="6C6B318E" w:rsidR="00283221" w:rsidRDefault="00283221"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2721"/>
        <w:gridCol w:w="10477"/>
      </w:tblGrid>
      <w:tr w:rsidR="00283221" w:rsidRPr="004A453A" w14:paraId="0C907F9A" w14:textId="77777777" w:rsidTr="00384B0E">
        <w:trPr>
          <w:tblHeader/>
        </w:trPr>
        <w:tc>
          <w:tcPr>
            <w:tcW w:w="567" w:type="pct"/>
            <w:tcBorders>
              <w:top w:val="single" w:sz="6" w:space="0" w:color="C0C0C0"/>
              <w:bottom w:val="single" w:sz="6" w:space="0" w:color="C0C0C0"/>
            </w:tcBorders>
            <w:shd w:val="clear" w:color="auto" w:fill="C0C0C0"/>
            <w:vAlign w:val="center"/>
          </w:tcPr>
          <w:p w14:paraId="61AEBBA6" w14:textId="77777777" w:rsidR="00283221" w:rsidRPr="003B6B5D" w:rsidRDefault="00283221" w:rsidP="002215E0">
            <w:pPr>
              <w:pStyle w:val="Tablesub-heading"/>
              <w:rPr>
                <w:szCs w:val="22"/>
              </w:rPr>
            </w:pPr>
            <w:r w:rsidRPr="003B6B5D">
              <w:t>Disposal Authorisation</w:t>
            </w:r>
          </w:p>
        </w:tc>
        <w:tc>
          <w:tcPr>
            <w:tcW w:w="914" w:type="pct"/>
            <w:tcBorders>
              <w:top w:val="single" w:sz="6" w:space="0" w:color="C0C0C0"/>
              <w:bottom w:val="single" w:sz="6" w:space="0" w:color="C0C0C0"/>
            </w:tcBorders>
            <w:shd w:val="clear" w:color="auto" w:fill="C0C0C0"/>
            <w:vAlign w:val="center"/>
          </w:tcPr>
          <w:p w14:paraId="0761CA44" w14:textId="77777777" w:rsidR="00283221" w:rsidRPr="004A453A" w:rsidRDefault="00283221" w:rsidP="002215E0">
            <w:pPr>
              <w:pStyle w:val="Tablesub-heading"/>
            </w:pPr>
            <w:r>
              <w:t>Record class</w:t>
            </w:r>
            <w:r w:rsidRPr="004A453A">
              <w:t xml:space="preserve"> and retention period</w:t>
            </w:r>
          </w:p>
        </w:tc>
        <w:tc>
          <w:tcPr>
            <w:tcW w:w="3519" w:type="pct"/>
            <w:tcBorders>
              <w:top w:val="single" w:sz="6" w:space="0" w:color="C0C0C0"/>
              <w:bottom w:val="single" w:sz="6" w:space="0" w:color="C0C0C0"/>
            </w:tcBorders>
            <w:shd w:val="clear" w:color="auto" w:fill="C0C0C0"/>
            <w:vAlign w:val="center"/>
          </w:tcPr>
          <w:p w14:paraId="4D9948F3" w14:textId="77777777" w:rsidR="00283221" w:rsidRPr="004A453A" w:rsidRDefault="00283221" w:rsidP="002215E0">
            <w:pPr>
              <w:pStyle w:val="Tablesub-heading"/>
            </w:pPr>
            <w:r>
              <w:t>Justifying</w:t>
            </w:r>
            <w:r w:rsidRPr="004A453A">
              <w:t xml:space="preserve"> </w:t>
            </w:r>
            <w:r>
              <w:t>the</w:t>
            </w:r>
            <w:r w:rsidRPr="004A453A">
              <w:t xml:space="preserve"> retention period</w:t>
            </w:r>
          </w:p>
        </w:tc>
      </w:tr>
      <w:tr w:rsidR="00283221" w:rsidRPr="004A453A" w14:paraId="3AAA7DC0" w14:textId="77777777" w:rsidTr="00384B0E">
        <w:tc>
          <w:tcPr>
            <w:tcW w:w="567" w:type="pct"/>
            <w:tcBorders>
              <w:top w:val="single" w:sz="6" w:space="0" w:color="C0C0C0"/>
              <w:bottom w:val="single" w:sz="6" w:space="0" w:color="C0C0C0"/>
            </w:tcBorders>
            <w:shd w:val="clear" w:color="auto" w:fill="auto"/>
          </w:tcPr>
          <w:p w14:paraId="1E7BEAF3" w14:textId="63FFA158" w:rsidR="00283221" w:rsidRPr="004A453A" w:rsidRDefault="00F17A24" w:rsidP="002215E0">
            <w:pPr>
              <w:pStyle w:val="Tablesub-heading"/>
              <w:rPr>
                <w:b w:val="0"/>
                <w:szCs w:val="22"/>
              </w:rPr>
            </w:pPr>
            <w:r>
              <w:rPr>
                <w:b w:val="0"/>
                <w:szCs w:val="22"/>
              </w:rPr>
              <w:t>2782</w:t>
            </w:r>
          </w:p>
        </w:tc>
        <w:tc>
          <w:tcPr>
            <w:tcW w:w="914" w:type="pct"/>
            <w:tcBorders>
              <w:top w:val="single" w:sz="6" w:space="0" w:color="C0C0C0"/>
              <w:bottom w:val="single" w:sz="6" w:space="0" w:color="C0C0C0"/>
            </w:tcBorders>
            <w:shd w:val="clear" w:color="auto" w:fill="auto"/>
          </w:tcPr>
          <w:p w14:paraId="13732625" w14:textId="77777777" w:rsidR="00283221" w:rsidRPr="00917033" w:rsidRDefault="00283221" w:rsidP="00283221">
            <w:pPr>
              <w:pStyle w:val="Tablesub-heading"/>
              <w:rPr>
                <w:i/>
                <w:szCs w:val="22"/>
              </w:rPr>
            </w:pPr>
            <w:r>
              <w:rPr>
                <w:i/>
                <w:noProof/>
                <w:szCs w:val="22"/>
              </w:rPr>
              <w:t>Insurance Scheme Management Claims</w:t>
            </w:r>
          </w:p>
          <w:p w14:paraId="479254BE" w14:textId="77777777" w:rsidR="00283221" w:rsidRPr="004A453A" w:rsidRDefault="00283221" w:rsidP="00283221">
            <w:pPr>
              <w:pStyle w:val="Tablesub-heading"/>
              <w:rPr>
                <w:szCs w:val="22"/>
              </w:rPr>
            </w:pPr>
            <w:r>
              <w:rPr>
                <w:b w:val="0"/>
                <w:noProof/>
                <w:szCs w:val="22"/>
              </w:rPr>
              <w:t>Records relating to the assessment of claims made against the Queensland Home Warranty Insurance Scheme.</w:t>
            </w:r>
          </w:p>
          <w:p w14:paraId="1BD76122" w14:textId="77777777" w:rsidR="00283221" w:rsidRPr="00634D63" w:rsidRDefault="00283221" w:rsidP="002215E0">
            <w:pPr>
              <w:pStyle w:val="Heading2"/>
            </w:pPr>
            <w:r w:rsidRPr="00634D63">
              <w:t xml:space="preserve">Disposal action – </w:t>
            </w:r>
          </w:p>
          <w:p w14:paraId="30B60874" w14:textId="1F7C0448" w:rsidR="00283221" w:rsidRPr="004A453A" w:rsidRDefault="00283221" w:rsidP="002215E0">
            <w:pPr>
              <w:pStyle w:val="Tablesub-heading"/>
              <w:rPr>
                <w:b w:val="0"/>
              </w:rPr>
            </w:pPr>
            <w:r>
              <w:rPr>
                <w:b w:val="0"/>
                <w:noProof/>
              </w:rPr>
              <w:t>10 years after business action completed.</w:t>
            </w:r>
          </w:p>
        </w:tc>
        <w:tc>
          <w:tcPr>
            <w:tcW w:w="3519" w:type="pct"/>
            <w:tcBorders>
              <w:top w:val="single" w:sz="6" w:space="0" w:color="C0C0C0"/>
              <w:bottom w:val="single" w:sz="6" w:space="0" w:color="C0C0C0"/>
            </w:tcBorders>
            <w:shd w:val="clear" w:color="auto" w:fill="auto"/>
          </w:tcPr>
          <w:p w14:paraId="526F1F55" w14:textId="2064FD6A" w:rsidR="00283221" w:rsidRPr="004A453A" w:rsidRDefault="00283221" w:rsidP="002215E0">
            <w:pPr>
              <w:pStyle w:val="Tablesub-heading"/>
              <w:rPr>
                <w:b w:val="0"/>
                <w:szCs w:val="22"/>
              </w:rPr>
            </w:pPr>
            <w:r>
              <w:t xml:space="preserve">Date authorised: </w:t>
            </w:r>
            <w:r w:rsidR="00067BF0">
              <w:rPr>
                <w:b w:val="0"/>
              </w:rPr>
              <w:t>15 December 2023</w:t>
            </w:r>
          </w:p>
          <w:p w14:paraId="0C11EDE1" w14:textId="77777777" w:rsidR="00283221" w:rsidRPr="00634D63" w:rsidRDefault="00283221" w:rsidP="002215E0">
            <w:pPr>
              <w:pStyle w:val="Heading2"/>
            </w:pPr>
            <w:r w:rsidRPr="00634D63">
              <w:t>Why are these records created:</w:t>
            </w:r>
          </w:p>
          <w:p w14:paraId="442A291B" w14:textId="77777777" w:rsidR="00283221" w:rsidRDefault="00283221" w:rsidP="00283221">
            <w:pPr>
              <w:pStyle w:val="Tablesub-heading"/>
              <w:rPr>
                <w:b w:val="0"/>
                <w:szCs w:val="22"/>
              </w:rPr>
            </w:pPr>
            <w:r>
              <w:rPr>
                <w:b w:val="0"/>
                <w:noProof/>
                <w:szCs w:val="22"/>
              </w:rPr>
              <w:t>Records documenting home insurance claims made, suppporting evidence, inspections, decisions made, rectification and debt recovery measures. Includes contract notifications, construction notification letters, insurance premium refund applications and insurance notification forms.</w:t>
            </w:r>
          </w:p>
          <w:p w14:paraId="2077BCF0" w14:textId="77777777" w:rsidR="00283221" w:rsidRPr="004F1D86" w:rsidRDefault="00283221" w:rsidP="00283221">
            <w:pPr>
              <w:pStyle w:val="Tablesub-heading"/>
              <w:shd w:val="clear" w:color="auto" w:fill="FFFFFF"/>
              <w:rPr>
                <w:b w:val="0"/>
                <w:bCs/>
                <w:szCs w:val="22"/>
              </w:rPr>
            </w:pPr>
            <w:r w:rsidRPr="004F1D86">
              <w:rPr>
                <w:b w:val="0"/>
                <w:bCs/>
                <w:szCs w:val="22"/>
              </w:rPr>
              <w:t>Most residential building work done in Queensland valued over $3,300 (including labour and materials) must have home warranty insurance.</w:t>
            </w:r>
          </w:p>
          <w:p w14:paraId="2C980BA5" w14:textId="77777777" w:rsidR="00283221" w:rsidRPr="004F1D86" w:rsidRDefault="00283221" w:rsidP="00283221">
            <w:pPr>
              <w:pStyle w:val="Tablesub-heading"/>
              <w:shd w:val="clear" w:color="auto" w:fill="FFFFFF"/>
              <w:rPr>
                <w:b w:val="0"/>
                <w:bCs/>
                <w:szCs w:val="22"/>
              </w:rPr>
            </w:pPr>
            <w:r w:rsidRPr="004F1D86">
              <w:rPr>
                <w:b w:val="0"/>
                <w:bCs/>
                <w:szCs w:val="22"/>
              </w:rPr>
              <w:t xml:space="preserve">As part of the building process, the contractor pays a premium to </w:t>
            </w:r>
            <w:r>
              <w:rPr>
                <w:b w:val="0"/>
                <w:bCs/>
                <w:szCs w:val="22"/>
              </w:rPr>
              <w:t xml:space="preserve">the QBCC </w:t>
            </w:r>
            <w:r w:rsidRPr="004F1D86">
              <w:rPr>
                <w:b w:val="0"/>
                <w:bCs/>
                <w:szCs w:val="22"/>
              </w:rPr>
              <w:t>to insure the construction.</w:t>
            </w:r>
            <w:r>
              <w:rPr>
                <w:b w:val="0"/>
                <w:bCs/>
                <w:szCs w:val="22"/>
              </w:rPr>
              <w:t xml:space="preserve"> </w:t>
            </w:r>
            <w:r w:rsidRPr="004F1D86">
              <w:rPr>
                <w:b w:val="0"/>
                <w:bCs/>
                <w:szCs w:val="22"/>
              </w:rPr>
              <w:t xml:space="preserve"> The amount is included as part of </w:t>
            </w:r>
            <w:r>
              <w:rPr>
                <w:b w:val="0"/>
                <w:bCs/>
                <w:szCs w:val="22"/>
              </w:rPr>
              <w:t xml:space="preserve">the </w:t>
            </w:r>
            <w:r w:rsidRPr="004F1D86">
              <w:rPr>
                <w:b w:val="0"/>
                <w:bCs/>
                <w:szCs w:val="22"/>
              </w:rPr>
              <w:t>contract and is paid before work begins.</w:t>
            </w:r>
          </w:p>
          <w:p w14:paraId="60038537" w14:textId="77777777" w:rsidR="00283221" w:rsidRPr="004F1D86" w:rsidRDefault="00283221" w:rsidP="00283221">
            <w:pPr>
              <w:pStyle w:val="Tablesub-heading"/>
              <w:shd w:val="clear" w:color="auto" w:fill="FFFFFF"/>
              <w:rPr>
                <w:b w:val="0"/>
                <w:bCs/>
                <w:szCs w:val="22"/>
              </w:rPr>
            </w:pPr>
            <w:r w:rsidRPr="004F1D86">
              <w:rPr>
                <w:b w:val="0"/>
                <w:bCs/>
                <w:szCs w:val="22"/>
              </w:rPr>
              <w:t xml:space="preserve">It may protect </w:t>
            </w:r>
            <w:r>
              <w:rPr>
                <w:b w:val="0"/>
                <w:bCs/>
                <w:szCs w:val="22"/>
              </w:rPr>
              <w:t xml:space="preserve">homeowners </w:t>
            </w:r>
            <w:r w:rsidRPr="004F1D86">
              <w:rPr>
                <w:b w:val="0"/>
                <w:bCs/>
                <w:szCs w:val="22"/>
              </w:rPr>
              <w:t>where:</w:t>
            </w:r>
          </w:p>
          <w:p w14:paraId="021A8BBD" w14:textId="77777777" w:rsidR="00283221" w:rsidRPr="004F1D86" w:rsidRDefault="00283221" w:rsidP="00283221">
            <w:pPr>
              <w:pStyle w:val="Tablesub-heading"/>
              <w:numPr>
                <w:ilvl w:val="0"/>
                <w:numId w:val="28"/>
              </w:numPr>
              <w:shd w:val="clear" w:color="auto" w:fill="FFFFFF"/>
              <w:rPr>
                <w:b w:val="0"/>
                <w:bCs/>
                <w:szCs w:val="22"/>
              </w:rPr>
            </w:pPr>
            <w:r w:rsidRPr="006941A7">
              <w:rPr>
                <w:b w:val="0"/>
                <w:bCs/>
                <w:szCs w:val="22"/>
              </w:rPr>
              <w:t>A</w:t>
            </w:r>
            <w:r w:rsidRPr="004F1D86">
              <w:rPr>
                <w:b w:val="0"/>
                <w:bCs/>
                <w:szCs w:val="22"/>
              </w:rPr>
              <w:t xml:space="preserve"> licensed contractor does not complete the contracted residential construction work and </w:t>
            </w:r>
            <w:r w:rsidRPr="006941A7">
              <w:rPr>
                <w:b w:val="0"/>
                <w:bCs/>
                <w:szCs w:val="22"/>
              </w:rPr>
              <w:t xml:space="preserve">the </w:t>
            </w:r>
            <w:r w:rsidRPr="004F1D86">
              <w:rPr>
                <w:b w:val="0"/>
                <w:bCs/>
                <w:szCs w:val="22"/>
              </w:rPr>
              <w:t>contract</w:t>
            </w:r>
            <w:r w:rsidRPr="006941A7">
              <w:rPr>
                <w:b w:val="0"/>
                <w:bCs/>
                <w:szCs w:val="22"/>
              </w:rPr>
              <w:t xml:space="preserve"> has been </w:t>
            </w:r>
            <w:r w:rsidRPr="004F1D86">
              <w:rPr>
                <w:b w:val="0"/>
                <w:bCs/>
                <w:szCs w:val="22"/>
              </w:rPr>
              <w:t>terminated</w:t>
            </w:r>
            <w:r>
              <w:rPr>
                <w:b w:val="0"/>
                <w:bCs/>
                <w:szCs w:val="22"/>
              </w:rPr>
              <w:t>.</w:t>
            </w:r>
          </w:p>
          <w:p w14:paraId="4F6F95B2" w14:textId="77777777" w:rsidR="00283221" w:rsidRPr="004F1D86" w:rsidRDefault="00283221" w:rsidP="00283221">
            <w:pPr>
              <w:pStyle w:val="Tablesub-heading"/>
              <w:numPr>
                <w:ilvl w:val="0"/>
                <w:numId w:val="28"/>
              </w:numPr>
              <w:shd w:val="clear" w:color="auto" w:fill="FFFFFF"/>
              <w:spacing w:before="0"/>
              <w:rPr>
                <w:b w:val="0"/>
                <w:bCs/>
                <w:szCs w:val="22"/>
              </w:rPr>
            </w:pPr>
            <w:r>
              <w:rPr>
                <w:b w:val="0"/>
                <w:bCs/>
                <w:szCs w:val="22"/>
              </w:rPr>
              <w:t>T</w:t>
            </w:r>
            <w:r w:rsidRPr="004F1D86">
              <w:rPr>
                <w:b w:val="0"/>
                <w:bCs/>
                <w:szCs w:val="22"/>
              </w:rPr>
              <w:t>he contractor fails to rectify defective work</w:t>
            </w:r>
            <w:r>
              <w:rPr>
                <w:b w:val="0"/>
                <w:bCs/>
                <w:szCs w:val="22"/>
              </w:rPr>
              <w:t>.</w:t>
            </w:r>
          </w:p>
          <w:p w14:paraId="06CEA4D0" w14:textId="77777777" w:rsidR="00283221" w:rsidRPr="004F1D86" w:rsidRDefault="00283221" w:rsidP="00283221">
            <w:pPr>
              <w:pStyle w:val="Tablesub-heading"/>
              <w:numPr>
                <w:ilvl w:val="0"/>
                <w:numId w:val="28"/>
              </w:numPr>
              <w:shd w:val="clear" w:color="auto" w:fill="FFFFFF"/>
              <w:spacing w:before="0"/>
              <w:rPr>
                <w:b w:val="0"/>
                <w:bCs/>
                <w:szCs w:val="22"/>
              </w:rPr>
            </w:pPr>
            <w:r>
              <w:rPr>
                <w:b w:val="0"/>
                <w:bCs/>
                <w:szCs w:val="22"/>
              </w:rPr>
              <w:t>T</w:t>
            </w:r>
            <w:r w:rsidRPr="004F1D86">
              <w:rPr>
                <w:b w:val="0"/>
                <w:bCs/>
                <w:szCs w:val="22"/>
              </w:rPr>
              <w:t>he building suffers from subsidence or settlement</w:t>
            </w:r>
            <w:r>
              <w:rPr>
                <w:b w:val="0"/>
                <w:bCs/>
                <w:szCs w:val="22"/>
              </w:rPr>
              <w:t>.</w:t>
            </w:r>
          </w:p>
          <w:p w14:paraId="40956D32" w14:textId="77777777" w:rsidR="00283221" w:rsidRPr="004F1D86" w:rsidRDefault="00283221" w:rsidP="00283221">
            <w:pPr>
              <w:pStyle w:val="Tablesub-heading"/>
              <w:shd w:val="clear" w:color="auto" w:fill="FFFFFF"/>
              <w:rPr>
                <w:b w:val="0"/>
                <w:bCs/>
                <w:szCs w:val="22"/>
              </w:rPr>
            </w:pPr>
            <w:r w:rsidRPr="004F1D86">
              <w:rPr>
                <w:b w:val="0"/>
                <w:bCs/>
                <w:szCs w:val="22"/>
              </w:rPr>
              <w:t xml:space="preserve">If </w:t>
            </w:r>
            <w:r>
              <w:rPr>
                <w:b w:val="0"/>
                <w:bCs/>
                <w:szCs w:val="22"/>
              </w:rPr>
              <w:t>the QBCC p</w:t>
            </w:r>
            <w:r w:rsidRPr="004F1D86">
              <w:rPr>
                <w:b w:val="0"/>
                <w:bCs/>
                <w:szCs w:val="22"/>
              </w:rPr>
              <w:t>ay</w:t>
            </w:r>
            <w:r>
              <w:rPr>
                <w:b w:val="0"/>
                <w:bCs/>
                <w:szCs w:val="22"/>
              </w:rPr>
              <w:t xml:space="preserve">s </w:t>
            </w:r>
            <w:r w:rsidRPr="004F1D86">
              <w:rPr>
                <w:b w:val="0"/>
                <w:bCs/>
                <w:szCs w:val="22"/>
              </w:rPr>
              <w:t xml:space="preserve">out on a claim, the claim amount </w:t>
            </w:r>
            <w:r>
              <w:rPr>
                <w:b w:val="0"/>
                <w:bCs/>
                <w:szCs w:val="22"/>
              </w:rPr>
              <w:t>is re</w:t>
            </w:r>
            <w:r w:rsidRPr="004F1D86">
              <w:rPr>
                <w:b w:val="0"/>
                <w:bCs/>
                <w:szCs w:val="22"/>
              </w:rPr>
              <w:t>cover</w:t>
            </w:r>
            <w:r>
              <w:rPr>
                <w:b w:val="0"/>
                <w:bCs/>
                <w:szCs w:val="22"/>
              </w:rPr>
              <w:t xml:space="preserve">ed from the building </w:t>
            </w:r>
            <w:r w:rsidRPr="004F1D86">
              <w:rPr>
                <w:b w:val="0"/>
                <w:bCs/>
                <w:szCs w:val="22"/>
              </w:rPr>
              <w:t>contractor.</w:t>
            </w:r>
          </w:p>
          <w:p w14:paraId="65DA9AEE" w14:textId="77777777" w:rsidR="00283221" w:rsidRPr="00634D63" w:rsidRDefault="00283221" w:rsidP="002215E0">
            <w:pPr>
              <w:pStyle w:val="Heading2"/>
            </w:pPr>
            <w:r w:rsidRPr="00634D63">
              <w:t>Why the records are retained for this retention period:</w:t>
            </w:r>
          </w:p>
          <w:p w14:paraId="4F7FB295" w14:textId="77777777" w:rsidR="00283221" w:rsidRDefault="00283221" w:rsidP="00283221">
            <w:pPr>
              <w:pStyle w:val="Tablesub-heading"/>
              <w:rPr>
                <w:b w:val="0"/>
                <w:noProof/>
                <w:szCs w:val="22"/>
              </w:rPr>
            </w:pPr>
            <w:r>
              <w:rPr>
                <w:b w:val="0"/>
                <w:noProof/>
                <w:szCs w:val="22"/>
              </w:rPr>
              <w:t xml:space="preserve">Retention of 10 years is to cover for subsidence claims which can reoccur for the same property and further action is then required to remediate this. </w:t>
            </w:r>
          </w:p>
          <w:p w14:paraId="0E7682BE" w14:textId="6B5A9141" w:rsidR="00283221" w:rsidRPr="004A453A" w:rsidRDefault="00283221" w:rsidP="002215E0">
            <w:pPr>
              <w:pStyle w:val="Tablesub-heading"/>
              <w:rPr>
                <w:b w:val="0"/>
                <w:szCs w:val="22"/>
              </w:rPr>
            </w:pPr>
            <w:r>
              <w:rPr>
                <w:b w:val="0"/>
                <w:noProof/>
                <w:szCs w:val="22"/>
              </w:rPr>
              <w:lastRenderedPageBreak/>
              <w:t xml:space="preserve">Additionally s.72A(4) of the </w:t>
            </w:r>
            <w:r w:rsidRPr="009A33B0">
              <w:rPr>
                <w:b w:val="0"/>
                <w:i/>
                <w:iCs/>
                <w:noProof/>
                <w:szCs w:val="22"/>
              </w:rPr>
              <w:t>QBCC Act 1991</w:t>
            </w:r>
            <w:r>
              <w:rPr>
                <w:b w:val="0"/>
                <w:noProof/>
                <w:szCs w:val="22"/>
              </w:rPr>
              <w:t>, caps a Direction to Rec</w:t>
            </w:r>
            <w:r w:rsidR="00C82142">
              <w:rPr>
                <w:b w:val="0"/>
                <w:noProof/>
                <w:szCs w:val="22"/>
              </w:rPr>
              <w:t>t</w:t>
            </w:r>
            <w:r>
              <w:rPr>
                <w:b w:val="0"/>
                <w:noProof/>
                <w:szCs w:val="22"/>
              </w:rPr>
              <w:t xml:space="preserve">ify or Remedy at 6 years and 6 months after the subject building work was completed or left incomplete. </w:t>
            </w:r>
            <w:r>
              <w:rPr>
                <w:b w:val="0"/>
                <w:szCs w:val="22"/>
              </w:rPr>
              <w:t xml:space="preserve"> </w:t>
            </w:r>
          </w:p>
          <w:p w14:paraId="7382642C" w14:textId="77777777" w:rsidR="00283221" w:rsidRPr="00634D63" w:rsidRDefault="00283221" w:rsidP="002215E0">
            <w:pPr>
              <w:pStyle w:val="Heading2"/>
            </w:pPr>
            <w:r w:rsidRPr="00634D63">
              <w:t>Applicable legislation/standards:</w:t>
            </w:r>
          </w:p>
          <w:p w14:paraId="1E49D1F8" w14:textId="77777777" w:rsidR="00283221" w:rsidRPr="00C66CC8" w:rsidRDefault="00283221" w:rsidP="00283221">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p>
          <w:p w14:paraId="45FAEA37" w14:textId="77777777" w:rsidR="00283221" w:rsidRPr="00634D63" w:rsidRDefault="00283221" w:rsidP="002215E0">
            <w:pPr>
              <w:pStyle w:val="Heading2"/>
            </w:pPr>
            <w:r w:rsidRPr="00634D63">
              <w:t xml:space="preserve">Comparison with other schedules' retention period: </w:t>
            </w:r>
          </w:p>
          <w:p w14:paraId="45F808BC" w14:textId="6D884E46" w:rsidR="00283221" w:rsidRPr="004A453A" w:rsidRDefault="00283221" w:rsidP="002215E0">
            <w:pPr>
              <w:pStyle w:val="Tablesub-heading"/>
              <w:rPr>
                <w:b w:val="0"/>
                <w:szCs w:val="22"/>
              </w:rPr>
            </w:pPr>
            <w:r w:rsidRPr="00531F3D">
              <w:rPr>
                <w:b w:val="0"/>
                <w:i/>
                <w:iCs/>
                <w:noProof/>
                <w:szCs w:val="22"/>
              </w:rPr>
              <w:t>PROS 20/03, 2.4 for the Victorian Managed Insurance Authority (VMIA)</w:t>
            </w:r>
            <w:r>
              <w:rPr>
                <w:b w:val="0"/>
                <w:noProof/>
                <w:szCs w:val="22"/>
              </w:rPr>
              <w:t xml:space="preserve"> for Defective and/or Incomplete building works, retain for 10 years, as issued by the Public Record Office Victoria (PROV).</w:t>
            </w:r>
          </w:p>
          <w:p w14:paraId="5773FC72" w14:textId="77777777" w:rsidR="00283221" w:rsidRPr="00634D63" w:rsidRDefault="00283221" w:rsidP="002215E0">
            <w:pPr>
              <w:pStyle w:val="Heading2"/>
            </w:pPr>
            <w:r w:rsidRPr="00634D63">
              <w:t>Other comments/factors for consideration:</w:t>
            </w:r>
          </w:p>
          <w:p w14:paraId="4356C67E" w14:textId="77777777" w:rsidR="00283221" w:rsidRPr="006E504E" w:rsidRDefault="00283221" w:rsidP="00283221">
            <w:pPr>
              <w:rPr>
                <w:noProof/>
              </w:rPr>
            </w:pPr>
            <w:r w:rsidRPr="00D0593E">
              <w:rPr>
                <w:noProof/>
              </w:rPr>
              <w:t xml:space="preserve">Home Warranty Insurance or Home Building Compensation Fund (HBCF) as it is now referred to in </w:t>
            </w:r>
            <w:r>
              <w:rPr>
                <w:noProof/>
              </w:rPr>
              <w:t xml:space="preserve">      </w:t>
            </w:r>
            <w:r w:rsidRPr="00D0593E">
              <w:rPr>
                <w:noProof/>
              </w:rPr>
              <w:t xml:space="preserve">NSW, covers the homeowner (and subsequent owners) where the contracted building work is incomplete or defective and the builder has either died, disappeared, </w:t>
            </w:r>
            <w:r w:rsidRPr="00653339">
              <w:rPr>
                <w:noProof/>
              </w:rPr>
              <w:t>become insolvent during construction or has failed to respond to a rectification order within 30 days of it being issued. The cover lasts up to 6 years from completion of the domestic building work or termination of the domestic building contract (6 years</w:t>
            </w:r>
            <w:r>
              <w:rPr>
                <w:noProof/>
              </w:rPr>
              <w:t xml:space="preserve">    </w:t>
            </w:r>
            <w:r w:rsidRPr="00653339">
              <w:rPr>
                <w:noProof/>
              </w:rPr>
              <w:t xml:space="preserve"> for structural defects and 2 years for non-structural). </w:t>
            </w:r>
          </w:p>
          <w:p w14:paraId="38505E79" w14:textId="77777777" w:rsidR="00283221" w:rsidRPr="00634D63" w:rsidRDefault="00283221" w:rsidP="002215E0">
            <w:pPr>
              <w:pStyle w:val="Heading2"/>
            </w:pPr>
            <w:r w:rsidRPr="00634D63">
              <w:t>Previous schedule references:</w:t>
            </w:r>
          </w:p>
          <w:p w14:paraId="25B796E4" w14:textId="77777777" w:rsidR="00283221" w:rsidRPr="006E504E" w:rsidRDefault="00283221" w:rsidP="00283221">
            <w:pPr>
              <w:pStyle w:val="Heading2"/>
              <w:rPr>
                <w:rFonts w:ascii="Arial" w:hAnsi="Arial"/>
                <w:b w:val="0"/>
                <w:i/>
                <w:iCs/>
              </w:rPr>
            </w:pPr>
            <w:r w:rsidRPr="006E504E">
              <w:rPr>
                <w:rFonts w:ascii="Arial" w:hAnsi="Arial"/>
                <w:b w:val="0"/>
                <w:i/>
                <w:iCs/>
              </w:rPr>
              <w:t xml:space="preserve">QDAN 185 v.2 Queensland Building and Construction Commission retention and disposal schedule: </w:t>
            </w:r>
          </w:p>
          <w:p w14:paraId="0F247050" w14:textId="77777777" w:rsidR="00283221" w:rsidRDefault="00283221" w:rsidP="00283221">
            <w:pPr>
              <w:numPr>
                <w:ilvl w:val="0"/>
                <w:numId w:val="29"/>
              </w:numPr>
              <w:rPr>
                <w:lang w:eastAsia="en-AU"/>
              </w:rPr>
            </w:pPr>
            <w:r>
              <w:rPr>
                <w:lang w:eastAsia="en-AU"/>
              </w:rPr>
              <w:t>2.1.1 - Insurance Scheme Management records – No Claim made – Retain for 7 years after last action.</w:t>
            </w:r>
          </w:p>
          <w:p w14:paraId="7E451102" w14:textId="03F56B7B" w:rsidR="00283221" w:rsidRPr="00283221" w:rsidRDefault="00283221" w:rsidP="00283221">
            <w:pPr>
              <w:pStyle w:val="Tablesub-heading"/>
              <w:numPr>
                <w:ilvl w:val="0"/>
                <w:numId w:val="29"/>
              </w:numPr>
              <w:rPr>
                <w:b w:val="0"/>
                <w:bCs/>
                <w:szCs w:val="22"/>
              </w:rPr>
            </w:pPr>
            <w:r w:rsidRPr="00283221">
              <w:rPr>
                <w:b w:val="0"/>
                <w:bCs/>
              </w:rPr>
              <w:t>2.1.2 - Insurance Scheme Management records – Claim made – Retain for 12 years after settlement of claim.</w:t>
            </w:r>
          </w:p>
        </w:tc>
      </w:tr>
      <w:tr w:rsidR="00283221" w:rsidRPr="004A453A" w14:paraId="17D4DAC2" w14:textId="77777777" w:rsidTr="00384B0E">
        <w:tc>
          <w:tcPr>
            <w:tcW w:w="567" w:type="pct"/>
            <w:tcBorders>
              <w:top w:val="single" w:sz="6" w:space="0" w:color="C0C0C0"/>
              <w:bottom w:val="single" w:sz="6" w:space="0" w:color="C0C0C0"/>
            </w:tcBorders>
            <w:shd w:val="clear" w:color="auto" w:fill="auto"/>
          </w:tcPr>
          <w:p w14:paraId="39A70AB0" w14:textId="37A1B534" w:rsidR="00283221" w:rsidRPr="004A453A" w:rsidRDefault="00E02C13" w:rsidP="002215E0">
            <w:pPr>
              <w:pStyle w:val="Tablesub-heading"/>
              <w:rPr>
                <w:b w:val="0"/>
                <w:szCs w:val="22"/>
              </w:rPr>
            </w:pPr>
            <w:r>
              <w:rPr>
                <w:b w:val="0"/>
                <w:szCs w:val="22"/>
              </w:rPr>
              <w:t>2783</w:t>
            </w:r>
          </w:p>
        </w:tc>
        <w:tc>
          <w:tcPr>
            <w:tcW w:w="914" w:type="pct"/>
            <w:tcBorders>
              <w:top w:val="single" w:sz="6" w:space="0" w:color="C0C0C0"/>
              <w:bottom w:val="single" w:sz="6" w:space="0" w:color="C0C0C0"/>
            </w:tcBorders>
            <w:shd w:val="clear" w:color="auto" w:fill="auto"/>
          </w:tcPr>
          <w:p w14:paraId="455F4E21" w14:textId="77777777" w:rsidR="006714FD" w:rsidRPr="00917033" w:rsidRDefault="006714FD" w:rsidP="006714FD">
            <w:pPr>
              <w:pStyle w:val="Tablesub-heading"/>
              <w:rPr>
                <w:i/>
                <w:szCs w:val="22"/>
              </w:rPr>
            </w:pPr>
            <w:r>
              <w:rPr>
                <w:i/>
                <w:noProof/>
                <w:szCs w:val="22"/>
              </w:rPr>
              <w:t>Actuarial Management and Administration of the Insurance Scheme</w:t>
            </w:r>
          </w:p>
          <w:p w14:paraId="7A3E2A16" w14:textId="77777777" w:rsidR="006714FD" w:rsidRPr="004A453A" w:rsidRDefault="006714FD" w:rsidP="006714FD">
            <w:pPr>
              <w:pStyle w:val="Tablesub-heading"/>
              <w:rPr>
                <w:szCs w:val="22"/>
              </w:rPr>
            </w:pPr>
            <w:r>
              <w:rPr>
                <w:b w:val="0"/>
                <w:noProof/>
                <w:szCs w:val="22"/>
              </w:rPr>
              <w:t>Records relating to the operations of managing the Home Warranty Insurance scheme.</w:t>
            </w:r>
          </w:p>
          <w:p w14:paraId="79F42439" w14:textId="77777777" w:rsidR="00283221" w:rsidRPr="00634D63" w:rsidRDefault="00283221" w:rsidP="002215E0">
            <w:pPr>
              <w:pStyle w:val="Heading2"/>
            </w:pPr>
            <w:r w:rsidRPr="00634D63">
              <w:t xml:space="preserve">Disposal action – </w:t>
            </w:r>
          </w:p>
          <w:p w14:paraId="261EA14F" w14:textId="6A8A295D" w:rsidR="00283221" w:rsidRPr="004A453A" w:rsidRDefault="006714FD" w:rsidP="002215E0">
            <w:pPr>
              <w:pStyle w:val="Tablesub-heading"/>
              <w:rPr>
                <w:b w:val="0"/>
              </w:rPr>
            </w:pPr>
            <w:r>
              <w:rPr>
                <w:b w:val="0"/>
                <w:noProof/>
              </w:rPr>
              <w:lastRenderedPageBreak/>
              <w:t>7 years after business action completed</w:t>
            </w:r>
          </w:p>
        </w:tc>
        <w:tc>
          <w:tcPr>
            <w:tcW w:w="3519" w:type="pct"/>
            <w:tcBorders>
              <w:top w:val="single" w:sz="6" w:space="0" w:color="C0C0C0"/>
              <w:bottom w:val="single" w:sz="6" w:space="0" w:color="C0C0C0"/>
            </w:tcBorders>
            <w:shd w:val="clear" w:color="auto" w:fill="auto"/>
          </w:tcPr>
          <w:p w14:paraId="001F1E42" w14:textId="05EF299A" w:rsidR="00283221" w:rsidRPr="004A453A" w:rsidRDefault="00283221" w:rsidP="002215E0">
            <w:pPr>
              <w:pStyle w:val="Tablesub-heading"/>
              <w:rPr>
                <w:b w:val="0"/>
                <w:szCs w:val="22"/>
              </w:rPr>
            </w:pPr>
            <w:r>
              <w:lastRenderedPageBreak/>
              <w:t xml:space="preserve">Date authorised: </w:t>
            </w:r>
            <w:r w:rsidR="00067BF0">
              <w:rPr>
                <w:b w:val="0"/>
              </w:rPr>
              <w:t>15 December 2023</w:t>
            </w:r>
          </w:p>
          <w:p w14:paraId="44D87330" w14:textId="77777777" w:rsidR="00283221" w:rsidRPr="00634D63" w:rsidRDefault="00283221" w:rsidP="002215E0">
            <w:pPr>
              <w:pStyle w:val="Heading2"/>
            </w:pPr>
            <w:r w:rsidRPr="00634D63">
              <w:t>Why are these records created:</w:t>
            </w:r>
          </w:p>
          <w:p w14:paraId="42CAA12B" w14:textId="77777777" w:rsidR="00730F65" w:rsidRPr="004A453A" w:rsidRDefault="00730F65" w:rsidP="00730F65">
            <w:pPr>
              <w:pStyle w:val="Tablesub-heading"/>
              <w:rPr>
                <w:b w:val="0"/>
                <w:szCs w:val="22"/>
              </w:rPr>
            </w:pPr>
            <w:r>
              <w:rPr>
                <w:b w:val="0"/>
                <w:noProof/>
                <w:szCs w:val="22"/>
              </w:rPr>
              <w:t>Activities relating to assessment of potential brokers and/or underwriters; forecasting and calculating insurance premiums; selection of preferred trade contractors to perform remedial works as directed by the agency; summary review reports on insurance scheme performance. Also includes administrative working files</w:t>
            </w:r>
          </w:p>
          <w:p w14:paraId="124B1452" w14:textId="77777777" w:rsidR="00283221" w:rsidRPr="00634D63" w:rsidRDefault="00283221" w:rsidP="002215E0">
            <w:pPr>
              <w:pStyle w:val="Heading2"/>
            </w:pPr>
            <w:r w:rsidRPr="00634D63">
              <w:t>Why the records are retained for this retention period:</w:t>
            </w:r>
          </w:p>
          <w:p w14:paraId="329663ED" w14:textId="77777777" w:rsidR="00730F65" w:rsidRDefault="00730F65" w:rsidP="00730F65">
            <w:pPr>
              <w:pStyle w:val="Tablesub-heading"/>
              <w:rPr>
                <w:b w:val="0"/>
                <w:szCs w:val="22"/>
              </w:rPr>
            </w:pPr>
            <w:r>
              <w:rPr>
                <w:b w:val="0"/>
                <w:noProof/>
                <w:szCs w:val="22"/>
              </w:rPr>
              <w:lastRenderedPageBreak/>
              <w:t>As these records are largely legacy and pertain to reporting, budgeting / cost forecasting and administrative management of the insurance scheme, retention of 7 years is considered to be reasonable.</w:t>
            </w:r>
            <w:r>
              <w:rPr>
                <w:b w:val="0"/>
                <w:szCs w:val="22"/>
              </w:rPr>
              <w:t xml:space="preserve"> </w:t>
            </w:r>
          </w:p>
          <w:p w14:paraId="4E8444D4" w14:textId="488B87EE" w:rsidR="00730F65" w:rsidRDefault="00730F65" w:rsidP="00730F65">
            <w:pPr>
              <w:pStyle w:val="Heading2"/>
              <w:shd w:val="clear" w:color="auto" w:fill="FFFFFF"/>
              <w:rPr>
                <w:rFonts w:ascii="Arial" w:hAnsi="Arial" w:cs="Arial"/>
                <w:b w:val="0"/>
                <w:bCs/>
              </w:rPr>
            </w:pPr>
            <w:r>
              <w:rPr>
                <w:rFonts w:ascii="Arial" w:hAnsi="Arial" w:cs="Arial"/>
                <w:b w:val="0"/>
                <w:bCs/>
              </w:rPr>
              <w:t>A seven</w:t>
            </w:r>
            <w:r w:rsidR="009E22C4">
              <w:rPr>
                <w:rFonts w:ascii="Arial" w:hAnsi="Arial" w:cs="Arial"/>
                <w:b w:val="0"/>
                <w:bCs/>
              </w:rPr>
              <w:t>-</w:t>
            </w:r>
            <w:r>
              <w:rPr>
                <w:rFonts w:ascii="Arial" w:hAnsi="Arial" w:cs="Arial"/>
                <w:b w:val="0"/>
                <w:bCs/>
              </w:rPr>
              <w:t>year retention</w:t>
            </w:r>
            <w:r w:rsidRPr="00211D94">
              <w:rPr>
                <w:rFonts w:ascii="Arial" w:hAnsi="Arial" w:cs="Arial"/>
                <w:b w:val="0"/>
                <w:bCs/>
              </w:rPr>
              <w:t xml:space="preserve"> period ensures that the records are available in the event of any legal claims brought in accordance with s.10 of the </w:t>
            </w:r>
            <w:r w:rsidRPr="009E22C4">
              <w:rPr>
                <w:rFonts w:ascii="Arial" w:hAnsi="Arial" w:cs="Arial"/>
                <w:b w:val="0"/>
                <w:bCs/>
                <w:i/>
                <w:iCs/>
              </w:rPr>
              <w:t>Limitation of Actions Act</w:t>
            </w:r>
            <w:r>
              <w:rPr>
                <w:rFonts w:ascii="Arial" w:hAnsi="Arial" w:cs="Arial"/>
                <w:b w:val="0"/>
                <w:bCs/>
              </w:rPr>
              <w:t xml:space="preserve"> </w:t>
            </w:r>
            <w:r w:rsidRPr="009A33B0">
              <w:rPr>
                <w:rFonts w:ascii="Arial" w:hAnsi="Arial" w:cs="Arial"/>
                <w:b w:val="0"/>
                <w:bCs/>
                <w:i/>
                <w:iCs/>
              </w:rPr>
              <w:t>1974</w:t>
            </w:r>
            <w:r>
              <w:rPr>
                <w:rFonts w:ascii="Arial" w:hAnsi="Arial" w:cs="Arial"/>
                <w:b w:val="0"/>
                <w:bCs/>
              </w:rPr>
              <w:t>.</w:t>
            </w:r>
            <w:r w:rsidRPr="00211D94">
              <w:rPr>
                <w:rFonts w:ascii="Arial" w:hAnsi="Arial" w:cs="Arial"/>
                <w:b w:val="0"/>
                <w:bCs/>
              </w:rPr>
              <w:t xml:space="preserve"> </w:t>
            </w:r>
          </w:p>
          <w:p w14:paraId="65574A41" w14:textId="58154225" w:rsidR="00283221" w:rsidRPr="00730F65" w:rsidRDefault="00730F65" w:rsidP="00730F65">
            <w:pPr>
              <w:pStyle w:val="Heading2"/>
              <w:shd w:val="clear" w:color="auto" w:fill="FFFFFF"/>
              <w:rPr>
                <w:rFonts w:ascii="Arial" w:hAnsi="Arial" w:cs="Arial"/>
                <w:b w:val="0"/>
                <w:bCs/>
              </w:rPr>
            </w:pPr>
            <w:r>
              <w:rPr>
                <w:rFonts w:ascii="Arial" w:hAnsi="Arial" w:cs="Arial"/>
                <w:b w:val="0"/>
                <w:bCs/>
              </w:rPr>
              <w:t>The seven-year retention period supports the decisions of the business by providing evidence of actions taken and ensures that records are available for a sufficient period of time to be referred back to if so required.</w:t>
            </w:r>
            <w:r w:rsidR="00283221">
              <w:rPr>
                <w:b w:val="0"/>
                <w:szCs w:val="22"/>
              </w:rPr>
              <w:t xml:space="preserve"> </w:t>
            </w:r>
          </w:p>
          <w:p w14:paraId="60C88FDB" w14:textId="77777777" w:rsidR="00283221" w:rsidRPr="00634D63" w:rsidRDefault="00283221" w:rsidP="002215E0">
            <w:pPr>
              <w:pStyle w:val="Heading2"/>
            </w:pPr>
            <w:r w:rsidRPr="00634D63">
              <w:t>Applicable legislation/standards:</w:t>
            </w:r>
          </w:p>
          <w:p w14:paraId="446E5BFC" w14:textId="77777777" w:rsidR="00730F65" w:rsidRDefault="00730F65" w:rsidP="00730F65">
            <w:pPr>
              <w:pStyle w:val="Heading2"/>
              <w:rPr>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r>
              <w:rPr>
                <w:b w:val="0"/>
                <w:noProof/>
                <w:szCs w:val="22"/>
              </w:rPr>
              <w:t>.</w:t>
            </w:r>
          </w:p>
          <w:p w14:paraId="1133E67A" w14:textId="77777777" w:rsidR="00283221" w:rsidRPr="00634D63" w:rsidRDefault="00283221" w:rsidP="002215E0">
            <w:pPr>
              <w:pStyle w:val="Heading2"/>
            </w:pPr>
            <w:r w:rsidRPr="00634D63">
              <w:t xml:space="preserve">Comparison with other schedules' retention period: </w:t>
            </w:r>
          </w:p>
          <w:p w14:paraId="58D111C8" w14:textId="77777777" w:rsidR="00730F65" w:rsidRPr="004A453A" w:rsidRDefault="00730F65" w:rsidP="00730F65">
            <w:pPr>
              <w:pStyle w:val="Tablesub-heading"/>
              <w:rPr>
                <w:b w:val="0"/>
                <w:szCs w:val="22"/>
              </w:rPr>
            </w:pPr>
            <w:r w:rsidRPr="00393447">
              <w:rPr>
                <w:b w:val="0"/>
                <w:i/>
                <w:iCs/>
                <w:noProof/>
                <w:szCs w:val="22"/>
              </w:rPr>
              <w:t>PROS 20/03 for the Victorian Managed Insurance Authority (VMIA), 1.2</w:t>
            </w:r>
            <w:r>
              <w:rPr>
                <w:b w:val="0"/>
                <w:noProof/>
                <w:szCs w:val="22"/>
              </w:rPr>
              <w:t xml:space="preserve"> - General Insurance Management, retain for 10 years, as issued by the Public Record Office Victoria (PROV).</w:t>
            </w:r>
          </w:p>
          <w:p w14:paraId="1A8290B8" w14:textId="77777777" w:rsidR="00283221" w:rsidRPr="00634D63" w:rsidRDefault="00283221" w:rsidP="002215E0">
            <w:pPr>
              <w:pStyle w:val="Heading2"/>
            </w:pPr>
            <w:r w:rsidRPr="00634D63">
              <w:t>Previous schedule references:</w:t>
            </w:r>
          </w:p>
          <w:p w14:paraId="1DF69593" w14:textId="62D94CF7" w:rsidR="00283221" w:rsidRPr="004A453A" w:rsidRDefault="00730F65" w:rsidP="002215E0">
            <w:pPr>
              <w:pStyle w:val="Tablesub-heading"/>
              <w:rPr>
                <w:b w:val="0"/>
                <w:szCs w:val="22"/>
              </w:rPr>
            </w:pPr>
            <w:r>
              <w:rPr>
                <w:b w:val="0"/>
                <w:szCs w:val="22"/>
              </w:rPr>
              <w:t>New disposal authorisation.</w:t>
            </w:r>
          </w:p>
        </w:tc>
      </w:tr>
    </w:tbl>
    <w:p w14:paraId="6758FB3C" w14:textId="2C397F58" w:rsidR="005F199E" w:rsidRDefault="005F199E" w:rsidP="00F8629C"/>
    <w:p w14:paraId="75BAD187" w14:textId="77777777" w:rsidR="005F199E" w:rsidRDefault="005F199E" w:rsidP="00F8629C">
      <w:r>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5F199E" w:rsidRPr="004A453A" w14:paraId="5F49A9E2" w14:textId="77777777" w:rsidTr="002215E0">
        <w:tc>
          <w:tcPr>
            <w:tcW w:w="1077" w:type="pct"/>
            <w:shd w:val="clear" w:color="auto" w:fill="E0E0E0"/>
          </w:tcPr>
          <w:p w14:paraId="1B050C60" w14:textId="77777777" w:rsidR="005F199E" w:rsidRPr="004A453A" w:rsidRDefault="005F199E" w:rsidP="002215E0">
            <w:pPr>
              <w:spacing w:before="60" w:after="60"/>
              <w:jc w:val="center"/>
              <w:rPr>
                <w:b/>
                <w:lang w:eastAsia="en-AU"/>
              </w:rPr>
            </w:pPr>
            <w:r>
              <w:lastRenderedPageBreak/>
              <w:br w:type="page"/>
            </w:r>
            <w:r w:rsidRPr="004A453A">
              <w:rPr>
                <w:b/>
                <w:lang w:eastAsia="en-AU"/>
              </w:rPr>
              <w:t>Title</w:t>
            </w:r>
          </w:p>
        </w:tc>
        <w:tc>
          <w:tcPr>
            <w:tcW w:w="3923" w:type="pct"/>
            <w:shd w:val="clear" w:color="auto" w:fill="E0E0E0"/>
          </w:tcPr>
          <w:p w14:paraId="2BB87ABF" w14:textId="77777777" w:rsidR="005F199E" w:rsidRPr="004A453A" w:rsidRDefault="005F199E" w:rsidP="002215E0">
            <w:pPr>
              <w:spacing w:before="60" w:after="60"/>
              <w:jc w:val="center"/>
              <w:rPr>
                <w:b/>
                <w:lang w:eastAsia="en-AU"/>
              </w:rPr>
            </w:pPr>
            <w:r w:rsidRPr="004A453A">
              <w:rPr>
                <w:b/>
                <w:lang w:eastAsia="en-AU"/>
              </w:rPr>
              <w:t>Scope Note</w:t>
            </w:r>
          </w:p>
        </w:tc>
      </w:tr>
      <w:tr w:rsidR="005F199E" w:rsidRPr="004A453A" w14:paraId="568A1980" w14:textId="77777777" w:rsidTr="002215E0">
        <w:tc>
          <w:tcPr>
            <w:tcW w:w="1077" w:type="pct"/>
          </w:tcPr>
          <w:p w14:paraId="28071B4B" w14:textId="0380569D" w:rsidR="005F199E" w:rsidRPr="00634D63" w:rsidRDefault="005F199E" w:rsidP="002215E0">
            <w:pPr>
              <w:pStyle w:val="Heading1"/>
            </w:pPr>
            <w:r>
              <w:rPr>
                <w:noProof/>
              </w:rPr>
              <w:t>ADJUDICATION</w:t>
            </w:r>
          </w:p>
        </w:tc>
        <w:tc>
          <w:tcPr>
            <w:tcW w:w="3923" w:type="pct"/>
          </w:tcPr>
          <w:p w14:paraId="33AEDE12" w14:textId="2240082D" w:rsidR="005F199E" w:rsidRPr="00E35904" w:rsidRDefault="005F199E" w:rsidP="002215E0">
            <w:pPr>
              <w:pStyle w:val="Scopenote"/>
            </w:pPr>
            <w:r>
              <w:rPr>
                <w:rFonts w:cs="Arial"/>
                <w:szCs w:val="22"/>
              </w:rPr>
              <w:t>T</w:t>
            </w:r>
            <w:r w:rsidRPr="00357EA4">
              <w:rPr>
                <w:rFonts w:cs="Arial"/>
                <w:szCs w:val="22"/>
              </w:rPr>
              <w:t xml:space="preserve">he </w:t>
            </w:r>
            <w:r w:rsidRPr="005F199E">
              <w:rPr>
                <w:rFonts w:cs="Arial"/>
                <w:iCs/>
                <w:szCs w:val="22"/>
              </w:rPr>
              <w:t>function</w:t>
            </w:r>
            <w:r w:rsidRPr="00357EA4">
              <w:rPr>
                <w:rFonts w:cs="Arial"/>
                <w:szCs w:val="22"/>
              </w:rPr>
              <w:t xml:space="preserve"> of </w:t>
            </w:r>
            <w:r>
              <w:rPr>
                <w:rFonts w:cs="Arial"/>
                <w:szCs w:val="22"/>
              </w:rPr>
              <w:t xml:space="preserve">dispute resolution </w:t>
            </w:r>
            <w:r w:rsidRPr="00BB6EAA">
              <w:rPr>
                <w:rFonts w:cs="Arial"/>
                <w:szCs w:val="22"/>
              </w:rPr>
              <w:t xml:space="preserve">to </w:t>
            </w:r>
            <w:r>
              <w:rPr>
                <w:rFonts w:cs="Arial"/>
                <w:szCs w:val="22"/>
              </w:rPr>
              <w:t xml:space="preserve">facilitate settlement of </w:t>
            </w:r>
            <w:r w:rsidRPr="00BB6EAA">
              <w:rPr>
                <w:rFonts w:cs="Arial"/>
                <w:szCs w:val="22"/>
              </w:rPr>
              <w:t>disagreements about progress payments and mon</w:t>
            </w:r>
            <w:r>
              <w:rPr>
                <w:rFonts w:cs="Arial"/>
                <w:szCs w:val="22"/>
              </w:rPr>
              <w:t>ies</w:t>
            </w:r>
            <w:r w:rsidRPr="00BB6EAA">
              <w:rPr>
                <w:rFonts w:cs="Arial"/>
                <w:szCs w:val="22"/>
              </w:rPr>
              <w:t xml:space="preserve"> owed</w:t>
            </w:r>
            <w:r>
              <w:rPr>
                <w:rFonts w:cs="Arial"/>
                <w:szCs w:val="22"/>
              </w:rPr>
              <w:t xml:space="preserve">. Includes providing advisory services and </w:t>
            </w:r>
            <w:r w:rsidRPr="00357EA4">
              <w:rPr>
                <w:rFonts w:cs="Arial"/>
                <w:szCs w:val="22"/>
              </w:rPr>
              <w:t xml:space="preserve">collecting </w:t>
            </w:r>
            <w:r>
              <w:rPr>
                <w:rFonts w:cs="Arial"/>
                <w:szCs w:val="22"/>
              </w:rPr>
              <w:t xml:space="preserve">and reporting on </w:t>
            </w:r>
            <w:r w:rsidRPr="00357EA4">
              <w:rPr>
                <w:rFonts w:cs="Arial"/>
                <w:szCs w:val="22"/>
              </w:rPr>
              <w:t>statistical data</w:t>
            </w:r>
            <w:r>
              <w:rPr>
                <w:rFonts w:cs="Arial"/>
                <w:szCs w:val="22"/>
              </w:rPr>
              <w:t>.</w:t>
            </w:r>
          </w:p>
        </w:tc>
      </w:tr>
    </w:tbl>
    <w:p w14:paraId="75B49809" w14:textId="33889735" w:rsidR="00283221" w:rsidRDefault="00283221"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5F199E" w:rsidRPr="004A453A" w14:paraId="6633E4BF" w14:textId="77777777" w:rsidTr="002215E0">
        <w:tc>
          <w:tcPr>
            <w:tcW w:w="5000" w:type="pct"/>
            <w:shd w:val="clear" w:color="auto" w:fill="E0E0E0"/>
          </w:tcPr>
          <w:p w14:paraId="12A88646" w14:textId="77777777" w:rsidR="005F199E" w:rsidRPr="004A453A" w:rsidRDefault="005F199E" w:rsidP="002215E0">
            <w:pPr>
              <w:spacing w:before="60" w:after="60"/>
              <w:rPr>
                <w:b/>
                <w:lang w:eastAsia="en-AU"/>
              </w:rPr>
            </w:pPr>
            <w:r>
              <w:rPr>
                <w:b/>
                <w:lang w:eastAsia="en-AU"/>
              </w:rPr>
              <w:t>Activity</w:t>
            </w:r>
          </w:p>
        </w:tc>
      </w:tr>
      <w:tr w:rsidR="005F199E" w:rsidRPr="004A453A" w14:paraId="50AC1C80" w14:textId="77777777" w:rsidTr="002215E0">
        <w:tc>
          <w:tcPr>
            <w:tcW w:w="5000" w:type="pct"/>
          </w:tcPr>
          <w:p w14:paraId="67F23EC6" w14:textId="60EB89C8" w:rsidR="005F199E" w:rsidRPr="005F199E" w:rsidRDefault="005F199E" w:rsidP="005F199E">
            <w:pPr>
              <w:pStyle w:val="Scopenote"/>
              <w:rPr>
                <w:b/>
                <w:bCs/>
                <w:i w:val="0"/>
              </w:rPr>
            </w:pPr>
            <w:r w:rsidRPr="005F199E">
              <w:rPr>
                <w:b/>
                <w:bCs/>
                <w:i w:val="0"/>
              </w:rPr>
              <w:t>ADJUDICATOR REGISTRATION</w:t>
            </w:r>
          </w:p>
          <w:p w14:paraId="6FDB71DD" w14:textId="273DE425" w:rsidR="005F199E" w:rsidRPr="00E35904" w:rsidRDefault="005F199E" w:rsidP="005F199E">
            <w:pPr>
              <w:pStyle w:val="Scopenote"/>
            </w:pPr>
            <w:r w:rsidRPr="009F4197">
              <w:rPr>
                <w:iCs/>
              </w:rPr>
              <w:t>The activities of registering adjudicators and maintaining a public register. Includes l</w:t>
            </w:r>
            <w:r w:rsidRPr="009F4197">
              <w:rPr>
                <w:rFonts w:cs="Arial"/>
                <w:iCs/>
                <w:szCs w:val="22"/>
              </w:rPr>
              <w:t>egacy Appointment of Approved Training Organisations (ATO) and Authorised Nominating Authorities (ANA) per the former Building and Construction Industry Payments Act</w:t>
            </w:r>
            <w:r w:rsidR="00E06163">
              <w:rPr>
                <w:rFonts w:cs="Arial"/>
                <w:iCs/>
                <w:szCs w:val="22"/>
              </w:rPr>
              <w:t xml:space="preserve"> </w:t>
            </w:r>
            <w:r w:rsidRPr="009F4197">
              <w:rPr>
                <w:rFonts w:cs="Arial"/>
                <w:iCs/>
                <w:szCs w:val="22"/>
              </w:rPr>
              <w:t>2004.</w:t>
            </w:r>
          </w:p>
        </w:tc>
      </w:tr>
    </w:tbl>
    <w:p w14:paraId="1A1D9B75" w14:textId="51479DE5" w:rsidR="005F199E" w:rsidRDefault="005F199E"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2721"/>
        <w:gridCol w:w="10477"/>
      </w:tblGrid>
      <w:tr w:rsidR="005F199E" w:rsidRPr="004A453A" w14:paraId="4E24471F" w14:textId="77777777" w:rsidTr="00384B0E">
        <w:trPr>
          <w:tblHeader/>
        </w:trPr>
        <w:tc>
          <w:tcPr>
            <w:tcW w:w="567" w:type="pct"/>
            <w:tcBorders>
              <w:top w:val="single" w:sz="6" w:space="0" w:color="C0C0C0"/>
              <w:bottom w:val="single" w:sz="6" w:space="0" w:color="C0C0C0"/>
            </w:tcBorders>
            <w:shd w:val="clear" w:color="auto" w:fill="C0C0C0"/>
            <w:vAlign w:val="center"/>
          </w:tcPr>
          <w:p w14:paraId="1B65CFD1" w14:textId="77777777" w:rsidR="005F199E" w:rsidRPr="003B6B5D" w:rsidRDefault="005F199E" w:rsidP="002215E0">
            <w:pPr>
              <w:pStyle w:val="Tablesub-heading"/>
              <w:rPr>
                <w:szCs w:val="22"/>
              </w:rPr>
            </w:pPr>
            <w:r w:rsidRPr="003B6B5D">
              <w:t>Disposal Authorisation</w:t>
            </w:r>
          </w:p>
        </w:tc>
        <w:tc>
          <w:tcPr>
            <w:tcW w:w="914" w:type="pct"/>
            <w:tcBorders>
              <w:top w:val="single" w:sz="6" w:space="0" w:color="C0C0C0"/>
              <w:bottom w:val="single" w:sz="6" w:space="0" w:color="C0C0C0"/>
            </w:tcBorders>
            <w:shd w:val="clear" w:color="auto" w:fill="C0C0C0"/>
            <w:vAlign w:val="center"/>
          </w:tcPr>
          <w:p w14:paraId="2BE23EFF" w14:textId="77777777" w:rsidR="005F199E" w:rsidRPr="004A453A" w:rsidRDefault="005F199E" w:rsidP="002215E0">
            <w:pPr>
              <w:pStyle w:val="Tablesub-heading"/>
            </w:pPr>
            <w:r>
              <w:t>Record class</w:t>
            </w:r>
            <w:r w:rsidRPr="004A453A">
              <w:t xml:space="preserve"> and retention period</w:t>
            </w:r>
          </w:p>
        </w:tc>
        <w:tc>
          <w:tcPr>
            <w:tcW w:w="3519" w:type="pct"/>
            <w:tcBorders>
              <w:top w:val="single" w:sz="6" w:space="0" w:color="C0C0C0"/>
              <w:bottom w:val="single" w:sz="6" w:space="0" w:color="C0C0C0"/>
            </w:tcBorders>
            <w:shd w:val="clear" w:color="auto" w:fill="C0C0C0"/>
            <w:vAlign w:val="center"/>
          </w:tcPr>
          <w:p w14:paraId="21978DB6" w14:textId="77777777" w:rsidR="005F199E" w:rsidRPr="004A453A" w:rsidRDefault="005F199E" w:rsidP="002215E0">
            <w:pPr>
              <w:pStyle w:val="Tablesub-heading"/>
            </w:pPr>
            <w:r>
              <w:t>Justifying</w:t>
            </w:r>
            <w:r w:rsidRPr="004A453A">
              <w:t xml:space="preserve"> </w:t>
            </w:r>
            <w:r>
              <w:t>the</w:t>
            </w:r>
            <w:r w:rsidRPr="004A453A">
              <w:t xml:space="preserve"> retention period</w:t>
            </w:r>
          </w:p>
        </w:tc>
      </w:tr>
      <w:tr w:rsidR="005F199E" w:rsidRPr="004A453A" w14:paraId="113FA015" w14:textId="77777777" w:rsidTr="00384B0E">
        <w:tc>
          <w:tcPr>
            <w:tcW w:w="567" w:type="pct"/>
            <w:tcBorders>
              <w:top w:val="single" w:sz="6" w:space="0" w:color="C0C0C0"/>
              <w:bottom w:val="single" w:sz="6" w:space="0" w:color="C0C0C0"/>
            </w:tcBorders>
            <w:shd w:val="clear" w:color="auto" w:fill="auto"/>
          </w:tcPr>
          <w:p w14:paraId="60C95F74" w14:textId="43827B85" w:rsidR="005F199E" w:rsidRPr="004A453A" w:rsidRDefault="00180E9E" w:rsidP="002215E0">
            <w:pPr>
              <w:pStyle w:val="Tablesub-heading"/>
              <w:rPr>
                <w:b w:val="0"/>
                <w:szCs w:val="22"/>
              </w:rPr>
            </w:pPr>
            <w:r>
              <w:rPr>
                <w:b w:val="0"/>
                <w:szCs w:val="22"/>
              </w:rPr>
              <w:t>2784</w:t>
            </w:r>
          </w:p>
        </w:tc>
        <w:tc>
          <w:tcPr>
            <w:tcW w:w="914" w:type="pct"/>
            <w:tcBorders>
              <w:top w:val="single" w:sz="6" w:space="0" w:color="C0C0C0"/>
              <w:bottom w:val="single" w:sz="6" w:space="0" w:color="C0C0C0"/>
            </w:tcBorders>
            <w:shd w:val="clear" w:color="auto" w:fill="auto"/>
          </w:tcPr>
          <w:p w14:paraId="09EB4ED0" w14:textId="77777777" w:rsidR="00C15AD8" w:rsidRPr="00917033" w:rsidRDefault="00C15AD8" w:rsidP="00C15AD8">
            <w:pPr>
              <w:pStyle w:val="Tablesub-heading"/>
              <w:rPr>
                <w:i/>
                <w:szCs w:val="22"/>
              </w:rPr>
            </w:pPr>
            <w:r>
              <w:rPr>
                <w:i/>
                <w:noProof/>
                <w:szCs w:val="22"/>
              </w:rPr>
              <w:t>Adjudicator Registration Files</w:t>
            </w:r>
          </w:p>
          <w:p w14:paraId="7F5ED020" w14:textId="5244CFD6" w:rsidR="005F199E" w:rsidRPr="004A453A" w:rsidRDefault="00C15AD8" w:rsidP="002215E0">
            <w:pPr>
              <w:pStyle w:val="Tablesub-heading"/>
              <w:rPr>
                <w:szCs w:val="22"/>
              </w:rPr>
            </w:pPr>
            <w:r>
              <w:rPr>
                <w:b w:val="0"/>
                <w:noProof/>
                <w:szCs w:val="22"/>
              </w:rPr>
              <w:t xml:space="preserve">Records relating to the registration of adjudicators in accordance with s.159 of </w:t>
            </w:r>
            <w:r w:rsidRPr="009A33B0">
              <w:rPr>
                <w:b w:val="0"/>
                <w:i/>
                <w:iCs/>
                <w:noProof/>
                <w:szCs w:val="22"/>
              </w:rPr>
              <w:t>the Building Industry Fairness (Security of Payment) Act 2017</w:t>
            </w:r>
            <w:r>
              <w:rPr>
                <w:b w:val="0"/>
                <w:noProof/>
                <w:szCs w:val="22"/>
              </w:rPr>
              <w:t>.</w:t>
            </w:r>
          </w:p>
          <w:p w14:paraId="736347E5" w14:textId="77777777" w:rsidR="005F199E" w:rsidRPr="00634D63" w:rsidRDefault="005F199E" w:rsidP="002215E0">
            <w:pPr>
              <w:pStyle w:val="Heading2"/>
            </w:pPr>
            <w:r w:rsidRPr="00634D63">
              <w:t xml:space="preserve">Disposal action – </w:t>
            </w:r>
          </w:p>
          <w:p w14:paraId="42CA082A" w14:textId="6CBB74A0" w:rsidR="005F199E" w:rsidRPr="004A453A" w:rsidRDefault="00C15AD8" w:rsidP="002215E0">
            <w:pPr>
              <w:pStyle w:val="Tablesub-heading"/>
              <w:rPr>
                <w:b w:val="0"/>
              </w:rPr>
            </w:pPr>
            <w:r>
              <w:rPr>
                <w:b w:val="0"/>
                <w:noProof/>
              </w:rPr>
              <w:t>4 years after business action completed.</w:t>
            </w:r>
          </w:p>
        </w:tc>
        <w:tc>
          <w:tcPr>
            <w:tcW w:w="3519" w:type="pct"/>
            <w:tcBorders>
              <w:top w:val="single" w:sz="6" w:space="0" w:color="C0C0C0"/>
              <w:bottom w:val="single" w:sz="6" w:space="0" w:color="C0C0C0"/>
            </w:tcBorders>
            <w:shd w:val="clear" w:color="auto" w:fill="auto"/>
          </w:tcPr>
          <w:p w14:paraId="5BA8035B" w14:textId="14480FCF" w:rsidR="005F199E" w:rsidRPr="004A453A" w:rsidRDefault="005F199E" w:rsidP="002215E0">
            <w:pPr>
              <w:pStyle w:val="Tablesub-heading"/>
              <w:rPr>
                <w:b w:val="0"/>
                <w:szCs w:val="22"/>
              </w:rPr>
            </w:pPr>
            <w:r>
              <w:t xml:space="preserve">Date authorised: </w:t>
            </w:r>
            <w:r w:rsidR="00067BF0">
              <w:rPr>
                <w:b w:val="0"/>
              </w:rPr>
              <w:t>15 December 2023</w:t>
            </w:r>
          </w:p>
          <w:p w14:paraId="57959A91" w14:textId="77777777" w:rsidR="005F199E" w:rsidRPr="00634D63" w:rsidRDefault="005F199E" w:rsidP="002215E0">
            <w:pPr>
              <w:pStyle w:val="Heading2"/>
            </w:pPr>
            <w:r w:rsidRPr="00634D63">
              <w:t>Why are these records created:</w:t>
            </w:r>
          </w:p>
          <w:p w14:paraId="3729D083" w14:textId="5674D2C7" w:rsidR="00C15AD8" w:rsidRDefault="00C15AD8" w:rsidP="00C15AD8">
            <w:pPr>
              <w:pStyle w:val="Tablesub-heading"/>
              <w:rPr>
                <w:b w:val="0"/>
                <w:szCs w:val="22"/>
              </w:rPr>
            </w:pPr>
            <w:r>
              <w:rPr>
                <w:b w:val="0"/>
                <w:noProof/>
                <w:szCs w:val="22"/>
              </w:rPr>
              <w:t xml:space="preserve">The activities of registering Adjudicators. Includes legacy Appointment of Approved Training Organisations (ATO) and Authorised Nominating Authorities (ANA) per the former </w:t>
            </w:r>
            <w:r w:rsidRPr="009A33B0">
              <w:rPr>
                <w:b w:val="0"/>
                <w:i/>
                <w:iCs/>
                <w:noProof/>
                <w:szCs w:val="22"/>
              </w:rPr>
              <w:t>Building and Construction Industry Payments Act 2004</w:t>
            </w:r>
            <w:r>
              <w:rPr>
                <w:b w:val="0"/>
                <w:noProof/>
                <w:szCs w:val="22"/>
              </w:rPr>
              <w:t>.</w:t>
            </w:r>
          </w:p>
          <w:p w14:paraId="5A310163" w14:textId="77777777" w:rsidR="00C15AD8" w:rsidRPr="00184D99" w:rsidRDefault="00C15AD8" w:rsidP="00C15AD8">
            <w:pPr>
              <w:pStyle w:val="Tablesub-heading"/>
              <w:shd w:val="clear" w:color="auto" w:fill="FFFFFF"/>
              <w:rPr>
                <w:b w:val="0"/>
                <w:szCs w:val="22"/>
              </w:rPr>
            </w:pPr>
            <w:r w:rsidRPr="00D1617A">
              <w:rPr>
                <w:b w:val="0"/>
                <w:szCs w:val="22"/>
              </w:rPr>
              <w:t>The adjudication qualification is prescribed under s</w:t>
            </w:r>
            <w:r>
              <w:rPr>
                <w:b w:val="0"/>
                <w:szCs w:val="22"/>
              </w:rPr>
              <w:t>.</w:t>
            </w:r>
            <w:r w:rsidRPr="00D1617A">
              <w:rPr>
                <w:b w:val="0"/>
                <w:szCs w:val="22"/>
              </w:rPr>
              <w:t>201 of the </w:t>
            </w:r>
            <w:r w:rsidRPr="00610A5D">
              <w:rPr>
                <w:b w:val="0"/>
                <w:i/>
                <w:iCs/>
                <w:szCs w:val="22"/>
              </w:rPr>
              <w:t>Building Industry Fairness (Security of Payment) Act 2017</w:t>
            </w:r>
            <w:r w:rsidRPr="00610A5D">
              <w:rPr>
                <w:b w:val="0"/>
                <w:szCs w:val="22"/>
              </w:rPr>
              <w:t> </w:t>
            </w:r>
            <w:r w:rsidRPr="00184D99">
              <w:rPr>
                <w:b w:val="0"/>
                <w:szCs w:val="22"/>
              </w:rPr>
              <w:t>(BIF Act) and the detail is prescribed under Part 5, s.18 of the </w:t>
            </w:r>
            <w:r w:rsidRPr="00610A5D">
              <w:rPr>
                <w:b w:val="0"/>
                <w:i/>
                <w:iCs/>
                <w:szCs w:val="22"/>
              </w:rPr>
              <w:t>Building Industry Fairness (Security of Payment) Regulation</w:t>
            </w:r>
            <w:r w:rsidRPr="00610A5D">
              <w:rPr>
                <w:b w:val="0"/>
                <w:szCs w:val="22"/>
              </w:rPr>
              <w:t> </w:t>
            </w:r>
            <w:r w:rsidRPr="00184D99">
              <w:rPr>
                <w:b w:val="0"/>
                <w:szCs w:val="22"/>
              </w:rPr>
              <w:t>(BIF Regulation).</w:t>
            </w:r>
          </w:p>
          <w:p w14:paraId="250F1DF7" w14:textId="77777777" w:rsidR="00C15AD8" w:rsidRDefault="00C15AD8" w:rsidP="00C15AD8">
            <w:pPr>
              <w:pStyle w:val="Heading2"/>
              <w:shd w:val="clear" w:color="auto" w:fill="FFFFFF"/>
              <w:rPr>
                <w:rFonts w:ascii="Arial" w:hAnsi="Arial" w:cs="Arial"/>
                <w:b w:val="0"/>
                <w:bCs/>
              </w:rPr>
            </w:pPr>
            <w:r w:rsidRPr="00D1617A">
              <w:rPr>
                <w:rFonts w:ascii="Arial" w:hAnsi="Arial" w:cs="Arial"/>
                <w:b w:val="0"/>
                <w:bCs/>
              </w:rPr>
              <w:t xml:space="preserve">Registration as an </w:t>
            </w:r>
            <w:r>
              <w:rPr>
                <w:rFonts w:ascii="Arial" w:hAnsi="Arial" w:cs="Arial"/>
                <w:b w:val="0"/>
                <w:bCs/>
              </w:rPr>
              <w:t>A</w:t>
            </w:r>
            <w:r w:rsidRPr="00D1617A">
              <w:rPr>
                <w:rFonts w:ascii="Arial" w:hAnsi="Arial" w:cs="Arial"/>
                <w:b w:val="0"/>
                <w:bCs/>
              </w:rPr>
              <w:t xml:space="preserve">djudicator becomes effective on the day the </w:t>
            </w:r>
            <w:r>
              <w:rPr>
                <w:rFonts w:ascii="Arial" w:hAnsi="Arial" w:cs="Arial"/>
                <w:b w:val="0"/>
                <w:bCs/>
              </w:rPr>
              <w:t>C</w:t>
            </w:r>
            <w:r w:rsidRPr="00D1617A">
              <w:rPr>
                <w:rFonts w:ascii="Arial" w:hAnsi="Arial" w:cs="Arial"/>
                <w:b w:val="0"/>
                <w:bCs/>
              </w:rPr>
              <w:t xml:space="preserve">ertificate of </w:t>
            </w:r>
            <w:r>
              <w:rPr>
                <w:rFonts w:ascii="Arial" w:hAnsi="Arial" w:cs="Arial"/>
                <w:b w:val="0"/>
                <w:bCs/>
              </w:rPr>
              <w:t>R</w:t>
            </w:r>
            <w:r w:rsidRPr="00D1617A">
              <w:rPr>
                <w:rFonts w:ascii="Arial" w:hAnsi="Arial" w:cs="Arial"/>
                <w:b w:val="0"/>
                <w:bCs/>
              </w:rPr>
              <w:t xml:space="preserve">egistration is issued. It expires either three years after that day or on an earlier day decided by the </w:t>
            </w:r>
            <w:r>
              <w:rPr>
                <w:rFonts w:ascii="Arial" w:hAnsi="Arial" w:cs="Arial"/>
                <w:b w:val="0"/>
                <w:bCs/>
              </w:rPr>
              <w:t>R</w:t>
            </w:r>
            <w:r w:rsidRPr="00D1617A">
              <w:rPr>
                <w:rFonts w:ascii="Arial" w:hAnsi="Arial" w:cs="Arial"/>
                <w:b w:val="0"/>
                <w:bCs/>
              </w:rPr>
              <w:t xml:space="preserve">egistrar and stated in the </w:t>
            </w:r>
            <w:r>
              <w:rPr>
                <w:rFonts w:ascii="Arial" w:hAnsi="Arial" w:cs="Arial"/>
                <w:b w:val="0"/>
                <w:bCs/>
              </w:rPr>
              <w:t>C</w:t>
            </w:r>
            <w:r w:rsidRPr="00D1617A">
              <w:rPr>
                <w:rFonts w:ascii="Arial" w:hAnsi="Arial" w:cs="Arial"/>
                <w:b w:val="0"/>
                <w:bCs/>
              </w:rPr>
              <w:t xml:space="preserve">ertificate of </w:t>
            </w:r>
            <w:r>
              <w:rPr>
                <w:rFonts w:ascii="Arial" w:hAnsi="Arial" w:cs="Arial"/>
                <w:b w:val="0"/>
                <w:bCs/>
              </w:rPr>
              <w:t>R</w:t>
            </w:r>
            <w:r w:rsidRPr="00D1617A">
              <w:rPr>
                <w:rFonts w:ascii="Arial" w:hAnsi="Arial" w:cs="Arial"/>
                <w:b w:val="0"/>
                <w:bCs/>
              </w:rPr>
              <w:t>egistration.</w:t>
            </w:r>
          </w:p>
          <w:p w14:paraId="4FFD4EE4" w14:textId="77777777" w:rsidR="00C15AD8" w:rsidRPr="00A34D7F" w:rsidRDefault="00C15AD8" w:rsidP="00C15AD8">
            <w:pPr>
              <w:shd w:val="clear" w:color="auto" w:fill="FFFFFF"/>
              <w:spacing w:after="240"/>
              <w:rPr>
                <w:lang w:eastAsia="en-AU"/>
              </w:rPr>
            </w:pPr>
            <w:r w:rsidRPr="00A34D7F">
              <w:rPr>
                <w:lang w:eastAsia="en-AU"/>
              </w:rPr>
              <w:t xml:space="preserve">Registration as an </w:t>
            </w:r>
            <w:r>
              <w:rPr>
                <w:lang w:eastAsia="en-AU"/>
              </w:rPr>
              <w:t>A</w:t>
            </w:r>
            <w:r w:rsidRPr="00A34D7F">
              <w:rPr>
                <w:lang w:eastAsia="en-AU"/>
              </w:rPr>
              <w:t>djudicator is subject to the following conditions</w:t>
            </w:r>
            <w:r>
              <w:rPr>
                <w:lang w:eastAsia="en-AU"/>
              </w:rPr>
              <w:t>:</w:t>
            </w:r>
          </w:p>
          <w:p w14:paraId="43C86994" w14:textId="77777777" w:rsidR="00C15AD8" w:rsidRPr="00A34D7F" w:rsidRDefault="00C15AD8" w:rsidP="00C15AD8">
            <w:pPr>
              <w:numPr>
                <w:ilvl w:val="0"/>
                <w:numId w:val="30"/>
              </w:numPr>
              <w:shd w:val="clear" w:color="auto" w:fill="FFFFFF"/>
              <w:rPr>
                <w:lang w:eastAsia="en-AU"/>
              </w:rPr>
            </w:pPr>
            <w:r w:rsidRPr="00A34D7F">
              <w:rPr>
                <w:lang w:eastAsia="en-AU"/>
              </w:rPr>
              <w:t xml:space="preserve">The </w:t>
            </w:r>
            <w:r>
              <w:rPr>
                <w:lang w:eastAsia="en-AU"/>
              </w:rPr>
              <w:t>A</w:t>
            </w:r>
            <w:r w:rsidRPr="00A34D7F">
              <w:rPr>
                <w:lang w:eastAsia="en-AU"/>
              </w:rPr>
              <w:t xml:space="preserve">djudicator must comply with chapters 3 </w:t>
            </w:r>
            <w:r>
              <w:rPr>
                <w:lang w:eastAsia="en-AU"/>
              </w:rPr>
              <w:t>and</w:t>
            </w:r>
            <w:r w:rsidRPr="00A34D7F">
              <w:rPr>
                <w:lang w:eastAsia="en-AU"/>
              </w:rPr>
              <w:t xml:space="preserve"> 5 of the BIF Act.</w:t>
            </w:r>
          </w:p>
          <w:p w14:paraId="7A872A0E" w14:textId="3FF1DDCA" w:rsidR="00C15AD8" w:rsidRPr="00A34D7F" w:rsidRDefault="00C15AD8" w:rsidP="00C15AD8">
            <w:pPr>
              <w:numPr>
                <w:ilvl w:val="0"/>
                <w:numId w:val="30"/>
              </w:numPr>
              <w:shd w:val="clear" w:color="auto" w:fill="FFFFFF"/>
              <w:rPr>
                <w:lang w:eastAsia="en-AU"/>
              </w:rPr>
            </w:pPr>
            <w:r w:rsidRPr="00A34D7F">
              <w:rPr>
                <w:lang w:eastAsia="en-AU"/>
              </w:rPr>
              <w:t xml:space="preserve">The </w:t>
            </w:r>
            <w:r>
              <w:rPr>
                <w:lang w:eastAsia="en-AU"/>
              </w:rPr>
              <w:t>A</w:t>
            </w:r>
            <w:r w:rsidRPr="00A34D7F">
              <w:rPr>
                <w:lang w:eastAsia="en-AU"/>
              </w:rPr>
              <w:t xml:space="preserve">djudicator must complete continuing professional development </w:t>
            </w:r>
            <w:r>
              <w:rPr>
                <w:lang w:eastAsia="en-AU"/>
              </w:rPr>
              <w:t xml:space="preserve">(CPD) </w:t>
            </w:r>
            <w:r w:rsidRPr="00A34D7F">
              <w:rPr>
                <w:lang w:eastAsia="en-AU"/>
              </w:rPr>
              <w:t>as prescribed</w:t>
            </w:r>
            <w:r>
              <w:rPr>
                <w:lang w:eastAsia="en-AU"/>
              </w:rPr>
              <w:t xml:space="preserve">                </w:t>
            </w:r>
            <w:r w:rsidRPr="00A34D7F">
              <w:rPr>
                <w:lang w:eastAsia="en-AU"/>
              </w:rPr>
              <w:t xml:space="preserve"> by the BIF Regulation and the Continuing Professional Development for Adjudicators Policy.</w:t>
            </w:r>
          </w:p>
          <w:p w14:paraId="2E654C61" w14:textId="77777777" w:rsidR="00C15AD8" w:rsidRPr="00A34D7F" w:rsidRDefault="00C15AD8" w:rsidP="00C15AD8">
            <w:pPr>
              <w:numPr>
                <w:ilvl w:val="0"/>
                <w:numId w:val="30"/>
              </w:numPr>
              <w:shd w:val="clear" w:color="auto" w:fill="FFFFFF"/>
              <w:rPr>
                <w:lang w:eastAsia="en-AU"/>
              </w:rPr>
            </w:pPr>
            <w:r w:rsidRPr="00A34D7F">
              <w:rPr>
                <w:lang w:eastAsia="en-AU"/>
              </w:rPr>
              <w:t xml:space="preserve">The adjudicator must comply with any reasonable conditions that the </w:t>
            </w:r>
            <w:r>
              <w:rPr>
                <w:lang w:eastAsia="en-AU"/>
              </w:rPr>
              <w:t>R</w:t>
            </w:r>
            <w:r w:rsidRPr="00A34D7F">
              <w:rPr>
                <w:lang w:eastAsia="en-AU"/>
              </w:rPr>
              <w:t xml:space="preserve">egistrar considers appropriate </w:t>
            </w:r>
            <w:r>
              <w:rPr>
                <w:lang w:eastAsia="en-AU"/>
              </w:rPr>
              <w:t xml:space="preserve">as </w:t>
            </w:r>
            <w:r w:rsidRPr="00A34D7F">
              <w:rPr>
                <w:lang w:eastAsia="en-AU"/>
              </w:rPr>
              <w:t xml:space="preserve">stated in the </w:t>
            </w:r>
            <w:r>
              <w:rPr>
                <w:lang w:eastAsia="en-AU"/>
              </w:rPr>
              <w:t>C</w:t>
            </w:r>
            <w:r w:rsidRPr="00A34D7F">
              <w:rPr>
                <w:lang w:eastAsia="en-AU"/>
              </w:rPr>
              <w:t xml:space="preserve">ertificate of </w:t>
            </w:r>
            <w:r>
              <w:rPr>
                <w:lang w:eastAsia="en-AU"/>
              </w:rPr>
              <w:t>R</w:t>
            </w:r>
            <w:r w:rsidRPr="00A34D7F">
              <w:rPr>
                <w:lang w:eastAsia="en-AU"/>
              </w:rPr>
              <w:t xml:space="preserve">egistration or in an </w:t>
            </w:r>
            <w:r>
              <w:rPr>
                <w:lang w:eastAsia="en-AU"/>
              </w:rPr>
              <w:t>I</w:t>
            </w:r>
            <w:r w:rsidRPr="00A34D7F">
              <w:rPr>
                <w:lang w:eastAsia="en-AU"/>
              </w:rPr>
              <w:t xml:space="preserve">nformation </w:t>
            </w:r>
            <w:r>
              <w:rPr>
                <w:lang w:eastAsia="en-AU"/>
              </w:rPr>
              <w:t>N</w:t>
            </w:r>
            <w:r w:rsidRPr="00A34D7F">
              <w:rPr>
                <w:lang w:eastAsia="en-AU"/>
              </w:rPr>
              <w:t>otice.</w:t>
            </w:r>
          </w:p>
          <w:p w14:paraId="7F2FF149" w14:textId="77777777" w:rsidR="00C15AD8" w:rsidRPr="00A34D7F" w:rsidRDefault="00C15AD8" w:rsidP="00C15AD8">
            <w:pPr>
              <w:numPr>
                <w:ilvl w:val="0"/>
                <w:numId w:val="30"/>
              </w:numPr>
              <w:shd w:val="clear" w:color="auto" w:fill="FFFFFF"/>
              <w:rPr>
                <w:lang w:eastAsia="en-AU"/>
              </w:rPr>
            </w:pPr>
            <w:r w:rsidRPr="00A34D7F">
              <w:rPr>
                <w:lang w:eastAsia="en-AU"/>
              </w:rPr>
              <w:t xml:space="preserve">The </w:t>
            </w:r>
            <w:r>
              <w:rPr>
                <w:lang w:eastAsia="en-AU"/>
              </w:rPr>
              <w:t>A</w:t>
            </w:r>
            <w:r w:rsidRPr="00A34D7F">
              <w:rPr>
                <w:lang w:eastAsia="en-AU"/>
              </w:rPr>
              <w:t>djudicator must comply with the Code of Conduct for Adjudicators.</w:t>
            </w:r>
          </w:p>
          <w:p w14:paraId="215784B8" w14:textId="2B933EC9" w:rsidR="005F199E" w:rsidRPr="00C15AD8" w:rsidRDefault="00C15AD8" w:rsidP="002215E0">
            <w:pPr>
              <w:numPr>
                <w:ilvl w:val="0"/>
                <w:numId w:val="30"/>
              </w:numPr>
              <w:shd w:val="clear" w:color="auto" w:fill="FFFFFF"/>
              <w:rPr>
                <w:lang w:eastAsia="en-AU"/>
              </w:rPr>
            </w:pPr>
            <w:r w:rsidRPr="00A34D7F">
              <w:rPr>
                <w:lang w:eastAsia="en-AU"/>
              </w:rPr>
              <w:lastRenderedPageBreak/>
              <w:t xml:space="preserve">Adjudicators must also complete </w:t>
            </w:r>
            <w:r>
              <w:rPr>
                <w:lang w:eastAsia="en-AU"/>
              </w:rPr>
              <w:t>t</w:t>
            </w:r>
            <w:r w:rsidRPr="00A34D7F">
              <w:rPr>
                <w:lang w:eastAsia="en-AU"/>
              </w:rPr>
              <w:t xml:space="preserve">ransitionary training for registered </w:t>
            </w:r>
            <w:r>
              <w:rPr>
                <w:lang w:eastAsia="en-AU"/>
              </w:rPr>
              <w:t>A</w:t>
            </w:r>
            <w:r w:rsidRPr="00A34D7F">
              <w:rPr>
                <w:lang w:eastAsia="en-AU"/>
              </w:rPr>
              <w:t xml:space="preserve">djudicators under the </w:t>
            </w:r>
            <w:r>
              <w:rPr>
                <w:lang w:eastAsia="en-AU"/>
              </w:rPr>
              <w:t xml:space="preserve">                                         </w:t>
            </w:r>
            <w:r w:rsidRPr="00A34D7F">
              <w:rPr>
                <w:lang w:eastAsia="en-AU"/>
              </w:rPr>
              <w:t xml:space="preserve">BIF Regulation to facilitate the transition between </w:t>
            </w:r>
            <w:r w:rsidR="009A33B0" w:rsidRPr="004F5640">
              <w:rPr>
                <w:b/>
                <w:bCs/>
                <w:i/>
                <w:iCs/>
                <w:noProof/>
              </w:rPr>
              <w:t>Building and Construction Industry Payments</w:t>
            </w:r>
            <w:r w:rsidR="009A33B0" w:rsidRPr="004F5640">
              <w:rPr>
                <w:bCs/>
                <w:i/>
                <w:iCs/>
                <w:noProof/>
              </w:rPr>
              <w:t xml:space="preserve"> Act 2004</w:t>
            </w:r>
            <w:r w:rsidRPr="00A34D7F">
              <w:rPr>
                <w:lang w:eastAsia="en-AU"/>
              </w:rPr>
              <w:t xml:space="preserve"> and BIF requirements.</w:t>
            </w:r>
          </w:p>
          <w:p w14:paraId="358B4ABB" w14:textId="77777777" w:rsidR="005F199E" w:rsidRPr="00634D63" w:rsidRDefault="005F199E" w:rsidP="002215E0">
            <w:pPr>
              <w:pStyle w:val="Heading2"/>
            </w:pPr>
            <w:r w:rsidRPr="00634D63">
              <w:t>Why the records are retained for this retention period:</w:t>
            </w:r>
          </w:p>
          <w:p w14:paraId="12DC9665" w14:textId="5DB1BEA9" w:rsidR="00C15AD8" w:rsidRDefault="00C15AD8" w:rsidP="009A33B0">
            <w:pPr>
              <w:pStyle w:val="Tablesub-heading"/>
              <w:rPr>
                <w:b w:val="0"/>
                <w:szCs w:val="22"/>
              </w:rPr>
            </w:pPr>
            <w:r>
              <w:rPr>
                <w:b w:val="0"/>
                <w:noProof/>
                <w:szCs w:val="22"/>
              </w:rPr>
              <w:t xml:space="preserve">Retention based on s.164 of the </w:t>
            </w:r>
            <w:r w:rsidRPr="00610A5D">
              <w:rPr>
                <w:b w:val="0"/>
                <w:i/>
                <w:iCs/>
                <w:noProof/>
                <w:szCs w:val="22"/>
              </w:rPr>
              <w:t>Building Industry Fairness (Security of Payment) Act</w:t>
            </w:r>
            <w:r w:rsidR="00E06163">
              <w:rPr>
                <w:b w:val="0"/>
                <w:i/>
                <w:iCs/>
                <w:noProof/>
                <w:szCs w:val="22"/>
              </w:rPr>
              <w:t xml:space="preserve"> </w:t>
            </w:r>
            <w:r w:rsidRPr="009A33B0">
              <w:rPr>
                <w:b w:val="0"/>
                <w:i/>
                <w:iCs/>
                <w:noProof/>
                <w:szCs w:val="22"/>
              </w:rPr>
              <w:t>2017</w:t>
            </w:r>
            <w:r>
              <w:rPr>
                <w:b w:val="0"/>
                <w:noProof/>
                <w:szCs w:val="22"/>
              </w:rPr>
              <w:t>.                    Registration of Adjudicators is for a 3 year period, then subject to renewal.</w:t>
            </w:r>
          </w:p>
          <w:p w14:paraId="3BBEB124" w14:textId="374AFFE5" w:rsidR="005F199E" w:rsidRPr="004A453A" w:rsidRDefault="00C15AD8" w:rsidP="00C15AD8">
            <w:pPr>
              <w:pStyle w:val="Tablesub-heading"/>
              <w:jc w:val="both"/>
              <w:rPr>
                <w:b w:val="0"/>
                <w:szCs w:val="22"/>
              </w:rPr>
            </w:pPr>
            <w:r>
              <w:rPr>
                <w:b w:val="0"/>
                <w:szCs w:val="22"/>
              </w:rPr>
              <w:t>Adjudicators are required to complete annual training to maintain their registration status. If a registration is cancelled and an Adjudicator wishes to be reinstated, they must prove that this training has been maintained within the period of expiry. If it has been longer than three (3) years since the registration has been voided, the applicant is required to complete the required adjudication course again before being re-registered.</w:t>
            </w:r>
            <w:r w:rsidR="005F199E">
              <w:rPr>
                <w:b w:val="0"/>
                <w:szCs w:val="22"/>
              </w:rPr>
              <w:t xml:space="preserve"> </w:t>
            </w:r>
          </w:p>
          <w:p w14:paraId="1D9E7750" w14:textId="77777777" w:rsidR="005F199E" w:rsidRPr="00634D63" w:rsidRDefault="005F199E" w:rsidP="002215E0">
            <w:pPr>
              <w:pStyle w:val="Heading2"/>
            </w:pPr>
            <w:r w:rsidRPr="00634D63">
              <w:t>Applicable legislation/standards:</w:t>
            </w:r>
          </w:p>
          <w:p w14:paraId="00D54754" w14:textId="77777777" w:rsidR="00C15AD8" w:rsidRPr="00C66CC8" w:rsidRDefault="00C15AD8" w:rsidP="00C15AD8">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p>
          <w:p w14:paraId="14D1F5FA" w14:textId="7EF5AFD0" w:rsidR="005F199E" w:rsidRDefault="005F199E" w:rsidP="002215E0">
            <w:pPr>
              <w:pStyle w:val="Heading2"/>
            </w:pPr>
            <w:r w:rsidRPr="00634D63">
              <w:t xml:space="preserve">Comparison with other schedules' retention period: </w:t>
            </w:r>
          </w:p>
          <w:p w14:paraId="3266B600" w14:textId="272CF443" w:rsidR="008E2B63" w:rsidRPr="008E2B63" w:rsidRDefault="008E2B63" w:rsidP="008E2B63">
            <w:pPr>
              <w:rPr>
                <w:lang w:eastAsia="en-AU"/>
              </w:rPr>
            </w:pPr>
            <w:r w:rsidRPr="003A01B4">
              <w:rPr>
                <w:i/>
                <w:iCs/>
                <w:noProof/>
                <w:szCs w:val="22"/>
              </w:rPr>
              <w:t>PROS 20/01, Victorian Building Authority (VBA),</w:t>
            </w:r>
            <w:r w:rsidRPr="008E2B63">
              <w:rPr>
                <w:noProof/>
                <w:szCs w:val="22"/>
              </w:rPr>
              <w:t xml:space="preserve">3.3 – Administrative Records of Regulation Management – Destroy 10 years after action completed </w:t>
            </w:r>
          </w:p>
          <w:p w14:paraId="3A796A3D" w14:textId="77777777" w:rsidR="008E2B63" w:rsidRPr="00634D63" w:rsidRDefault="008E2B63" w:rsidP="008E2B63">
            <w:pPr>
              <w:pStyle w:val="Heading2"/>
            </w:pPr>
            <w:r w:rsidRPr="00634D63">
              <w:t>Other comments/factors for consideration:</w:t>
            </w:r>
          </w:p>
          <w:p w14:paraId="55D63064" w14:textId="6B1BE489" w:rsidR="005F199E" w:rsidRPr="00C15AD8" w:rsidRDefault="00C15AD8" w:rsidP="00C15AD8">
            <w:pPr>
              <w:pStyle w:val="Heading2"/>
              <w:rPr>
                <w:rFonts w:ascii="Arial" w:hAnsi="Arial"/>
                <w:b w:val="0"/>
                <w:i/>
                <w:iCs/>
              </w:rPr>
            </w:pPr>
            <w:r w:rsidRPr="00036721">
              <w:rPr>
                <w:rFonts w:ascii="Arial" w:hAnsi="Arial" w:cs="Arial"/>
                <w:b w:val="0"/>
                <w:noProof/>
                <w:szCs w:val="22"/>
              </w:rPr>
              <w:t>Retention unchanged as per QDAN 673, v.1</w:t>
            </w:r>
            <w:r>
              <w:rPr>
                <w:rFonts w:ascii="Arial" w:hAnsi="Arial" w:cs="Arial"/>
                <w:b w:val="0"/>
                <w:noProof/>
                <w:szCs w:val="22"/>
              </w:rPr>
              <w:t xml:space="preserve"> for the </w:t>
            </w:r>
            <w:r w:rsidRPr="00F44218">
              <w:rPr>
                <w:rFonts w:ascii="Arial" w:hAnsi="Arial"/>
                <w:b w:val="0"/>
                <w:i/>
                <w:iCs/>
              </w:rPr>
              <w:t>Building and Construction Industry Payments Agency retention and disposal schedule</w:t>
            </w:r>
            <w:r>
              <w:rPr>
                <w:rFonts w:ascii="Arial" w:hAnsi="Arial"/>
                <w:b w:val="0"/>
                <w:i/>
                <w:iCs/>
              </w:rPr>
              <w:t>.</w:t>
            </w:r>
          </w:p>
          <w:p w14:paraId="7518C1DF" w14:textId="77777777" w:rsidR="005F199E" w:rsidRPr="00634D63" w:rsidRDefault="005F199E" w:rsidP="002215E0">
            <w:pPr>
              <w:pStyle w:val="Heading2"/>
            </w:pPr>
            <w:r w:rsidRPr="00634D63">
              <w:t>Previous schedule references:</w:t>
            </w:r>
          </w:p>
          <w:p w14:paraId="51D270D6" w14:textId="2A3B3FE0" w:rsidR="005F199E" w:rsidRPr="004A453A" w:rsidRDefault="00C15AD8" w:rsidP="002215E0">
            <w:pPr>
              <w:pStyle w:val="Tablesub-heading"/>
              <w:rPr>
                <w:b w:val="0"/>
                <w:szCs w:val="22"/>
              </w:rPr>
            </w:pPr>
            <w:r w:rsidRPr="006E504E">
              <w:rPr>
                <w:b w:val="0"/>
                <w:i/>
                <w:iCs/>
              </w:rPr>
              <w:t xml:space="preserve">QDAN </w:t>
            </w:r>
            <w:r>
              <w:rPr>
                <w:b w:val="0"/>
                <w:i/>
                <w:iCs/>
              </w:rPr>
              <w:t xml:space="preserve">673 v.1 </w:t>
            </w:r>
            <w:r w:rsidRPr="006E504E">
              <w:rPr>
                <w:b w:val="0"/>
                <w:i/>
                <w:iCs/>
              </w:rPr>
              <w:t xml:space="preserve">Building and Construction </w:t>
            </w:r>
            <w:r>
              <w:rPr>
                <w:b w:val="0"/>
                <w:i/>
                <w:iCs/>
              </w:rPr>
              <w:t>Industry Payments Agency</w:t>
            </w:r>
            <w:r w:rsidRPr="006E504E">
              <w:rPr>
                <w:b w:val="0"/>
                <w:i/>
                <w:iCs/>
              </w:rPr>
              <w:t xml:space="preserve"> retention and disposal schedule</w:t>
            </w:r>
            <w:r>
              <w:rPr>
                <w:b w:val="0"/>
              </w:rPr>
              <w:t xml:space="preserve"> 1.1.2 - Registration files – retain for 4 years after last action.</w:t>
            </w:r>
          </w:p>
        </w:tc>
      </w:tr>
      <w:tr w:rsidR="005F199E" w:rsidRPr="004A453A" w14:paraId="1AECE4AF" w14:textId="77777777" w:rsidTr="00384B0E">
        <w:tc>
          <w:tcPr>
            <w:tcW w:w="567" w:type="pct"/>
            <w:tcBorders>
              <w:top w:val="single" w:sz="6" w:space="0" w:color="C0C0C0"/>
              <w:bottom w:val="single" w:sz="6" w:space="0" w:color="C0C0C0"/>
            </w:tcBorders>
            <w:shd w:val="clear" w:color="auto" w:fill="auto"/>
          </w:tcPr>
          <w:p w14:paraId="50ECED0A" w14:textId="03F49AC7" w:rsidR="005F199E" w:rsidRPr="004A453A" w:rsidRDefault="00BF7BA7" w:rsidP="002215E0">
            <w:pPr>
              <w:pStyle w:val="Tablesub-heading"/>
              <w:rPr>
                <w:b w:val="0"/>
                <w:szCs w:val="22"/>
              </w:rPr>
            </w:pPr>
            <w:bookmarkStart w:id="22" w:name="_Hlk145932226"/>
            <w:r>
              <w:rPr>
                <w:b w:val="0"/>
                <w:szCs w:val="22"/>
              </w:rPr>
              <w:t>2785</w:t>
            </w:r>
          </w:p>
        </w:tc>
        <w:tc>
          <w:tcPr>
            <w:tcW w:w="914" w:type="pct"/>
            <w:tcBorders>
              <w:top w:val="single" w:sz="6" w:space="0" w:color="C0C0C0"/>
              <w:bottom w:val="single" w:sz="6" w:space="0" w:color="C0C0C0"/>
            </w:tcBorders>
            <w:shd w:val="clear" w:color="auto" w:fill="auto"/>
          </w:tcPr>
          <w:p w14:paraId="62E9FE2A" w14:textId="77777777" w:rsidR="00EA680A" w:rsidRPr="00634D63" w:rsidRDefault="00EA680A" w:rsidP="00EA680A">
            <w:pPr>
              <w:pStyle w:val="Heading3"/>
            </w:pPr>
            <w:r>
              <w:rPr>
                <w:noProof/>
              </w:rPr>
              <w:t>Adjudicator Register</w:t>
            </w:r>
          </w:p>
          <w:p w14:paraId="29F96DE6" w14:textId="22971328" w:rsidR="00EA680A" w:rsidRDefault="00EA680A" w:rsidP="00EA680A">
            <w:pPr>
              <w:pStyle w:val="Tablesub-heading"/>
              <w:rPr>
                <w:b w:val="0"/>
                <w:szCs w:val="22"/>
              </w:rPr>
            </w:pPr>
            <w:r>
              <w:rPr>
                <w:b w:val="0"/>
                <w:noProof/>
                <w:szCs w:val="22"/>
              </w:rPr>
              <w:t xml:space="preserve">Entries in the register of adjudicators maintained in accordance with s.154(2)(b) of the </w:t>
            </w:r>
            <w:r w:rsidRPr="009A33B0">
              <w:rPr>
                <w:b w:val="0"/>
                <w:i/>
                <w:iCs/>
                <w:noProof/>
                <w:szCs w:val="22"/>
              </w:rPr>
              <w:t xml:space="preserve">Building Industry </w:t>
            </w:r>
            <w:r w:rsidRPr="009A33B0">
              <w:rPr>
                <w:b w:val="0"/>
                <w:i/>
                <w:iCs/>
                <w:noProof/>
                <w:szCs w:val="22"/>
              </w:rPr>
              <w:lastRenderedPageBreak/>
              <w:t>Fairness (Security of Payment) Act 2017</w:t>
            </w:r>
            <w:r>
              <w:rPr>
                <w:b w:val="0"/>
                <w:noProof/>
                <w:szCs w:val="22"/>
              </w:rPr>
              <w:t>.</w:t>
            </w:r>
          </w:p>
          <w:p w14:paraId="0FADC07C" w14:textId="77777777" w:rsidR="005F199E" w:rsidRPr="00634D63" w:rsidRDefault="005F199E" w:rsidP="002215E0">
            <w:pPr>
              <w:pStyle w:val="Heading2"/>
            </w:pPr>
            <w:r w:rsidRPr="00634D63">
              <w:t xml:space="preserve">Disposal action – </w:t>
            </w:r>
          </w:p>
          <w:p w14:paraId="17BE1856" w14:textId="45C2F2E1" w:rsidR="005F199E" w:rsidRPr="004A453A" w:rsidRDefault="00EA680A" w:rsidP="002215E0">
            <w:pPr>
              <w:pStyle w:val="Tablesub-heading"/>
              <w:rPr>
                <w:b w:val="0"/>
              </w:rPr>
            </w:pPr>
            <w:r>
              <w:rPr>
                <w:b w:val="0"/>
                <w:noProof/>
              </w:rPr>
              <w:t>Retain permanently in agency.</w:t>
            </w:r>
          </w:p>
        </w:tc>
        <w:tc>
          <w:tcPr>
            <w:tcW w:w="3519" w:type="pct"/>
            <w:tcBorders>
              <w:top w:val="single" w:sz="6" w:space="0" w:color="C0C0C0"/>
              <w:bottom w:val="single" w:sz="6" w:space="0" w:color="C0C0C0"/>
            </w:tcBorders>
            <w:shd w:val="clear" w:color="auto" w:fill="auto"/>
          </w:tcPr>
          <w:p w14:paraId="72B85310" w14:textId="054137C1" w:rsidR="005F199E" w:rsidRPr="004A453A" w:rsidRDefault="005F199E" w:rsidP="002215E0">
            <w:pPr>
              <w:pStyle w:val="Tablesub-heading"/>
              <w:rPr>
                <w:b w:val="0"/>
                <w:szCs w:val="22"/>
              </w:rPr>
            </w:pPr>
            <w:r>
              <w:lastRenderedPageBreak/>
              <w:t xml:space="preserve">Date authorised: </w:t>
            </w:r>
            <w:r w:rsidR="00067BF0">
              <w:rPr>
                <w:b w:val="0"/>
              </w:rPr>
              <w:t>15 December 2023</w:t>
            </w:r>
          </w:p>
          <w:p w14:paraId="24577304" w14:textId="77777777" w:rsidR="005F199E" w:rsidRPr="00634D63" w:rsidRDefault="005F199E" w:rsidP="002215E0">
            <w:pPr>
              <w:pStyle w:val="Heading2"/>
            </w:pPr>
            <w:r w:rsidRPr="00634D63">
              <w:t>Why are these records created:</w:t>
            </w:r>
          </w:p>
          <w:p w14:paraId="66610288" w14:textId="0807C839" w:rsidR="00EA680A" w:rsidRPr="004A453A" w:rsidRDefault="00EA680A" w:rsidP="00EA680A">
            <w:pPr>
              <w:pStyle w:val="Tablesub-heading"/>
              <w:rPr>
                <w:b w:val="0"/>
                <w:szCs w:val="22"/>
              </w:rPr>
            </w:pPr>
            <w:r>
              <w:rPr>
                <w:b w:val="0"/>
                <w:noProof/>
                <w:szCs w:val="22"/>
              </w:rPr>
              <w:t xml:space="preserve">Register created in accordance to s.154(2)(b) of the </w:t>
            </w:r>
            <w:r w:rsidRPr="00F44218">
              <w:rPr>
                <w:b w:val="0"/>
                <w:i/>
                <w:iCs/>
                <w:noProof/>
                <w:szCs w:val="22"/>
              </w:rPr>
              <w:t>Building Industry Fairness (Security of Payment) Act</w:t>
            </w:r>
            <w:r>
              <w:rPr>
                <w:b w:val="0"/>
                <w:noProof/>
                <w:szCs w:val="22"/>
              </w:rPr>
              <w:t xml:space="preserve"> </w:t>
            </w:r>
            <w:r w:rsidRPr="009A33B0">
              <w:rPr>
                <w:b w:val="0"/>
                <w:i/>
                <w:iCs/>
                <w:noProof/>
                <w:szCs w:val="22"/>
              </w:rPr>
              <w:t>2017</w:t>
            </w:r>
            <w:r>
              <w:rPr>
                <w:b w:val="0"/>
                <w:noProof/>
                <w:szCs w:val="22"/>
              </w:rPr>
              <w:t>.</w:t>
            </w:r>
          </w:p>
          <w:p w14:paraId="5238B0F4" w14:textId="77777777" w:rsidR="005F199E" w:rsidRPr="00634D63" w:rsidRDefault="005F199E" w:rsidP="002215E0">
            <w:pPr>
              <w:pStyle w:val="Heading2"/>
            </w:pPr>
            <w:r w:rsidRPr="00634D63">
              <w:t>Why the records are retained for this retention period:</w:t>
            </w:r>
          </w:p>
          <w:p w14:paraId="63E96651" w14:textId="5BA1E2E1" w:rsidR="005F199E" w:rsidRPr="004A453A" w:rsidRDefault="00EA680A" w:rsidP="002215E0">
            <w:pPr>
              <w:pStyle w:val="Tablesub-heading"/>
              <w:rPr>
                <w:b w:val="0"/>
                <w:szCs w:val="22"/>
              </w:rPr>
            </w:pPr>
            <w:r>
              <w:rPr>
                <w:b w:val="0"/>
                <w:noProof/>
                <w:szCs w:val="22"/>
              </w:rPr>
              <w:lastRenderedPageBreak/>
              <w:t>The Adjudicator Register will essentially be retained indefinitely as it exists in digital form only (web-based). It’s something that will continuously change over time as information is added, amended or notated.</w:t>
            </w:r>
            <w:r>
              <w:rPr>
                <w:b w:val="0"/>
                <w:szCs w:val="22"/>
              </w:rPr>
              <w:t xml:space="preserve"> </w:t>
            </w:r>
            <w:r w:rsidR="005F199E">
              <w:rPr>
                <w:b w:val="0"/>
                <w:szCs w:val="22"/>
              </w:rPr>
              <w:t xml:space="preserve"> </w:t>
            </w:r>
          </w:p>
          <w:p w14:paraId="0C071DED" w14:textId="77777777" w:rsidR="005F199E" w:rsidRPr="00634D63" w:rsidRDefault="005F199E" w:rsidP="002215E0">
            <w:pPr>
              <w:pStyle w:val="Heading2"/>
            </w:pPr>
            <w:r w:rsidRPr="00634D63">
              <w:t>Applicable legislation/standards:</w:t>
            </w:r>
          </w:p>
          <w:p w14:paraId="7D4527DC" w14:textId="77777777" w:rsidR="00EA680A" w:rsidRPr="00C66CC8" w:rsidRDefault="00EA680A" w:rsidP="00EA680A">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p>
          <w:p w14:paraId="5D7B452D" w14:textId="77777777" w:rsidR="005F199E" w:rsidRPr="00634D63" w:rsidRDefault="005F199E" w:rsidP="002215E0">
            <w:pPr>
              <w:pStyle w:val="Heading2"/>
            </w:pPr>
            <w:r w:rsidRPr="00634D63">
              <w:t xml:space="preserve">Comparison with other schedules' retention period: </w:t>
            </w:r>
          </w:p>
          <w:p w14:paraId="5D19B1CD" w14:textId="52EF20A5" w:rsidR="005F199E" w:rsidRPr="004A453A" w:rsidRDefault="00853A89" w:rsidP="002215E0">
            <w:pPr>
              <w:pStyle w:val="Tablesub-heading"/>
              <w:rPr>
                <w:b w:val="0"/>
                <w:szCs w:val="22"/>
              </w:rPr>
            </w:pPr>
            <w:r w:rsidRPr="000B4C3F">
              <w:rPr>
                <w:b w:val="0"/>
                <w:i/>
                <w:iCs/>
                <w:szCs w:val="22"/>
              </w:rPr>
              <w:t>Queensland Law Society Retention and Disposal Schedule</w:t>
            </w:r>
            <w:r>
              <w:rPr>
                <w:b w:val="0"/>
                <w:szCs w:val="22"/>
              </w:rPr>
              <w:t xml:space="preserve">, 2739 Roll of Members – Permanent. Transfer to QSA after business action completed. </w:t>
            </w:r>
          </w:p>
          <w:p w14:paraId="3DC6F93D" w14:textId="77777777" w:rsidR="005F199E" w:rsidRPr="00634D63" w:rsidRDefault="005F199E" w:rsidP="002215E0">
            <w:pPr>
              <w:pStyle w:val="Heading2"/>
            </w:pPr>
            <w:r w:rsidRPr="00634D63">
              <w:t>Other comments/factors for consideration:</w:t>
            </w:r>
          </w:p>
          <w:p w14:paraId="659245BF" w14:textId="77777777" w:rsidR="00EA680A" w:rsidRPr="00F44218" w:rsidRDefault="00EA680A" w:rsidP="00EA680A">
            <w:pPr>
              <w:pStyle w:val="Heading2"/>
              <w:rPr>
                <w:rFonts w:ascii="Arial" w:hAnsi="Arial"/>
                <w:b w:val="0"/>
                <w:i/>
                <w:iCs/>
              </w:rPr>
            </w:pPr>
            <w:r w:rsidRPr="00036721">
              <w:rPr>
                <w:rFonts w:ascii="Arial" w:hAnsi="Arial" w:cs="Arial"/>
                <w:b w:val="0"/>
                <w:noProof/>
                <w:szCs w:val="22"/>
              </w:rPr>
              <w:t xml:space="preserve">Retention unchanged as per </w:t>
            </w:r>
            <w:r w:rsidRPr="006E504E">
              <w:rPr>
                <w:rFonts w:ascii="Arial" w:hAnsi="Arial"/>
                <w:b w:val="0"/>
                <w:i/>
                <w:iCs/>
              </w:rPr>
              <w:t xml:space="preserve">QDAN </w:t>
            </w:r>
            <w:r w:rsidRPr="00F44218">
              <w:rPr>
                <w:rFonts w:ascii="Arial" w:hAnsi="Arial"/>
                <w:b w:val="0"/>
                <w:i/>
                <w:iCs/>
              </w:rPr>
              <w:t>673 v.1 Building and Construction Industry Payments Agency retention and disposal schedule</w:t>
            </w:r>
            <w:r>
              <w:rPr>
                <w:rFonts w:ascii="Arial" w:hAnsi="Arial"/>
                <w:b w:val="0"/>
                <w:i/>
                <w:iCs/>
              </w:rPr>
              <w:t>.</w:t>
            </w:r>
          </w:p>
          <w:p w14:paraId="61B310DB" w14:textId="77777777" w:rsidR="005F199E" w:rsidRPr="00634D63" w:rsidRDefault="005F199E" w:rsidP="002215E0">
            <w:pPr>
              <w:pStyle w:val="Heading2"/>
            </w:pPr>
            <w:r w:rsidRPr="00634D63">
              <w:t>Previous schedule references:</w:t>
            </w:r>
          </w:p>
          <w:p w14:paraId="2D9A7E52" w14:textId="20AA0A07" w:rsidR="005F199E" w:rsidRPr="004A453A" w:rsidRDefault="00EA680A" w:rsidP="002215E0">
            <w:pPr>
              <w:pStyle w:val="Tablesub-heading"/>
              <w:rPr>
                <w:b w:val="0"/>
                <w:szCs w:val="22"/>
              </w:rPr>
            </w:pPr>
            <w:r w:rsidRPr="006E504E">
              <w:rPr>
                <w:b w:val="0"/>
                <w:i/>
                <w:iCs/>
              </w:rPr>
              <w:t xml:space="preserve">QDAN </w:t>
            </w:r>
            <w:r w:rsidRPr="00F44218">
              <w:rPr>
                <w:b w:val="0"/>
                <w:i/>
                <w:iCs/>
              </w:rPr>
              <w:t>673 v.1 Building and Construction Industry Payments Agency retention and disposal schedule</w:t>
            </w:r>
            <w:r>
              <w:rPr>
                <w:b w:val="0"/>
                <w:i/>
                <w:iCs/>
              </w:rPr>
              <w:t xml:space="preserve"> </w:t>
            </w:r>
            <w:r w:rsidRPr="001D4773">
              <w:rPr>
                <w:b w:val="0"/>
              </w:rPr>
              <w:t>1.1.1 Adjudication register – Retain permanently by the Building and Construction Industry Payments Agency</w:t>
            </w:r>
            <w:r>
              <w:rPr>
                <w:b w:val="0"/>
              </w:rPr>
              <w:t>.</w:t>
            </w:r>
          </w:p>
        </w:tc>
      </w:tr>
      <w:bookmarkEnd w:id="22"/>
      <w:tr w:rsidR="005F199E" w:rsidRPr="004A453A" w14:paraId="2C6EDCEA" w14:textId="77777777" w:rsidTr="00384B0E">
        <w:tc>
          <w:tcPr>
            <w:tcW w:w="567" w:type="pct"/>
            <w:tcBorders>
              <w:top w:val="single" w:sz="6" w:space="0" w:color="C0C0C0"/>
              <w:bottom w:val="single" w:sz="6" w:space="0" w:color="C0C0C0"/>
            </w:tcBorders>
            <w:shd w:val="clear" w:color="auto" w:fill="auto"/>
          </w:tcPr>
          <w:p w14:paraId="0A241D68" w14:textId="6E5BAC94" w:rsidR="005F199E" w:rsidRPr="004A453A" w:rsidRDefault="005C7371" w:rsidP="002215E0">
            <w:pPr>
              <w:pStyle w:val="Tablesub-heading"/>
              <w:rPr>
                <w:b w:val="0"/>
                <w:szCs w:val="22"/>
              </w:rPr>
            </w:pPr>
            <w:r>
              <w:rPr>
                <w:b w:val="0"/>
                <w:szCs w:val="22"/>
              </w:rPr>
              <w:t>2786</w:t>
            </w:r>
          </w:p>
        </w:tc>
        <w:tc>
          <w:tcPr>
            <w:tcW w:w="914" w:type="pct"/>
            <w:tcBorders>
              <w:top w:val="single" w:sz="6" w:space="0" w:color="C0C0C0"/>
              <w:bottom w:val="single" w:sz="6" w:space="0" w:color="C0C0C0"/>
            </w:tcBorders>
            <w:shd w:val="clear" w:color="auto" w:fill="auto"/>
          </w:tcPr>
          <w:p w14:paraId="2F2B6875" w14:textId="77777777" w:rsidR="00453E95" w:rsidRPr="00917033" w:rsidRDefault="00453E95" w:rsidP="00453E95">
            <w:pPr>
              <w:pStyle w:val="Tablesub-heading"/>
              <w:rPr>
                <w:i/>
                <w:szCs w:val="22"/>
              </w:rPr>
            </w:pPr>
            <w:r>
              <w:rPr>
                <w:i/>
                <w:noProof/>
                <w:szCs w:val="22"/>
              </w:rPr>
              <w:t>Adjudicator Decisions Register</w:t>
            </w:r>
          </w:p>
          <w:p w14:paraId="715A2064" w14:textId="250C2BC7" w:rsidR="00453E95" w:rsidRPr="000D60AD" w:rsidRDefault="00453E95" w:rsidP="00453E95">
            <w:pPr>
              <w:pStyle w:val="Tablesub-heading"/>
              <w:rPr>
                <w:b w:val="0"/>
                <w:noProof/>
                <w:szCs w:val="22"/>
              </w:rPr>
            </w:pPr>
            <w:r>
              <w:rPr>
                <w:b w:val="0"/>
                <w:noProof/>
                <w:szCs w:val="22"/>
              </w:rPr>
              <w:t xml:space="preserve">Register of adjudicator’s decisions made in accordance with s.154 (2)(e)of the </w:t>
            </w:r>
            <w:r w:rsidRPr="000D60AD">
              <w:rPr>
                <w:b w:val="0"/>
                <w:i/>
                <w:iCs/>
                <w:noProof/>
                <w:szCs w:val="22"/>
              </w:rPr>
              <w:t>Building Industry Fairness (Security of Payment) Act</w:t>
            </w:r>
            <w:r>
              <w:rPr>
                <w:b w:val="0"/>
                <w:noProof/>
                <w:szCs w:val="22"/>
              </w:rPr>
              <w:t xml:space="preserve"> </w:t>
            </w:r>
            <w:r w:rsidRPr="009A33B0">
              <w:rPr>
                <w:b w:val="0"/>
                <w:i/>
                <w:iCs/>
                <w:noProof/>
                <w:szCs w:val="22"/>
              </w:rPr>
              <w:t>2017</w:t>
            </w:r>
            <w:r>
              <w:rPr>
                <w:b w:val="0"/>
                <w:noProof/>
                <w:szCs w:val="22"/>
              </w:rPr>
              <w:t>.</w:t>
            </w:r>
          </w:p>
          <w:p w14:paraId="085C79C0" w14:textId="77777777" w:rsidR="005F199E" w:rsidRPr="00634D63" w:rsidRDefault="005F199E" w:rsidP="002215E0">
            <w:pPr>
              <w:pStyle w:val="Heading2"/>
            </w:pPr>
            <w:r w:rsidRPr="00634D63">
              <w:t xml:space="preserve">Disposal action – </w:t>
            </w:r>
          </w:p>
          <w:p w14:paraId="5EB77651" w14:textId="5F1B746F" w:rsidR="005F199E" w:rsidRPr="004A453A" w:rsidRDefault="00453E95" w:rsidP="002215E0">
            <w:pPr>
              <w:pStyle w:val="Tablesub-heading"/>
              <w:rPr>
                <w:b w:val="0"/>
              </w:rPr>
            </w:pPr>
            <w:r>
              <w:rPr>
                <w:b w:val="0"/>
                <w:noProof/>
              </w:rPr>
              <w:t>Retain permanently in agency</w:t>
            </w:r>
          </w:p>
        </w:tc>
        <w:tc>
          <w:tcPr>
            <w:tcW w:w="3519" w:type="pct"/>
            <w:tcBorders>
              <w:top w:val="single" w:sz="6" w:space="0" w:color="C0C0C0"/>
              <w:bottom w:val="single" w:sz="6" w:space="0" w:color="C0C0C0"/>
            </w:tcBorders>
            <w:shd w:val="clear" w:color="auto" w:fill="auto"/>
          </w:tcPr>
          <w:p w14:paraId="3F42EAC6" w14:textId="415C49AE" w:rsidR="005F199E" w:rsidRPr="004A453A" w:rsidRDefault="005F199E" w:rsidP="002215E0">
            <w:pPr>
              <w:pStyle w:val="Tablesub-heading"/>
              <w:rPr>
                <w:b w:val="0"/>
                <w:szCs w:val="22"/>
              </w:rPr>
            </w:pPr>
            <w:r>
              <w:t xml:space="preserve">Date authorised: </w:t>
            </w:r>
            <w:r w:rsidR="00067BF0">
              <w:rPr>
                <w:b w:val="0"/>
              </w:rPr>
              <w:t>15 December 2023</w:t>
            </w:r>
          </w:p>
          <w:p w14:paraId="0535969C" w14:textId="77777777" w:rsidR="005F199E" w:rsidRPr="00634D63" w:rsidRDefault="005F199E" w:rsidP="002215E0">
            <w:pPr>
              <w:pStyle w:val="Heading2"/>
            </w:pPr>
            <w:r w:rsidRPr="00634D63">
              <w:t>Why are these records created:</w:t>
            </w:r>
          </w:p>
          <w:p w14:paraId="12D6490E" w14:textId="0B880C6B" w:rsidR="00453E95" w:rsidRPr="004A453A" w:rsidRDefault="00453E95" w:rsidP="00453E95">
            <w:pPr>
              <w:pStyle w:val="Tablesub-heading"/>
              <w:rPr>
                <w:b w:val="0"/>
                <w:szCs w:val="22"/>
              </w:rPr>
            </w:pPr>
            <w:r>
              <w:rPr>
                <w:b w:val="0"/>
                <w:noProof/>
                <w:szCs w:val="22"/>
              </w:rPr>
              <w:t xml:space="preserve">Register created in accordance to s.154(2)(e) of the </w:t>
            </w:r>
            <w:r w:rsidRPr="001D4773">
              <w:rPr>
                <w:b w:val="0"/>
                <w:i/>
                <w:iCs/>
                <w:noProof/>
                <w:szCs w:val="22"/>
              </w:rPr>
              <w:t>Building Industry Fairness (Security of Payment) Act</w:t>
            </w:r>
            <w:r>
              <w:rPr>
                <w:b w:val="0"/>
                <w:noProof/>
                <w:szCs w:val="22"/>
              </w:rPr>
              <w:t xml:space="preserve"> </w:t>
            </w:r>
            <w:r w:rsidRPr="009A33B0">
              <w:rPr>
                <w:b w:val="0"/>
                <w:i/>
                <w:iCs/>
                <w:noProof/>
                <w:szCs w:val="22"/>
              </w:rPr>
              <w:t>2017</w:t>
            </w:r>
            <w:r>
              <w:rPr>
                <w:b w:val="0"/>
                <w:noProof/>
                <w:szCs w:val="22"/>
              </w:rPr>
              <w:t>.</w:t>
            </w:r>
          </w:p>
          <w:p w14:paraId="61897DE6" w14:textId="77777777" w:rsidR="005F199E" w:rsidRPr="00634D63" w:rsidRDefault="005F199E" w:rsidP="002215E0">
            <w:pPr>
              <w:pStyle w:val="Heading2"/>
            </w:pPr>
            <w:r w:rsidRPr="00634D63">
              <w:t>Why the records are retained for this retention period:</w:t>
            </w:r>
          </w:p>
          <w:p w14:paraId="72AFD2AB" w14:textId="7D279E85" w:rsidR="005F199E" w:rsidRPr="004A453A" w:rsidRDefault="00453E95" w:rsidP="002215E0">
            <w:pPr>
              <w:pStyle w:val="Tablesub-heading"/>
              <w:rPr>
                <w:b w:val="0"/>
                <w:szCs w:val="22"/>
              </w:rPr>
            </w:pPr>
            <w:r>
              <w:rPr>
                <w:b w:val="0"/>
                <w:noProof/>
                <w:szCs w:val="22"/>
              </w:rPr>
              <w:t>The Adjudicator Register will be retained indefinitely as it exists in digital form only (web-based). It's something that will continuously change over time as information is added, amended or notated.</w:t>
            </w:r>
            <w:r>
              <w:rPr>
                <w:b w:val="0"/>
                <w:szCs w:val="22"/>
              </w:rPr>
              <w:t xml:space="preserve"> </w:t>
            </w:r>
            <w:r w:rsidR="005F199E">
              <w:rPr>
                <w:b w:val="0"/>
                <w:szCs w:val="22"/>
              </w:rPr>
              <w:t xml:space="preserve"> </w:t>
            </w:r>
          </w:p>
          <w:p w14:paraId="5E31DC76" w14:textId="77777777" w:rsidR="005F199E" w:rsidRPr="00634D63" w:rsidRDefault="005F199E" w:rsidP="002215E0">
            <w:pPr>
              <w:pStyle w:val="Heading2"/>
            </w:pPr>
            <w:r w:rsidRPr="00634D63">
              <w:t>Applicable legislation/standards:</w:t>
            </w:r>
          </w:p>
          <w:p w14:paraId="3FDE7C0C" w14:textId="77777777" w:rsidR="00453E95" w:rsidRPr="00C66CC8" w:rsidRDefault="00453E95" w:rsidP="00453E95">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p>
          <w:p w14:paraId="67BBA8DD" w14:textId="77777777" w:rsidR="005F199E" w:rsidRPr="00634D63" w:rsidRDefault="005F199E" w:rsidP="002215E0">
            <w:pPr>
              <w:pStyle w:val="Heading2"/>
            </w:pPr>
            <w:r w:rsidRPr="00634D63">
              <w:t xml:space="preserve">Comparison with other schedules' retention period: </w:t>
            </w:r>
          </w:p>
          <w:p w14:paraId="254A2657" w14:textId="11B2FBB6" w:rsidR="005F199E" w:rsidRPr="004A453A" w:rsidRDefault="007A2AD1" w:rsidP="002215E0">
            <w:pPr>
              <w:pStyle w:val="Tablesub-heading"/>
              <w:rPr>
                <w:b w:val="0"/>
                <w:szCs w:val="22"/>
              </w:rPr>
            </w:pPr>
            <w:r w:rsidRPr="00AB7EE6">
              <w:rPr>
                <w:b w:val="0"/>
                <w:i/>
                <w:iCs/>
                <w:szCs w:val="22"/>
              </w:rPr>
              <w:lastRenderedPageBreak/>
              <w:t>QDAN 731 v.1 Queensland Civil and Administrative Tribunal (QCAT)</w:t>
            </w:r>
            <w:r>
              <w:rPr>
                <w:b w:val="0"/>
                <w:i/>
                <w:iCs/>
                <w:szCs w:val="22"/>
              </w:rPr>
              <w:t xml:space="preserve"> </w:t>
            </w:r>
            <w:r w:rsidRPr="007A2AD1">
              <w:rPr>
                <w:b w:val="0"/>
                <w:szCs w:val="22"/>
              </w:rPr>
              <w:t xml:space="preserve">2.1.3 – Case Register – </w:t>
            </w:r>
            <w:r>
              <w:rPr>
                <w:b w:val="0"/>
                <w:szCs w:val="22"/>
              </w:rPr>
              <w:t xml:space="preserve">Retail </w:t>
            </w:r>
            <w:r w:rsidRPr="007A2AD1">
              <w:rPr>
                <w:b w:val="0"/>
                <w:szCs w:val="22"/>
              </w:rPr>
              <w:t>Permanent</w:t>
            </w:r>
            <w:r>
              <w:rPr>
                <w:b w:val="0"/>
                <w:szCs w:val="22"/>
              </w:rPr>
              <w:t>ly.</w:t>
            </w:r>
          </w:p>
          <w:p w14:paraId="28AD9B58" w14:textId="77777777" w:rsidR="005F199E" w:rsidRPr="00634D63" w:rsidRDefault="005F199E" w:rsidP="002215E0">
            <w:pPr>
              <w:pStyle w:val="Heading2"/>
            </w:pPr>
            <w:r w:rsidRPr="00634D63">
              <w:t>Other comments/factors for consideration:</w:t>
            </w:r>
          </w:p>
          <w:p w14:paraId="0467A674" w14:textId="77777777" w:rsidR="00453E95" w:rsidRPr="00F44218" w:rsidRDefault="00453E95" w:rsidP="00453E95">
            <w:pPr>
              <w:pStyle w:val="Heading2"/>
              <w:rPr>
                <w:rFonts w:ascii="Arial" w:hAnsi="Arial"/>
                <w:b w:val="0"/>
                <w:i/>
                <w:iCs/>
              </w:rPr>
            </w:pPr>
            <w:r w:rsidRPr="00036721">
              <w:rPr>
                <w:rFonts w:ascii="Arial" w:hAnsi="Arial" w:cs="Arial"/>
                <w:b w:val="0"/>
                <w:noProof/>
                <w:szCs w:val="22"/>
              </w:rPr>
              <w:t xml:space="preserve">Retention unchanged as per </w:t>
            </w:r>
            <w:r w:rsidRPr="006E504E">
              <w:rPr>
                <w:rFonts w:ascii="Arial" w:hAnsi="Arial"/>
                <w:b w:val="0"/>
                <w:i/>
                <w:iCs/>
              </w:rPr>
              <w:t xml:space="preserve">QDAN </w:t>
            </w:r>
            <w:r w:rsidRPr="00F44218">
              <w:rPr>
                <w:rFonts w:ascii="Arial" w:hAnsi="Arial"/>
                <w:b w:val="0"/>
                <w:i/>
                <w:iCs/>
              </w:rPr>
              <w:t>673 v.1 Building and Construction Industry Payments Agency retention and disposal schedule</w:t>
            </w:r>
            <w:r>
              <w:rPr>
                <w:rFonts w:ascii="Arial" w:hAnsi="Arial"/>
                <w:b w:val="0"/>
                <w:i/>
                <w:iCs/>
              </w:rPr>
              <w:t>.</w:t>
            </w:r>
          </w:p>
          <w:p w14:paraId="0D2003A4" w14:textId="77777777" w:rsidR="005F199E" w:rsidRPr="00634D63" w:rsidRDefault="005F199E" w:rsidP="002215E0">
            <w:pPr>
              <w:pStyle w:val="Heading2"/>
            </w:pPr>
            <w:r w:rsidRPr="00634D63">
              <w:t>Previous schedule references:</w:t>
            </w:r>
          </w:p>
          <w:p w14:paraId="20385703" w14:textId="7B7EEC9F" w:rsidR="005F199E" w:rsidRPr="004A453A" w:rsidRDefault="00453E95" w:rsidP="002215E0">
            <w:pPr>
              <w:pStyle w:val="Tablesub-heading"/>
              <w:rPr>
                <w:b w:val="0"/>
                <w:szCs w:val="22"/>
              </w:rPr>
            </w:pPr>
            <w:r w:rsidRPr="006E504E">
              <w:rPr>
                <w:b w:val="0"/>
                <w:i/>
                <w:iCs/>
              </w:rPr>
              <w:t xml:space="preserve">QDAN </w:t>
            </w:r>
            <w:r w:rsidRPr="00F44218">
              <w:rPr>
                <w:b w:val="0"/>
                <w:i/>
                <w:iCs/>
              </w:rPr>
              <w:t>673 v.1 Building and Construction Industry Payments Agency retention and disposal schedule</w:t>
            </w:r>
            <w:r>
              <w:rPr>
                <w:b w:val="0"/>
                <w:i/>
                <w:iCs/>
              </w:rPr>
              <w:t xml:space="preserve"> </w:t>
            </w:r>
            <w:r w:rsidRPr="001D4773">
              <w:rPr>
                <w:b w:val="0"/>
              </w:rPr>
              <w:t>1.1.</w:t>
            </w:r>
            <w:r>
              <w:rPr>
                <w:b w:val="0"/>
              </w:rPr>
              <w:t>3 Adjudicator’s decisions – retain permanently by the Building and Construction Industry Payments Agency (BCIPA).</w:t>
            </w:r>
          </w:p>
        </w:tc>
      </w:tr>
    </w:tbl>
    <w:p w14:paraId="4381300E" w14:textId="7169E8F6" w:rsidR="005F199E" w:rsidRDefault="005F199E"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5F199E" w:rsidRPr="004A453A" w14:paraId="45A32B91" w14:textId="77777777" w:rsidTr="002215E0">
        <w:tc>
          <w:tcPr>
            <w:tcW w:w="5000" w:type="pct"/>
            <w:shd w:val="clear" w:color="auto" w:fill="E0E0E0"/>
          </w:tcPr>
          <w:p w14:paraId="017A2326" w14:textId="77777777" w:rsidR="005F199E" w:rsidRPr="004A453A" w:rsidRDefault="005F199E" w:rsidP="002215E0">
            <w:pPr>
              <w:spacing w:before="60" w:after="60"/>
              <w:rPr>
                <w:b/>
                <w:lang w:eastAsia="en-AU"/>
              </w:rPr>
            </w:pPr>
            <w:r>
              <w:rPr>
                <w:b/>
                <w:lang w:eastAsia="en-AU"/>
              </w:rPr>
              <w:t>Activity</w:t>
            </w:r>
          </w:p>
        </w:tc>
      </w:tr>
      <w:tr w:rsidR="005F199E" w:rsidRPr="004A453A" w14:paraId="509B5690" w14:textId="77777777" w:rsidTr="002215E0">
        <w:tc>
          <w:tcPr>
            <w:tcW w:w="5000" w:type="pct"/>
          </w:tcPr>
          <w:p w14:paraId="4DBC16BB" w14:textId="77777777" w:rsidR="002A0ADA" w:rsidRPr="009D721E" w:rsidRDefault="002A0ADA" w:rsidP="002A0ADA">
            <w:pPr>
              <w:pStyle w:val="Heading2"/>
            </w:pPr>
            <w:r>
              <w:rPr>
                <w:noProof/>
              </w:rPr>
              <w:t>DISPUTES AND REVIEWS</w:t>
            </w:r>
          </w:p>
          <w:p w14:paraId="1FCB2D73" w14:textId="6081A200" w:rsidR="005F199E" w:rsidRPr="00E35904" w:rsidRDefault="002A0ADA" w:rsidP="002A0ADA">
            <w:pPr>
              <w:pStyle w:val="Scopenote"/>
            </w:pPr>
            <w:r>
              <w:rPr>
                <w:noProof/>
              </w:rPr>
              <w:t xml:space="preserve">The activities </w:t>
            </w:r>
            <w:r w:rsidRPr="00D92A72">
              <w:t xml:space="preserve">of </w:t>
            </w:r>
            <w:r>
              <w:t xml:space="preserve">adjudicating </w:t>
            </w:r>
            <w:r w:rsidRPr="00D92A72">
              <w:t>payment claim</w:t>
            </w:r>
            <w:r>
              <w:t xml:space="preserve"> applications per s.79 of the </w:t>
            </w:r>
            <w:r w:rsidRPr="006F2223">
              <w:rPr>
                <w:rFonts w:cs="Arial"/>
                <w:szCs w:val="22"/>
              </w:rPr>
              <w:t>Building Industry Fairness (Security of Payment) Act 2017</w:t>
            </w:r>
            <w:r w:rsidRPr="00D92A72">
              <w:rPr>
                <w:iCs/>
              </w:rPr>
              <w:t>.</w:t>
            </w:r>
          </w:p>
        </w:tc>
      </w:tr>
    </w:tbl>
    <w:p w14:paraId="071B21AD" w14:textId="5B80AEC7" w:rsidR="005F199E" w:rsidRDefault="005F199E"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2721"/>
        <w:gridCol w:w="10477"/>
      </w:tblGrid>
      <w:tr w:rsidR="005F199E" w:rsidRPr="004A453A" w14:paraId="6725BFDE" w14:textId="77777777" w:rsidTr="00384B0E">
        <w:trPr>
          <w:tblHeader/>
        </w:trPr>
        <w:tc>
          <w:tcPr>
            <w:tcW w:w="567" w:type="pct"/>
            <w:tcBorders>
              <w:top w:val="single" w:sz="6" w:space="0" w:color="C0C0C0"/>
              <w:bottom w:val="single" w:sz="6" w:space="0" w:color="C0C0C0"/>
            </w:tcBorders>
            <w:shd w:val="clear" w:color="auto" w:fill="C0C0C0"/>
            <w:vAlign w:val="center"/>
          </w:tcPr>
          <w:p w14:paraId="79FCA46D" w14:textId="77777777" w:rsidR="005F199E" w:rsidRPr="003B6B5D" w:rsidRDefault="005F199E" w:rsidP="002215E0">
            <w:pPr>
              <w:pStyle w:val="Tablesub-heading"/>
              <w:rPr>
                <w:szCs w:val="22"/>
              </w:rPr>
            </w:pPr>
            <w:r w:rsidRPr="003B6B5D">
              <w:t>Disposal Authorisation</w:t>
            </w:r>
          </w:p>
        </w:tc>
        <w:tc>
          <w:tcPr>
            <w:tcW w:w="914" w:type="pct"/>
            <w:tcBorders>
              <w:top w:val="single" w:sz="6" w:space="0" w:color="C0C0C0"/>
              <w:bottom w:val="single" w:sz="6" w:space="0" w:color="C0C0C0"/>
            </w:tcBorders>
            <w:shd w:val="clear" w:color="auto" w:fill="C0C0C0"/>
            <w:vAlign w:val="center"/>
          </w:tcPr>
          <w:p w14:paraId="6C3CD258" w14:textId="77777777" w:rsidR="005F199E" w:rsidRPr="004A453A" w:rsidRDefault="005F199E" w:rsidP="002215E0">
            <w:pPr>
              <w:pStyle w:val="Tablesub-heading"/>
            </w:pPr>
            <w:r>
              <w:t>Record class</w:t>
            </w:r>
            <w:r w:rsidRPr="004A453A">
              <w:t xml:space="preserve"> and retention period</w:t>
            </w:r>
          </w:p>
        </w:tc>
        <w:tc>
          <w:tcPr>
            <w:tcW w:w="3519" w:type="pct"/>
            <w:tcBorders>
              <w:top w:val="single" w:sz="6" w:space="0" w:color="C0C0C0"/>
              <w:bottom w:val="single" w:sz="6" w:space="0" w:color="C0C0C0"/>
            </w:tcBorders>
            <w:shd w:val="clear" w:color="auto" w:fill="C0C0C0"/>
            <w:vAlign w:val="center"/>
          </w:tcPr>
          <w:p w14:paraId="745E77C5" w14:textId="77777777" w:rsidR="005F199E" w:rsidRPr="004A453A" w:rsidRDefault="005F199E" w:rsidP="002215E0">
            <w:pPr>
              <w:pStyle w:val="Tablesub-heading"/>
            </w:pPr>
            <w:r>
              <w:t>Justifying</w:t>
            </w:r>
            <w:r w:rsidRPr="004A453A">
              <w:t xml:space="preserve"> </w:t>
            </w:r>
            <w:r>
              <w:t>the</w:t>
            </w:r>
            <w:r w:rsidRPr="004A453A">
              <w:t xml:space="preserve"> retention period</w:t>
            </w:r>
          </w:p>
        </w:tc>
      </w:tr>
      <w:tr w:rsidR="005F199E" w:rsidRPr="004A453A" w14:paraId="1FDD4D6A" w14:textId="77777777" w:rsidTr="00384B0E">
        <w:tc>
          <w:tcPr>
            <w:tcW w:w="567" w:type="pct"/>
            <w:tcBorders>
              <w:top w:val="single" w:sz="6" w:space="0" w:color="C0C0C0"/>
              <w:bottom w:val="single" w:sz="6" w:space="0" w:color="C0C0C0"/>
            </w:tcBorders>
            <w:shd w:val="clear" w:color="auto" w:fill="auto"/>
          </w:tcPr>
          <w:p w14:paraId="2E3E98DE" w14:textId="7DF491BB" w:rsidR="005F199E" w:rsidRPr="004A453A" w:rsidRDefault="00810E79" w:rsidP="002215E0">
            <w:pPr>
              <w:pStyle w:val="Tablesub-heading"/>
              <w:rPr>
                <w:b w:val="0"/>
                <w:szCs w:val="22"/>
              </w:rPr>
            </w:pPr>
            <w:r>
              <w:rPr>
                <w:b w:val="0"/>
                <w:szCs w:val="22"/>
              </w:rPr>
              <w:t>2787</w:t>
            </w:r>
          </w:p>
        </w:tc>
        <w:tc>
          <w:tcPr>
            <w:tcW w:w="914" w:type="pct"/>
            <w:tcBorders>
              <w:top w:val="single" w:sz="6" w:space="0" w:color="C0C0C0"/>
              <w:bottom w:val="single" w:sz="6" w:space="0" w:color="C0C0C0"/>
            </w:tcBorders>
            <w:shd w:val="clear" w:color="auto" w:fill="auto"/>
          </w:tcPr>
          <w:p w14:paraId="3CC47EFF" w14:textId="77777777" w:rsidR="002A0ADA" w:rsidRPr="00634D63" w:rsidRDefault="002A0ADA" w:rsidP="002A0ADA">
            <w:pPr>
              <w:pStyle w:val="Heading3"/>
            </w:pPr>
            <w:r>
              <w:rPr>
                <w:noProof/>
              </w:rPr>
              <w:t>Claims, Disputes and Reviews</w:t>
            </w:r>
            <w:r>
              <w:t xml:space="preserve"> </w:t>
            </w:r>
          </w:p>
          <w:p w14:paraId="19A8F94F" w14:textId="77777777" w:rsidR="002A0ADA" w:rsidRDefault="002A0ADA" w:rsidP="002A0ADA">
            <w:pPr>
              <w:pStyle w:val="Tablesub-heading"/>
              <w:rPr>
                <w:b w:val="0"/>
                <w:szCs w:val="22"/>
              </w:rPr>
            </w:pPr>
            <w:r>
              <w:rPr>
                <w:b w:val="0"/>
                <w:noProof/>
                <w:szCs w:val="22"/>
              </w:rPr>
              <w:t>Records relating to disputes, claims and/or complaints requiring adjudication by the QBCC.  Includes complex payment claims and matters that do not proceed, are withdrawn or discontinued</w:t>
            </w:r>
          </w:p>
          <w:p w14:paraId="2D982A4E" w14:textId="77777777" w:rsidR="005F199E" w:rsidRPr="00634D63" w:rsidRDefault="005F199E" w:rsidP="002215E0">
            <w:pPr>
              <w:pStyle w:val="Heading2"/>
            </w:pPr>
            <w:r w:rsidRPr="00634D63">
              <w:t xml:space="preserve">Disposal action – </w:t>
            </w:r>
          </w:p>
          <w:p w14:paraId="419BCBE0" w14:textId="31EB44BC" w:rsidR="005F199E" w:rsidRPr="004A453A" w:rsidRDefault="002A0ADA" w:rsidP="002215E0">
            <w:pPr>
              <w:pStyle w:val="Tablesub-heading"/>
              <w:rPr>
                <w:b w:val="0"/>
              </w:rPr>
            </w:pPr>
            <w:r>
              <w:rPr>
                <w:b w:val="0"/>
                <w:noProof/>
              </w:rPr>
              <w:lastRenderedPageBreak/>
              <w:t>Retain for 12 years after business action completed</w:t>
            </w:r>
          </w:p>
        </w:tc>
        <w:tc>
          <w:tcPr>
            <w:tcW w:w="3519" w:type="pct"/>
            <w:tcBorders>
              <w:top w:val="single" w:sz="6" w:space="0" w:color="C0C0C0"/>
              <w:bottom w:val="single" w:sz="6" w:space="0" w:color="C0C0C0"/>
            </w:tcBorders>
            <w:shd w:val="clear" w:color="auto" w:fill="auto"/>
          </w:tcPr>
          <w:p w14:paraId="10E92C8A" w14:textId="7F8E4512" w:rsidR="005F199E" w:rsidRPr="004A453A" w:rsidRDefault="005F199E" w:rsidP="002215E0">
            <w:pPr>
              <w:pStyle w:val="Tablesub-heading"/>
              <w:rPr>
                <w:b w:val="0"/>
                <w:szCs w:val="22"/>
              </w:rPr>
            </w:pPr>
            <w:r>
              <w:lastRenderedPageBreak/>
              <w:t xml:space="preserve">Date authorised: </w:t>
            </w:r>
            <w:r w:rsidR="00067BF0">
              <w:rPr>
                <w:b w:val="0"/>
              </w:rPr>
              <w:t>15 December 2023</w:t>
            </w:r>
          </w:p>
          <w:p w14:paraId="5C5E6DA4" w14:textId="77777777" w:rsidR="005F199E" w:rsidRPr="00634D63" w:rsidRDefault="005F199E" w:rsidP="002215E0">
            <w:pPr>
              <w:pStyle w:val="Heading2"/>
            </w:pPr>
            <w:r w:rsidRPr="00634D63">
              <w:t>Why are these records created:</w:t>
            </w:r>
          </w:p>
          <w:p w14:paraId="7B93B92D" w14:textId="334FC429" w:rsidR="002A0ADA" w:rsidRDefault="002A0ADA" w:rsidP="002A0ADA">
            <w:pPr>
              <w:pStyle w:val="Tablesub-heading"/>
              <w:rPr>
                <w:b w:val="0"/>
                <w:szCs w:val="22"/>
              </w:rPr>
            </w:pPr>
            <w:r>
              <w:rPr>
                <w:b w:val="0"/>
                <w:noProof/>
                <w:szCs w:val="22"/>
              </w:rPr>
              <w:t xml:space="preserve">To keep and maintain a record of adjudicating (progress) payment claims per s.79 of the </w:t>
            </w:r>
            <w:r w:rsidRPr="009A33B0">
              <w:rPr>
                <w:b w:val="0"/>
                <w:i/>
                <w:iCs/>
                <w:noProof/>
                <w:szCs w:val="22"/>
              </w:rPr>
              <w:t>Building Industry Fairness (Security of Payment) Act 2017</w:t>
            </w:r>
            <w:r>
              <w:rPr>
                <w:b w:val="0"/>
                <w:noProof/>
                <w:szCs w:val="22"/>
              </w:rPr>
              <w:t>.</w:t>
            </w:r>
          </w:p>
          <w:p w14:paraId="6D33E59C" w14:textId="77777777" w:rsidR="002A0ADA" w:rsidRPr="006352BC" w:rsidRDefault="002A0ADA" w:rsidP="002A0ADA">
            <w:pPr>
              <w:pStyle w:val="Tablesub-heading"/>
              <w:rPr>
                <w:b w:val="0"/>
                <w:noProof/>
                <w:szCs w:val="22"/>
              </w:rPr>
            </w:pPr>
            <w:r w:rsidRPr="006352BC">
              <w:rPr>
                <w:b w:val="0"/>
                <w:noProof/>
                <w:szCs w:val="22"/>
              </w:rPr>
              <w:t>A dispute relating to building and construction work may arise when parties to a contract or other agreement disagree about</w:t>
            </w:r>
            <w:r>
              <w:rPr>
                <w:b w:val="0"/>
                <w:noProof/>
                <w:szCs w:val="22"/>
              </w:rPr>
              <w:t xml:space="preserve"> </w:t>
            </w:r>
            <w:r w:rsidRPr="006352BC">
              <w:rPr>
                <w:b w:val="0"/>
                <w:noProof/>
                <w:szCs w:val="22"/>
              </w:rPr>
              <w:t>:</w:t>
            </w:r>
            <w:r>
              <w:rPr>
                <w:b w:val="0"/>
                <w:noProof/>
                <w:szCs w:val="22"/>
              </w:rPr>
              <w:t>-</w:t>
            </w:r>
          </w:p>
          <w:p w14:paraId="7AFC9205" w14:textId="77777777" w:rsidR="002A0ADA" w:rsidRPr="00095E1E" w:rsidRDefault="002A0ADA" w:rsidP="002A0ADA">
            <w:pPr>
              <w:pStyle w:val="Tablesub-heading"/>
              <w:numPr>
                <w:ilvl w:val="0"/>
                <w:numId w:val="31"/>
              </w:numPr>
              <w:shd w:val="clear" w:color="auto" w:fill="FFFFFF"/>
              <w:rPr>
                <w:b w:val="0"/>
                <w:bCs/>
                <w:szCs w:val="22"/>
              </w:rPr>
            </w:pPr>
            <w:r>
              <w:rPr>
                <w:b w:val="0"/>
                <w:bCs/>
                <w:szCs w:val="22"/>
              </w:rPr>
              <w:t>T</w:t>
            </w:r>
            <w:r w:rsidRPr="00095E1E">
              <w:rPr>
                <w:b w:val="0"/>
                <w:bCs/>
                <w:szCs w:val="22"/>
              </w:rPr>
              <w:t>he amount of money being claimed</w:t>
            </w:r>
            <w:r>
              <w:rPr>
                <w:b w:val="0"/>
                <w:bCs/>
                <w:szCs w:val="22"/>
              </w:rPr>
              <w:t>.</w:t>
            </w:r>
          </w:p>
          <w:p w14:paraId="467ACFDD" w14:textId="77777777" w:rsidR="002A0ADA" w:rsidRPr="00095E1E" w:rsidRDefault="002A0ADA" w:rsidP="002A0ADA">
            <w:pPr>
              <w:pStyle w:val="Tablesub-heading"/>
              <w:numPr>
                <w:ilvl w:val="0"/>
                <w:numId w:val="31"/>
              </w:numPr>
              <w:shd w:val="clear" w:color="auto" w:fill="FFFFFF"/>
              <w:rPr>
                <w:b w:val="0"/>
                <w:bCs/>
                <w:szCs w:val="22"/>
              </w:rPr>
            </w:pPr>
            <w:r>
              <w:rPr>
                <w:b w:val="0"/>
                <w:bCs/>
                <w:szCs w:val="22"/>
              </w:rPr>
              <w:t>T</w:t>
            </w:r>
            <w:r w:rsidRPr="00095E1E">
              <w:rPr>
                <w:b w:val="0"/>
                <w:bCs/>
                <w:szCs w:val="22"/>
              </w:rPr>
              <w:t>he amount of money proposed to be paid or that has been paid</w:t>
            </w:r>
            <w:r>
              <w:rPr>
                <w:b w:val="0"/>
                <w:bCs/>
                <w:szCs w:val="22"/>
              </w:rPr>
              <w:t>.</w:t>
            </w:r>
          </w:p>
          <w:p w14:paraId="70852979" w14:textId="77777777" w:rsidR="002A0ADA" w:rsidRPr="00095E1E" w:rsidRDefault="002A0ADA" w:rsidP="002A0ADA">
            <w:pPr>
              <w:pStyle w:val="Tablesub-heading"/>
              <w:numPr>
                <w:ilvl w:val="0"/>
                <w:numId w:val="31"/>
              </w:numPr>
              <w:shd w:val="clear" w:color="auto" w:fill="FFFFFF"/>
              <w:rPr>
                <w:b w:val="0"/>
                <w:bCs/>
                <w:szCs w:val="22"/>
              </w:rPr>
            </w:pPr>
            <w:r>
              <w:rPr>
                <w:b w:val="0"/>
                <w:bCs/>
                <w:szCs w:val="22"/>
              </w:rPr>
              <w:t>T</w:t>
            </w:r>
            <w:r w:rsidRPr="00095E1E">
              <w:rPr>
                <w:b w:val="0"/>
                <w:bCs/>
                <w:szCs w:val="22"/>
              </w:rPr>
              <w:t>he date payment is due or is proposed to be paid</w:t>
            </w:r>
            <w:r>
              <w:rPr>
                <w:b w:val="0"/>
                <w:bCs/>
                <w:szCs w:val="22"/>
              </w:rPr>
              <w:t>.</w:t>
            </w:r>
          </w:p>
          <w:p w14:paraId="3F94FF24" w14:textId="77777777" w:rsidR="002A0ADA" w:rsidRPr="00095E1E" w:rsidRDefault="002A0ADA" w:rsidP="002A0ADA">
            <w:pPr>
              <w:pStyle w:val="Tablesub-heading"/>
              <w:numPr>
                <w:ilvl w:val="0"/>
                <w:numId w:val="31"/>
              </w:numPr>
              <w:shd w:val="clear" w:color="auto" w:fill="FFFFFF"/>
              <w:rPr>
                <w:b w:val="0"/>
                <w:bCs/>
                <w:szCs w:val="22"/>
              </w:rPr>
            </w:pPr>
            <w:r>
              <w:rPr>
                <w:b w:val="0"/>
                <w:bCs/>
                <w:szCs w:val="22"/>
              </w:rPr>
              <w:t>W</w:t>
            </w:r>
            <w:r w:rsidRPr="00095E1E">
              <w:rPr>
                <w:b w:val="0"/>
                <w:bCs/>
                <w:szCs w:val="22"/>
              </w:rPr>
              <w:t>hether an amount required to be paid has not been paid in full or at all</w:t>
            </w:r>
            <w:r>
              <w:rPr>
                <w:b w:val="0"/>
                <w:bCs/>
                <w:szCs w:val="22"/>
              </w:rPr>
              <w:t>.</w:t>
            </w:r>
          </w:p>
          <w:p w14:paraId="520CEF67" w14:textId="77777777" w:rsidR="002A0ADA" w:rsidRPr="00095E1E" w:rsidRDefault="002A0ADA" w:rsidP="002A0ADA">
            <w:pPr>
              <w:pStyle w:val="Tablesub-heading"/>
              <w:numPr>
                <w:ilvl w:val="0"/>
                <w:numId w:val="31"/>
              </w:numPr>
              <w:shd w:val="clear" w:color="auto" w:fill="FFFFFF"/>
              <w:rPr>
                <w:b w:val="0"/>
                <w:szCs w:val="22"/>
              </w:rPr>
            </w:pPr>
            <w:r>
              <w:rPr>
                <w:b w:val="0"/>
                <w:bCs/>
                <w:szCs w:val="22"/>
              </w:rPr>
              <w:lastRenderedPageBreak/>
              <w:t>T</w:t>
            </w:r>
            <w:r w:rsidRPr="00095E1E">
              <w:rPr>
                <w:b w:val="0"/>
                <w:bCs/>
                <w:szCs w:val="22"/>
              </w:rPr>
              <w:t>he quality and satisfactory completion of work in accordance with the contract</w:t>
            </w:r>
            <w:r>
              <w:rPr>
                <w:b w:val="0"/>
                <w:bCs/>
                <w:szCs w:val="22"/>
              </w:rPr>
              <w:t>.</w:t>
            </w:r>
          </w:p>
          <w:p w14:paraId="55492EC3" w14:textId="77777777" w:rsidR="002A0ADA" w:rsidRPr="0070715C" w:rsidRDefault="002A0ADA" w:rsidP="002A0ADA">
            <w:pPr>
              <w:rPr>
                <w:b/>
                <w:bCs/>
                <w:noProof/>
              </w:rPr>
            </w:pPr>
            <w:r w:rsidRPr="0070715C">
              <w:rPr>
                <w:noProof/>
              </w:rPr>
              <w:t>When parties are in dispute about an amount owed for construction work, the person seeking payment can lodge an adjudication application with the Registrar.</w:t>
            </w:r>
            <w:r>
              <w:rPr>
                <w:noProof/>
              </w:rPr>
              <w:t xml:space="preserve">  </w:t>
            </w:r>
            <w:r w:rsidRPr="0070715C">
              <w:rPr>
                <w:bCs/>
                <w:noProof/>
              </w:rPr>
              <w:t>The Adjudication process provides:</w:t>
            </w:r>
          </w:p>
          <w:p w14:paraId="7393E1B4" w14:textId="77777777" w:rsidR="002A0ADA" w:rsidRPr="0050546E" w:rsidRDefault="002A0ADA" w:rsidP="002A0ADA">
            <w:pPr>
              <w:pStyle w:val="Tablesub-heading"/>
              <w:numPr>
                <w:ilvl w:val="0"/>
                <w:numId w:val="31"/>
              </w:numPr>
              <w:shd w:val="clear" w:color="auto" w:fill="FFFFFF"/>
              <w:rPr>
                <w:b w:val="0"/>
                <w:bCs/>
                <w:szCs w:val="22"/>
              </w:rPr>
            </w:pPr>
            <w:r>
              <w:rPr>
                <w:b w:val="0"/>
                <w:bCs/>
                <w:szCs w:val="22"/>
              </w:rPr>
              <w:t>R</w:t>
            </w:r>
            <w:r w:rsidRPr="0050546E">
              <w:rPr>
                <w:b w:val="0"/>
                <w:bCs/>
                <w:szCs w:val="22"/>
              </w:rPr>
              <w:t>apid decision</w:t>
            </w:r>
            <w:r>
              <w:rPr>
                <w:b w:val="0"/>
                <w:bCs/>
                <w:szCs w:val="22"/>
              </w:rPr>
              <w:t>s</w:t>
            </w:r>
            <w:r w:rsidRPr="0050546E">
              <w:rPr>
                <w:b w:val="0"/>
                <w:bCs/>
                <w:szCs w:val="22"/>
              </w:rPr>
              <w:t xml:space="preserve"> </w:t>
            </w:r>
            <w:r>
              <w:rPr>
                <w:b w:val="0"/>
                <w:bCs/>
                <w:szCs w:val="22"/>
              </w:rPr>
              <w:t xml:space="preserve">with </w:t>
            </w:r>
            <w:r w:rsidRPr="0050546E">
              <w:rPr>
                <w:b w:val="0"/>
                <w:bCs/>
                <w:szCs w:val="22"/>
              </w:rPr>
              <w:t>dispute</w:t>
            </w:r>
            <w:r>
              <w:rPr>
                <w:b w:val="0"/>
                <w:bCs/>
                <w:szCs w:val="22"/>
              </w:rPr>
              <w:t xml:space="preserve">s </w:t>
            </w:r>
            <w:r w:rsidRPr="0050546E">
              <w:rPr>
                <w:b w:val="0"/>
                <w:bCs/>
                <w:szCs w:val="22"/>
              </w:rPr>
              <w:t>(timeframes for adjudicator making decision</w:t>
            </w:r>
            <w:r>
              <w:rPr>
                <w:b w:val="0"/>
                <w:bCs/>
                <w:szCs w:val="22"/>
              </w:rPr>
              <w:t xml:space="preserve">s </w:t>
            </w:r>
            <w:r w:rsidRPr="0050546E">
              <w:rPr>
                <w:b w:val="0"/>
                <w:bCs/>
                <w:szCs w:val="22"/>
              </w:rPr>
              <w:t>apply)</w:t>
            </w:r>
            <w:r>
              <w:rPr>
                <w:b w:val="0"/>
                <w:bCs/>
                <w:szCs w:val="22"/>
              </w:rPr>
              <w:t>.</w:t>
            </w:r>
          </w:p>
          <w:p w14:paraId="0B46A1B1" w14:textId="77777777" w:rsidR="002A0ADA" w:rsidRPr="0050546E" w:rsidRDefault="002A0ADA" w:rsidP="002A0ADA">
            <w:pPr>
              <w:pStyle w:val="Tablesub-heading"/>
              <w:numPr>
                <w:ilvl w:val="0"/>
                <w:numId w:val="31"/>
              </w:numPr>
              <w:shd w:val="clear" w:color="auto" w:fill="FFFFFF"/>
              <w:rPr>
                <w:b w:val="0"/>
                <w:bCs/>
                <w:szCs w:val="22"/>
              </w:rPr>
            </w:pPr>
            <w:r>
              <w:rPr>
                <w:b w:val="0"/>
                <w:bCs/>
                <w:szCs w:val="22"/>
              </w:rPr>
              <w:t>T</w:t>
            </w:r>
            <w:r w:rsidRPr="0050546E">
              <w:rPr>
                <w:b w:val="0"/>
                <w:bCs/>
                <w:szCs w:val="22"/>
              </w:rPr>
              <w:t>he adjudicator’s decision is enforceable in court if not paid</w:t>
            </w:r>
            <w:r>
              <w:rPr>
                <w:b w:val="0"/>
                <w:bCs/>
                <w:szCs w:val="22"/>
              </w:rPr>
              <w:t>.</w:t>
            </w:r>
          </w:p>
          <w:p w14:paraId="2FB5BAF9" w14:textId="77777777" w:rsidR="002A0ADA" w:rsidRPr="0050546E" w:rsidRDefault="002A0ADA" w:rsidP="002A0ADA">
            <w:pPr>
              <w:pStyle w:val="Tablesub-heading"/>
              <w:numPr>
                <w:ilvl w:val="0"/>
                <w:numId w:val="31"/>
              </w:numPr>
              <w:shd w:val="clear" w:color="auto" w:fill="FFFFFF"/>
              <w:rPr>
                <w:b w:val="0"/>
                <w:bCs/>
                <w:szCs w:val="22"/>
              </w:rPr>
            </w:pPr>
            <w:r>
              <w:rPr>
                <w:b w:val="0"/>
                <w:bCs/>
                <w:szCs w:val="22"/>
              </w:rPr>
              <w:t>N</w:t>
            </w:r>
            <w:r w:rsidRPr="0050546E">
              <w:rPr>
                <w:b w:val="0"/>
                <w:bCs/>
                <w:szCs w:val="22"/>
              </w:rPr>
              <w:t xml:space="preserve">on-payment of the decision is an offence enforced by </w:t>
            </w:r>
            <w:r>
              <w:rPr>
                <w:b w:val="0"/>
                <w:bCs/>
                <w:szCs w:val="22"/>
              </w:rPr>
              <w:t xml:space="preserve">the </w:t>
            </w:r>
            <w:r w:rsidRPr="0050546E">
              <w:rPr>
                <w:b w:val="0"/>
                <w:bCs/>
                <w:szCs w:val="22"/>
              </w:rPr>
              <w:t>QBCC</w:t>
            </w:r>
            <w:r>
              <w:rPr>
                <w:b w:val="0"/>
                <w:bCs/>
                <w:szCs w:val="22"/>
              </w:rPr>
              <w:t>.</w:t>
            </w:r>
          </w:p>
          <w:p w14:paraId="69D2BAB8" w14:textId="77777777" w:rsidR="002A0ADA" w:rsidRPr="0050546E" w:rsidRDefault="002A0ADA" w:rsidP="002A0ADA">
            <w:pPr>
              <w:pStyle w:val="Tablesub-heading"/>
              <w:numPr>
                <w:ilvl w:val="0"/>
                <w:numId w:val="31"/>
              </w:numPr>
              <w:shd w:val="clear" w:color="auto" w:fill="FFFFFF"/>
              <w:rPr>
                <w:b w:val="0"/>
                <w:bCs/>
                <w:szCs w:val="22"/>
              </w:rPr>
            </w:pPr>
            <w:r>
              <w:rPr>
                <w:b w:val="0"/>
                <w:bCs/>
                <w:szCs w:val="22"/>
              </w:rPr>
              <w:t xml:space="preserve">It is </w:t>
            </w:r>
            <w:r w:rsidRPr="0050546E">
              <w:rPr>
                <w:b w:val="0"/>
                <w:bCs/>
                <w:szCs w:val="22"/>
              </w:rPr>
              <w:t>generally cheaper and faster than going to court (fees are capped for smaller claimed amounts under $25,000)</w:t>
            </w:r>
            <w:r>
              <w:rPr>
                <w:b w:val="0"/>
                <w:bCs/>
                <w:szCs w:val="22"/>
              </w:rPr>
              <w:t>.</w:t>
            </w:r>
          </w:p>
          <w:p w14:paraId="545223FF" w14:textId="77777777" w:rsidR="002A0ADA" w:rsidRDefault="002A0ADA" w:rsidP="002A0ADA">
            <w:pPr>
              <w:pStyle w:val="Tablesub-heading"/>
              <w:numPr>
                <w:ilvl w:val="0"/>
                <w:numId w:val="31"/>
              </w:numPr>
              <w:shd w:val="clear" w:color="auto" w:fill="FFFFFF"/>
              <w:rPr>
                <w:b w:val="0"/>
                <w:bCs/>
                <w:szCs w:val="22"/>
              </w:rPr>
            </w:pPr>
            <w:r>
              <w:rPr>
                <w:b w:val="0"/>
                <w:bCs/>
                <w:szCs w:val="22"/>
              </w:rPr>
              <w:t>C</w:t>
            </w:r>
            <w:r w:rsidRPr="0050546E">
              <w:rPr>
                <w:b w:val="0"/>
                <w:bCs/>
                <w:szCs w:val="22"/>
              </w:rPr>
              <w:t>an be used at the same time as suspending work.</w:t>
            </w:r>
          </w:p>
          <w:p w14:paraId="1948BCF6" w14:textId="77777777" w:rsidR="005F199E" w:rsidRPr="00634D63" w:rsidRDefault="005F199E" w:rsidP="002215E0">
            <w:pPr>
              <w:pStyle w:val="Heading2"/>
            </w:pPr>
            <w:r w:rsidRPr="00634D63">
              <w:t>Why the records are retained for this retention period:</w:t>
            </w:r>
          </w:p>
          <w:p w14:paraId="1685FB0B" w14:textId="2BADCCC1" w:rsidR="005F199E" w:rsidRPr="004A453A" w:rsidRDefault="002A0ADA" w:rsidP="002215E0">
            <w:pPr>
              <w:pStyle w:val="Tablesub-heading"/>
              <w:rPr>
                <w:b w:val="0"/>
                <w:szCs w:val="22"/>
              </w:rPr>
            </w:pPr>
            <w:r>
              <w:rPr>
                <w:b w:val="0"/>
                <w:noProof/>
                <w:szCs w:val="22"/>
              </w:rPr>
              <w:t>Retention based on</w:t>
            </w:r>
            <w:r w:rsidR="007F7089">
              <w:rPr>
                <w:b w:val="0"/>
                <w:noProof/>
                <w:szCs w:val="22"/>
              </w:rPr>
              <w:t xml:space="preserve"> the</w:t>
            </w:r>
            <w:r>
              <w:rPr>
                <w:b w:val="0"/>
                <w:noProof/>
                <w:szCs w:val="22"/>
              </w:rPr>
              <w:t xml:space="preserve"> </w:t>
            </w:r>
            <w:r w:rsidRPr="009A33B0">
              <w:rPr>
                <w:b w:val="0"/>
                <w:i/>
                <w:iCs/>
                <w:noProof/>
                <w:szCs w:val="22"/>
              </w:rPr>
              <w:t>Limitation of Actions Act 1974</w:t>
            </w:r>
            <w:r>
              <w:rPr>
                <w:b w:val="0"/>
                <w:noProof/>
                <w:szCs w:val="22"/>
              </w:rPr>
              <w:t>, s.10(3) as may involve matters pertaining to a deed (via a speciality contract) which caps the taking of action at twelve (12) years.</w:t>
            </w:r>
            <w:r>
              <w:rPr>
                <w:b w:val="0"/>
                <w:szCs w:val="22"/>
              </w:rPr>
              <w:t xml:space="preserve"> </w:t>
            </w:r>
            <w:r w:rsidR="005F199E">
              <w:rPr>
                <w:b w:val="0"/>
                <w:szCs w:val="22"/>
              </w:rPr>
              <w:t xml:space="preserve"> </w:t>
            </w:r>
          </w:p>
          <w:p w14:paraId="2CFC8806" w14:textId="77777777" w:rsidR="005F199E" w:rsidRPr="00634D63" w:rsidRDefault="005F199E" w:rsidP="002215E0">
            <w:pPr>
              <w:pStyle w:val="Heading2"/>
            </w:pPr>
            <w:r w:rsidRPr="00634D63">
              <w:t>Applicable legislation/standards:</w:t>
            </w:r>
          </w:p>
          <w:p w14:paraId="0005EF51" w14:textId="77777777" w:rsidR="002A0ADA" w:rsidRDefault="002A0ADA" w:rsidP="002A0ADA">
            <w:pPr>
              <w:pStyle w:val="Tablesub-heading"/>
              <w:spacing w:before="60" w:after="60"/>
              <w:rPr>
                <w:b w:val="0"/>
                <w:szCs w:val="22"/>
              </w:rPr>
            </w:pPr>
            <w:r w:rsidRPr="00803790">
              <w:rPr>
                <w:b w:val="0"/>
                <w:noProof/>
                <w:szCs w:val="22"/>
              </w:rPr>
              <w:t xml:space="preserve">See the list of applicable legislation and standards for public records created, kept and managed by the </w:t>
            </w:r>
            <w:r>
              <w:rPr>
                <w:b w:val="0"/>
                <w:noProof/>
                <w:szCs w:val="22"/>
              </w:rPr>
              <w:t>Building and Construction sector</w:t>
            </w:r>
            <w:r w:rsidRPr="00803790">
              <w:rPr>
                <w:b w:val="0"/>
                <w:noProof/>
                <w:szCs w:val="22"/>
              </w:rPr>
              <w:t xml:space="preserve"> located at the beginning of this appraisal log</w:t>
            </w:r>
            <w:r>
              <w:rPr>
                <w:b w:val="0"/>
                <w:szCs w:val="22"/>
              </w:rPr>
              <w:t>.</w:t>
            </w:r>
          </w:p>
          <w:p w14:paraId="4347B8A4" w14:textId="77777777" w:rsidR="005F199E" w:rsidRPr="00634D63" w:rsidRDefault="005F199E" w:rsidP="002215E0">
            <w:pPr>
              <w:pStyle w:val="Heading2"/>
            </w:pPr>
            <w:r w:rsidRPr="00634D63">
              <w:t xml:space="preserve">Comparison with other schedules' retention period: </w:t>
            </w:r>
          </w:p>
          <w:p w14:paraId="72C14E99" w14:textId="77777777" w:rsidR="002A0ADA" w:rsidRDefault="002A0ADA" w:rsidP="002A0ADA">
            <w:pPr>
              <w:pStyle w:val="Tablesub-heading"/>
              <w:rPr>
                <w:b w:val="0"/>
                <w:noProof/>
                <w:szCs w:val="22"/>
              </w:rPr>
            </w:pPr>
            <w:r w:rsidRPr="00393447">
              <w:rPr>
                <w:b w:val="0"/>
                <w:i/>
                <w:iCs/>
                <w:noProof/>
                <w:szCs w:val="22"/>
              </w:rPr>
              <w:t>PROS 20/01, Victorian Building Authority (VBA), 3.2</w:t>
            </w:r>
            <w:r>
              <w:rPr>
                <w:b w:val="0"/>
                <w:noProof/>
                <w:szCs w:val="22"/>
              </w:rPr>
              <w:t xml:space="preserve"> – Appeals and Disputes – retain for 99 years - as issued by the Public Record Office Victoria (PROV).</w:t>
            </w:r>
            <w:r w:rsidDel="006D4D34">
              <w:rPr>
                <w:b w:val="0"/>
                <w:noProof/>
                <w:szCs w:val="22"/>
              </w:rPr>
              <w:t xml:space="preserve"> </w:t>
            </w:r>
          </w:p>
          <w:p w14:paraId="7CF127AF" w14:textId="77777777" w:rsidR="002A0ADA" w:rsidRDefault="002A0ADA" w:rsidP="002A0ADA">
            <w:pPr>
              <w:pStyle w:val="Tablesub-heading"/>
              <w:rPr>
                <w:b w:val="0"/>
                <w:bCs/>
              </w:rPr>
            </w:pPr>
            <w:r w:rsidRPr="00393447">
              <w:rPr>
                <w:b w:val="0"/>
                <w:bCs/>
                <w:i/>
                <w:iCs/>
              </w:rPr>
              <w:t>PROS 11/04, Var 2, Victoria Consumer Affairs, 8.2.2 to 8.2.4</w:t>
            </w:r>
            <w:r>
              <w:rPr>
                <w:b w:val="0"/>
                <w:bCs/>
              </w:rPr>
              <w:t xml:space="preserve"> (retain 15 years after claim or appeal) and 8.2.5 (retain 7 years) – Property Fund Claims – as issued by </w:t>
            </w:r>
            <w:r w:rsidRPr="00880757">
              <w:rPr>
                <w:b w:val="0"/>
                <w:bCs/>
              </w:rPr>
              <w:t>Public Records Office Victoria</w:t>
            </w:r>
            <w:r>
              <w:rPr>
                <w:b w:val="0"/>
                <w:bCs/>
              </w:rPr>
              <w:t xml:space="preserve"> (PROV).</w:t>
            </w:r>
          </w:p>
          <w:p w14:paraId="31833B87" w14:textId="77A45589" w:rsidR="005F199E" w:rsidRPr="004A453A" w:rsidRDefault="002A0ADA" w:rsidP="002215E0">
            <w:pPr>
              <w:pStyle w:val="Tablesub-heading"/>
              <w:rPr>
                <w:b w:val="0"/>
                <w:szCs w:val="22"/>
              </w:rPr>
            </w:pPr>
            <w:r w:rsidRPr="0070715C">
              <w:rPr>
                <w:b w:val="0"/>
                <w:i/>
                <w:iCs/>
                <w:szCs w:val="22"/>
              </w:rPr>
              <w:t>Office of Fair Trading retention and disposal schedule</w:t>
            </w:r>
            <w:r>
              <w:rPr>
                <w:b w:val="0"/>
                <w:szCs w:val="22"/>
              </w:rPr>
              <w:t xml:space="preserve"> 1678 - Claims - Determination and Recovery – retain 7 years from date of claim payment, recovery of debt or when debt is written off.</w:t>
            </w:r>
          </w:p>
          <w:p w14:paraId="128F7C9E" w14:textId="77777777" w:rsidR="005F199E" w:rsidRPr="00634D63" w:rsidRDefault="005F199E" w:rsidP="002215E0">
            <w:pPr>
              <w:pStyle w:val="Heading2"/>
            </w:pPr>
            <w:r w:rsidRPr="00634D63">
              <w:t>Other comments/factors for consideration:</w:t>
            </w:r>
          </w:p>
          <w:p w14:paraId="1BB986A8" w14:textId="0C5D3D88" w:rsidR="002A0ADA" w:rsidRDefault="002A0ADA" w:rsidP="002A0ADA">
            <w:pPr>
              <w:pStyle w:val="Tablesub-heading"/>
              <w:rPr>
                <w:b w:val="0"/>
                <w:bCs/>
                <w:noProof/>
              </w:rPr>
            </w:pPr>
            <w:r w:rsidRPr="0070715C">
              <w:rPr>
                <w:b w:val="0"/>
                <w:bCs/>
                <w:noProof/>
              </w:rPr>
              <w:t xml:space="preserve">New function/activity for the QBCC as per the </w:t>
            </w:r>
            <w:r w:rsidRPr="0070715C">
              <w:rPr>
                <w:b w:val="0"/>
                <w:i/>
                <w:iCs/>
                <w:noProof/>
                <w:szCs w:val="22"/>
              </w:rPr>
              <w:t xml:space="preserve">Building Industry Fairness (Security of Payment) </w:t>
            </w:r>
            <w:r>
              <w:rPr>
                <w:b w:val="0"/>
                <w:i/>
                <w:iCs/>
                <w:noProof/>
                <w:szCs w:val="22"/>
              </w:rPr>
              <w:t xml:space="preserve">                           </w:t>
            </w:r>
            <w:r w:rsidRPr="0070715C">
              <w:rPr>
                <w:b w:val="0"/>
                <w:i/>
                <w:iCs/>
                <w:noProof/>
                <w:szCs w:val="22"/>
              </w:rPr>
              <w:t>Act</w:t>
            </w:r>
            <w:r>
              <w:rPr>
                <w:b w:val="0"/>
                <w:noProof/>
                <w:szCs w:val="22"/>
              </w:rPr>
              <w:t xml:space="preserve"> (2017)</w:t>
            </w:r>
            <w:r w:rsidRPr="0070715C">
              <w:rPr>
                <w:b w:val="0"/>
                <w:bCs/>
                <w:noProof/>
              </w:rPr>
              <w:t xml:space="preserve">, so </w:t>
            </w:r>
            <w:r>
              <w:rPr>
                <w:b w:val="0"/>
                <w:bCs/>
                <w:noProof/>
              </w:rPr>
              <w:t xml:space="preserve">is </w:t>
            </w:r>
            <w:r w:rsidRPr="0070715C">
              <w:rPr>
                <w:b w:val="0"/>
                <w:bCs/>
                <w:noProof/>
              </w:rPr>
              <w:t xml:space="preserve">not covered by QDAN 673 as that was under the repealed </w:t>
            </w:r>
            <w:r w:rsidR="009A33B0" w:rsidRPr="009A33B0">
              <w:rPr>
                <w:b w:val="0"/>
                <w:bCs/>
                <w:i/>
                <w:iCs/>
                <w:noProof/>
              </w:rPr>
              <w:t>Building and Construction Industry Pacyments</w:t>
            </w:r>
            <w:r w:rsidRPr="009A33B0">
              <w:rPr>
                <w:b w:val="0"/>
                <w:bCs/>
                <w:i/>
                <w:iCs/>
                <w:noProof/>
              </w:rPr>
              <w:t xml:space="preserve"> Act 2004</w:t>
            </w:r>
            <w:r w:rsidRPr="0070715C">
              <w:rPr>
                <w:b w:val="0"/>
                <w:bCs/>
                <w:noProof/>
              </w:rPr>
              <w:t xml:space="preserve">. </w:t>
            </w:r>
          </w:p>
          <w:p w14:paraId="63D0D3EC" w14:textId="77777777" w:rsidR="005F199E" w:rsidRPr="00634D63" w:rsidRDefault="005F199E" w:rsidP="002215E0">
            <w:pPr>
              <w:pStyle w:val="Heading2"/>
            </w:pPr>
            <w:r w:rsidRPr="00634D63">
              <w:t>Previous schedule references:</w:t>
            </w:r>
          </w:p>
          <w:p w14:paraId="5D5EFB58" w14:textId="271333FF" w:rsidR="005F199E" w:rsidRPr="004A453A" w:rsidRDefault="002A0ADA" w:rsidP="002215E0">
            <w:pPr>
              <w:pStyle w:val="Tablesub-heading"/>
              <w:rPr>
                <w:b w:val="0"/>
                <w:szCs w:val="22"/>
              </w:rPr>
            </w:pPr>
            <w:r>
              <w:rPr>
                <w:b w:val="0"/>
                <w:szCs w:val="22"/>
              </w:rPr>
              <w:lastRenderedPageBreak/>
              <w:t>New disposal authorisation.</w:t>
            </w:r>
          </w:p>
        </w:tc>
      </w:tr>
      <w:tr w:rsidR="005F199E" w:rsidRPr="004A453A" w14:paraId="0A4F0884" w14:textId="77777777" w:rsidTr="00384B0E">
        <w:tc>
          <w:tcPr>
            <w:tcW w:w="567" w:type="pct"/>
            <w:tcBorders>
              <w:top w:val="single" w:sz="6" w:space="0" w:color="C0C0C0"/>
              <w:bottom w:val="single" w:sz="6" w:space="0" w:color="C0C0C0"/>
            </w:tcBorders>
            <w:shd w:val="clear" w:color="auto" w:fill="auto"/>
          </w:tcPr>
          <w:p w14:paraId="07EFAB4F" w14:textId="2BD50526" w:rsidR="005F199E" w:rsidRPr="004A453A" w:rsidRDefault="0035581F" w:rsidP="002215E0">
            <w:pPr>
              <w:pStyle w:val="Tablesub-heading"/>
              <w:rPr>
                <w:b w:val="0"/>
                <w:szCs w:val="22"/>
              </w:rPr>
            </w:pPr>
            <w:r>
              <w:rPr>
                <w:b w:val="0"/>
                <w:szCs w:val="22"/>
              </w:rPr>
              <w:lastRenderedPageBreak/>
              <w:t>2788</w:t>
            </w:r>
          </w:p>
        </w:tc>
        <w:tc>
          <w:tcPr>
            <w:tcW w:w="914" w:type="pct"/>
            <w:tcBorders>
              <w:top w:val="single" w:sz="6" w:space="0" w:color="C0C0C0"/>
              <w:bottom w:val="single" w:sz="6" w:space="0" w:color="C0C0C0"/>
            </w:tcBorders>
            <w:shd w:val="clear" w:color="auto" w:fill="auto"/>
          </w:tcPr>
          <w:p w14:paraId="60D50C25" w14:textId="0DF692B5" w:rsidR="00743D0F" w:rsidRPr="00917033" w:rsidRDefault="00743D0F" w:rsidP="00743D0F">
            <w:pPr>
              <w:pStyle w:val="Tablesub-heading"/>
              <w:rPr>
                <w:i/>
                <w:szCs w:val="22"/>
              </w:rPr>
            </w:pPr>
            <w:r>
              <w:rPr>
                <w:i/>
                <w:noProof/>
                <w:szCs w:val="22"/>
              </w:rPr>
              <w:t xml:space="preserve">Complaint records </w:t>
            </w:r>
            <w:r w:rsidR="00274BF7">
              <w:rPr>
                <w:i/>
                <w:noProof/>
                <w:szCs w:val="22"/>
              </w:rPr>
              <w:t>- Adjudicators</w:t>
            </w:r>
          </w:p>
          <w:p w14:paraId="456993F4" w14:textId="705FB6A1" w:rsidR="00743D0F" w:rsidRDefault="00743D0F" w:rsidP="00743D0F">
            <w:pPr>
              <w:rPr>
                <w:iCs/>
              </w:rPr>
            </w:pPr>
            <w:r w:rsidRPr="00AD1288">
              <w:t>Records relating to complaints about service</w:t>
            </w:r>
            <w:r>
              <w:t xml:space="preserve">s </w:t>
            </w:r>
            <w:r w:rsidRPr="00AD1288">
              <w:t xml:space="preserve">and/or actions provided by an adjudicator registered under the </w:t>
            </w:r>
            <w:r w:rsidRPr="009A33B0">
              <w:rPr>
                <w:rFonts w:cs="Arial"/>
                <w:i/>
                <w:iCs/>
                <w:szCs w:val="22"/>
              </w:rPr>
              <w:t>Building Industry Fairness (Security of Payment) Act 2017</w:t>
            </w:r>
            <w:r w:rsidRPr="00AD1288">
              <w:rPr>
                <w:iCs/>
              </w:rPr>
              <w:t>.</w:t>
            </w:r>
            <w:r>
              <w:rPr>
                <w:iCs/>
              </w:rPr>
              <w:t xml:space="preserve"> Includes matters that do not proceed, are withdrawn or discontinued.</w:t>
            </w:r>
          </w:p>
          <w:p w14:paraId="2DF2532B" w14:textId="77777777" w:rsidR="005F199E" w:rsidRPr="00634D63" w:rsidRDefault="005F199E" w:rsidP="002215E0">
            <w:pPr>
              <w:pStyle w:val="Heading2"/>
            </w:pPr>
            <w:r w:rsidRPr="00634D63">
              <w:t xml:space="preserve">Disposal action – </w:t>
            </w:r>
          </w:p>
          <w:p w14:paraId="446D6FEA" w14:textId="3D8D6370" w:rsidR="005F199E" w:rsidRPr="004A453A" w:rsidRDefault="00743D0F" w:rsidP="002215E0">
            <w:pPr>
              <w:pStyle w:val="Tablesub-heading"/>
              <w:rPr>
                <w:b w:val="0"/>
              </w:rPr>
            </w:pPr>
            <w:r>
              <w:rPr>
                <w:b w:val="0"/>
                <w:noProof/>
              </w:rPr>
              <w:t>7 years after business action completed.</w:t>
            </w:r>
          </w:p>
        </w:tc>
        <w:tc>
          <w:tcPr>
            <w:tcW w:w="3519" w:type="pct"/>
            <w:tcBorders>
              <w:top w:val="single" w:sz="6" w:space="0" w:color="C0C0C0"/>
              <w:bottom w:val="single" w:sz="6" w:space="0" w:color="C0C0C0"/>
            </w:tcBorders>
            <w:shd w:val="clear" w:color="auto" w:fill="auto"/>
          </w:tcPr>
          <w:p w14:paraId="356B2EF0" w14:textId="308D0469" w:rsidR="005F199E" w:rsidRPr="004A453A" w:rsidRDefault="005F199E" w:rsidP="002215E0">
            <w:pPr>
              <w:pStyle w:val="Tablesub-heading"/>
              <w:rPr>
                <w:b w:val="0"/>
                <w:szCs w:val="22"/>
              </w:rPr>
            </w:pPr>
            <w:r>
              <w:t xml:space="preserve">Date authorised: </w:t>
            </w:r>
            <w:r w:rsidR="00067BF0">
              <w:rPr>
                <w:b w:val="0"/>
              </w:rPr>
              <w:t>15 December 2023</w:t>
            </w:r>
          </w:p>
          <w:p w14:paraId="6BF4793D" w14:textId="77777777" w:rsidR="005F199E" w:rsidRPr="00634D63" w:rsidRDefault="005F199E" w:rsidP="002215E0">
            <w:pPr>
              <w:pStyle w:val="Heading2"/>
            </w:pPr>
            <w:r w:rsidRPr="00634D63">
              <w:t>Why are these records created:</w:t>
            </w:r>
          </w:p>
          <w:p w14:paraId="1CDC0103" w14:textId="26CB765D" w:rsidR="005F199E" w:rsidRPr="004A453A" w:rsidRDefault="00F3124F" w:rsidP="002215E0">
            <w:pPr>
              <w:pStyle w:val="Tablesub-heading"/>
              <w:rPr>
                <w:b w:val="0"/>
                <w:noProof/>
                <w:szCs w:val="22"/>
              </w:rPr>
            </w:pPr>
            <w:r>
              <w:rPr>
                <w:b w:val="0"/>
                <w:noProof/>
                <w:szCs w:val="22"/>
              </w:rPr>
              <w:t xml:space="preserve">Records relating to complaints about the service and/or actions provided by an adjudicator registered under the </w:t>
            </w:r>
            <w:r w:rsidRPr="009A33B0">
              <w:rPr>
                <w:b w:val="0"/>
                <w:i/>
                <w:iCs/>
                <w:noProof/>
                <w:szCs w:val="22"/>
              </w:rPr>
              <w:t>Building Industry Fairness (Security of Payment) Act 2017</w:t>
            </w:r>
            <w:r>
              <w:rPr>
                <w:b w:val="0"/>
                <w:noProof/>
                <w:szCs w:val="22"/>
              </w:rPr>
              <w:t>. Includes matters that do not proceed or are withdrawn. Includes legacy complaints involving Authorised Nominating Authorities (ANAs).</w:t>
            </w:r>
          </w:p>
          <w:p w14:paraId="3F1FA0A3" w14:textId="77777777" w:rsidR="005F199E" w:rsidRPr="00634D63" w:rsidRDefault="005F199E" w:rsidP="002215E0">
            <w:pPr>
              <w:pStyle w:val="Heading2"/>
            </w:pPr>
            <w:r w:rsidRPr="00634D63">
              <w:t>Why the records are retained for this retention period:</w:t>
            </w:r>
          </w:p>
          <w:p w14:paraId="4ADF3E6D" w14:textId="1FED40D4" w:rsidR="00F3124F" w:rsidRDefault="00F3124F" w:rsidP="00F3124F">
            <w:pPr>
              <w:pStyle w:val="Heading2"/>
              <w:shd w:val="clear" w:color="auto" w:fill="FFFFFF"/>
              <w:rPr>
                <w:rFonts w:ascii="Arial" w:hAnsi="Arial" w:cs="Arial"/>
                <w:b w:val="0"/>
                <w:bCs/>
              </w:rPr>
            </w:pPr>
            <w:r>
              <w:rPr>
                <w:rFonts w:ascii="Arial" w:hAnsi="Arial" w:cs="Arial"/>
                <w:b w:val="0"/>
                <w:bCs/>
              </w:rPr>
              <w:t>A seven</w:t>
            </w:r>
            <w:r w:rsidR="009E22C4">
              <w:rPr>
                <w:rFonts w:ascii="Arial" w:hAnsi="Arial" w:cs="Arial"/>
                <w:b w:val="0"/>
                <w:bCs/>
              </w:rPr>
              <w:t>-</w:t>
            </w:r>
            <w:r>
              <w:rPr>
                <w:rFonts w:ascii="Arial" w:hAnsi="Arial" w:cs="Arial"/>
                <w:b w:val="0"/>
                <w:bCs/>
              </w:rPr>
              <w:t>year retention</w:t>
            </w:r>
            <w:r w:rsidRPr="00211D94">
              <w:rPr>
                <w:rFonts w:ascii="Arial" w:hAnsi="Arial" w:cs="Arial"/>
                <w:b w:val="0"/>
                <w:bCs/>
              </w:rPr>
              <w:t xml:space="preserve"> period ensures that the records are available in the event of any legal claims brought in accordance with s.10 of the </w:t>
            </w:r>
            <w:r w:rsidRPr="009A33B0">
              <w:rPr>
                <w:rFonts w:ascii="Arial" w:hAnsi="Arial" w:cs="Arial"/>
                <w:b w:val="0"/>
                <w:bCs/>
                <w:i/>
                <w:iCs/>
              </w:rPr>
              <w:t>Limitation of Actions Act 1974</w:t>
            </w:r>
            <w:r>
              <w:rPr>
                <w:rFonts w:ascii="Arial" w:hAnsi="Arial" w:cs="Arial"/>
                <w:b w:val="0"/>
                <w:bCs/>
              </w:rPr>
              <w:t>.</w:t>
            </w:r>
            <w:r w:rsidRPr="00211D94">
              <w:rPr>
                <w:rFonts w:ascii="Arial" w:hAnsi="Arial" w:cs="Arial"/>
                <w:b w:val="0"/>
                <w:bCs/>
              </w:rPr>
              <w:t xml:space="preserve"> </w:t>
            </w:r>
          </w:p>
          <w:p w14:paraId="3B62712B" w14:textId="17E75E70" w:rsidR="005F199E" w:rsidRPr="00F3124F" w:rsidRDefault="00F3124F" w:rsidP="00F3124F">
            <w:pPr>
              <w:pStyle w:val="Heading2"/>
              <w:shd w:val="clear" w:color="auto" w:fill="FFFFFF"/>
              <w:rPr>
                <w:rFonts w:ascii="Arial" w:hAnsi="Arial" w:cs="Arial"/>
                <w:b w:val="0"/>
                <w:bCs/>
              </w:rPr>
            </w:pPr>
            <w:r>
              <w:rPr>
                <w:rFonts w:ascii="Arial" w:hAnsi="Arial" w:cs="Arial"/>
                <w:b w:val="0"/>
                <w:bCs/>
              </w:rPr>
              <w:t>The seven-year retention period supports the decisions of the business by providing evidence of actions taken and ensures that records are available for a sufficient period of time to be referred back to if required.</w:t>
            </w:r>
            <w:r w:rsidR="005F199E">
              <w:rPr>
                <w:b w:val="0"/>
                <w:szCs w:val="22"/>
              </w:rPr>
              <w:t xml:space="preserve"> </w:t>
            </w:r>
          </w:p>
          <w:p w14:paraId="4A9C644C" w14:textId="77777777" w:rsidR="005F199E" w:rsidRPr="00634D63" w:rsidRDefault="005F199E" w:rsidP="002215E0">
            <w:pPr>
              <w:pStyle w:val="Heading2"/>
            </w:pPr>
            <w:r w:rsidRPr="00634D63">
              <w:t>Applicable legislation/standards:</w:t>
            </w:r>
          </w:p>
          <w:p w14:paraId="0EFA7782" w14:textId="77777777" w:rsidR="00F3124F" w:rsidRPr="00C66CC8" w:rsidRDefault="00F3124F" w:rsidP="00F3124F">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p>
          <w:p w14:paraId="0F91E49D" w14:textId="77777777" w:rsidR="005F199E" w:rsidRPr="00634D63" w:rsidRDefault="005F199E" w:rsidP="002215E0">
            <w:pPr>
              <w:pStyle w:val="Heading2"/>
            </w:pPr>
            <w:r w:rsidRPr="00634D63">
              <w:t xml:space="preserve">Comparison with other schedules' retention period: </w:t>
            </w:r>
          </w:p>
          <w:p w14:paraId="2B35394E" w14:textId="77777777" w:rsidR="00F3124F" w:rsidRDefault="00F3124F" w:rsidP="00F3124F">
            <w:pPr>
              <w:pStyle w:val="Tablesub-heading"/>
              <w:rPr>
                <w:b w:val="0"/>
                <w:noProof/>
                <w:szCs w:val="22"/>
              </w:rPr>
            </w:pPr>
            <w:r w:rsidRPr="007A54E1">
              <w:rPr>
                <w:b w:val="0"/>
                <w:i/>
                <w:iCs/>
                <w:noProof/>
                <w:szCs w:val="22"/>
              </w:rPr>
              <w:t>QDAN 742 v.2 Qld Racing Integrity Commission</w:t>
            </w:r>
            <w:r>
              <w:rPr>
                <w:b w:val="0"/>
                <w:noProof/>
                <w:szCs w:val="22"/>
              </w:rPr>
              <w:t xml:space="preserve"> (QRIC) - 1.8.1 - </w:t>
            </w:r>
            <w:r w:rsidRPr="00C42A38">
              <w:rPr>
                <w:b w:val="0"/>
                <w:noProof/>
                <w:szCs w:val="22"/>
              </w:rPr>
              <w:t xml:space="preserve">Complaints Resolution </w:t>
            </w:r>
            <w:r>
              <w:rPr>
                <w:b w:val="0"/>
                <w:noProof/>
                <w:szCs w:val="22"/>
              </w:rPr>
              <w:t xml:space="preserve"> - </w:t>
            </w:r>
            <w:r w:rsidRPr="00C42A38">
              <w:rPr>
                <w:b w:val="0"/>
                <w:noProof/>
                <w:szCs w:val="22"/>
              </w:rPr>
              <w:t>Retain for 7 years after action completed.</w:t>
            </w:r>
          </w:p>
          <w:p w14:paraId="33E43BE1" w14:textId="77777777" w:rsidR="00F3124F" w:rsidRDefault="00F3124F" w:rsidP="00F3124F">
            <w:pPr>
              <w:pStyle w:val="Tablesub-heading"/>
              <w:rPr>
                <w:b w:val="0"/>
                <w:szCs w:val="22"/>
              </w:rPr>
            </w:pPr>
            <w:r w:rsidRPr="002F57E6">
              <w:rPr>
                <w:b w:val="0"/>
                <w:i/>
                <w:iCs/>
                <w:noProof/>
                <w:szCs w:val="22"/>
              </w:rPr>
              <w:t>General Retention and Disposal Schedule</w:t>
            </w:r>
            <w:r>
              <w:rPr>
                <w:b w:val="0"/>
                <w:noProof/>
                <w:szCs w:val="22"/>
              </w:rPr>
              <w:t xml:space="preserve"> (GRDS) – 1008 - Audits – Other – retain 7 years after business action completed.</w:t>
            </w:r>
          </w:p>
          <w:p w14:paraId="4E2449CC" w14:textId="77777777" w:rsidR="005F199E" w:rsidRPr="00634D63" w:rsidRDefault="005F199E" w:rsidP="002215E0">
            <w:pPr>
              <w:pStyle w:val="Heading2"/>
            </w:pPr>
            <w:r w:rsidRPr="00634D63">
              <w:t>Previous schedule references:</w:t>
            </w:r>
          </w:p>
          <w:p w14:paraId="6130057A" w14:textId="129904A8" w:rsidR="005F199E" w:rsidRPr="004A453A" w:rsidRDefault="00F3124F" w:rsidP="002215E0">
            <w:pPr>
              <w:pStyle w:val="Tablesub-heading"/>
              <w:rPr>
                <w:b w:val="0"/>
                <w:szCs w:val="22"/>
              </w:rPr>
            </w:pPr>
            <w:r w:rsidRPr="006E504E">
              <w:rPr>
                <w:b w:val="0"/>
                <w:i/>
                <w:iCs/>
              </w:rPr>
              <w:t xml:space="preserve">QDAN </w:t>
            </w:r>
            <w:r w:rsidRPr="00F44218">
              <w:rPr>
                <w:b w:val="0"/>
                <w:i/>
                <w:iCs/>
              </w:rPr>
              <w:t>673 v.1 Building and Construction Industry Payments Agency retention and disposal schedule</w:t>
            </w:r>
            <w:r>
              <w:rPr>
                <w:b w:val="0"/>
                <w:i/>
                <w:iCs/>
              </w:rPr>
              <w:t xml:space="preserve"> </w:t>
            </w:r>
            <w:r w:rsidRPr="001D4773">
              <w:rPr>
                <w:b w:val="0"/>
              </w:rPr>
              <w:t>1.</w:t>
            </w:r>
            <w:r>
              <w:rPr>
                <w:b w:val="0"/>
              </w:rPr>
              <w:t>3.1 Complaint record – retain for 4 years after last action.</w:t>
            </w:r>
          </w:p>
        </w:tc>
      </w:tr>
    </w:tbl>
    <w:p w14:paraId="72BDECC5" w14:textId="6A652100" w:rsidR="005F199E" w:rsidRDefault="005F199E" w:rsidP="00F8629C"/>
    <w:p w14:paraId="7D9E4CCA" w14:textId="77777777" w:rsidR="00694273" w:rsidRDefault="00694273" w:rsidP="00F8629C">
      <w:r>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694273" w:rsidRPr="004A453A" w14:paraId="29524569" w14:textId="77777777" w:rsidTr="002215E0">
        <w:tc>
          <w:tcPr>
            <w:tcW w:w="1077" w:type="pct"/>
            <w:shd w:val="clear" w:color="auto" w:fill="E0E0E0"/>
          </w:tcPr>
          <w:p w14:paraId="3CF4EB67" w14:textId="77777777" w:rsidR="00694273" w:rsidRPr="004A453A" w:rsidRDefault="00694273" w:rsidP="002215E0">
            <w:pPr>
              <w:spacing w:before="60" w:after="60"/>
              <w:jc w:val="center"/>
              <w:rPr>
                <w:b/>
                <w:lang w:eastAsia="en-AU"/>
              </w:rPr>
            </w:pPr>
            <w:r>
              <w:lastRenderedPageBreak/>
              <w:br w:type="page"/>
            </w:r>
            <w:r w:rsidRPr="004A453A">
              <w:rPr>
                <w:b/>
                <w:lang w:eastAsia="en-AU"/>
              </w:rPr>
              <w:t>Title</w:t>
            </w:r>
          </w:p>
        </w:tc>
        <w:tc>
          <w:tcPr>
            <w:tcW w:w="3923" w:type="pct"/>
            <w:shd w:val="clear" w:color="auto" w:fill="E0E0E0"/>
          </w:tcPr>
          <w:p w14:paraId="1AF7A3C4" w14:textId="77777777" w:rsidR="00694273" w:rsidRPr="004A453A" w:rsidRDefault="00694273" w:rsidP="002215E0">
            <w:pPr>
              <w:spacing w:before="60" w:after="60"/>
              <w:jc w:val="center"/>
              <w:rPr>
                <w:b/>
                <w:lang w:eastAsia="en-AU"/>
              </w:rPr>
            </w:pPr>
            <w:r w:rsidRPr="004A453A">
              <w:rPr>
                <w:b/>
                <w:lang w:eastAsia="en-AU"/>
              </w:rPr>
              <w:t>Scope Note</w:t>
            </w:r>
          </w:p>
        </w:tc>
      </w:tr>
      <w:tr w:rsidR="00694273" w:rsidRPr="004A453A" w14:paraId="14C4C072" w14:textId="77777777" w:rsidTr="002215E0">
        <w:tc>
          <w:tcPr>
            <w:tcW w:w="1077" w:type="pct"/>
          </w:tcPr>
          <w:p w14:paraId="23F31F33" w14:textId="77777777" w:rsidR="00694273" w:rsidRPr="00254930" w:rsidRDefault="00694273" w:rsidP="00694273">
            <w:pPr>
              <w:pStyle w:val="Scopenote"/>
              <w:rPr>
                <w:rFonts w:cs="Arial"/>
                <w:b/>
                <w:i w:val="0"/>
                <w:szCs w:val="22"/>
              </w:rPr>
            </w:pPr>
            <w:r w:rsidRPr="00254930">
              <w:rPr>
                <w:rFonts w:cs="Arial"/>
                <w:b/>
                <w:i w:val="0"/>
                <w:szCs w:val="22"/>
              </w:rPr>
              <w:t>PROJECT TRUST ACCOUNTS</w:t>
            </w:r>
          </w:p>
          <w:p w14:paraId="543D9141" w14:textId="57639FB7" w:rsidR="00694273" w:rsidRPr="00634D63" w:rsidRDefault="00694273" w:rsidP="002215E0">
            <w:pPr>
              <w:pStyle w:val="Heading1"/>
            </w:pPr>
          </w:p>
        </w:tc>
        <w:tc>
          <w:tcPr>
            <w:tcW w:w="3923" w:type="pct"/>
          </w:tcPr>
          <w:p w14:paraId="58FA48B9" w14:textId="7F1A8023" w:rsidR="00694273" w:rsidRPr="00E35904" w:rsidRDefault="00694273" w:rsidP="002215E0">
            <w:pPr>
              <w:pStyle w:val="Scopenote"/>
            </w:pPr>
            <w:r w:rsidRPr="00254930">
              <w:rPr>
                <w:rFonts w:cs="Arial"/>
                <w:szCs w:val="22"/>
              </w:rPr>
              <w:t>The function of monitoring compliance with project and retention trust account obligations which together aim to protect payments to sub-contractors and reduce contractor insolvencies</w:t>
            </w:r>
            <w:r>
              <w:rPr>
                <w:rFonts w:cs="Arial"/>
                <w:szCs w:val="22"/>
              </w:rPr>
              <w:t>.</w:t>
            </w:r>
          </w:p>
        </w:tc>
      </w:tr>
    </w:tbl>
    <w:p w14:paraId="49F8314F" w14:textId="5D28C84A" w:rsidR="00694273" w:rsidRDefault="00694273"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2721"/>
        <w:gridCol w:w="10477"/>
      </w:tblGrid>
      <w:tr w:rsidR="00694273" w:rsidRPr="004A453A" w14:paraId="56F2B14F" w14:textId="77777777" w:rsidTr="00384B0E">
        <w:trPr>
          <w:tblHeader/>
        </w:trPr>
        <w:tc>
          <w:tcPr>
            <w:tcW w:w="567" w:type="pct"/>
            <w:tcBorders>
              <w:top w:val="single" w:sz="6" w:space="0" w:color="C0C0C0"/>
              <w:bottom w:val="single" w:sz="6" w:space="0" w:color="C0C0C0"/>
            </w:tcBorders>
            <w:shd w:val="clear" w:color="auto" w:fill="C0C0C0"/>
            <w:vAlign w:val="center"/>
          </w:tcPr>
          <w:p w14:paraId="4D2B9BA5" w14:textId="77777777" w:rsidR="00694273" w:rsidRPr="003B6B5D" w:rsidRDefault="00694273" w:rsidP="002215E0">
            <w:pPr>
              <w:pStyle w:val="Tablesub-heading"/>
              <w:rPr>
                <w:szCs w:val="22"/>
              </w:rPr>
            </w:pPr>
            <w:r w:rsidRPr="003B6B5D">
              <w:t>Disposal Authorisation</w:t>
            </w:r>
          </w:p>
        </w:tc>
        <w:tc>
          <w:tcPr>
            <w:tcW w:w="914" w:type="pct"/>
            <w:tcBorders>
              <w:top w:val="single" w:sz="6" w:space="0" w:color="C0C0C0"/>
              <w:bottom w:val="single" w:sz="6" w:space="0" w:color="C0C0C0"/>
            </w:tcBorders>
            <w:shd w:val="clear" w:color="auto" w:fill="C0C0C0"/>
            <w:vAlign w:val="center"/>
          </w:tcPr>
          <w:p w14:paraId="1CFEDC57" w14:textId="77777777" w:rsidR="00694273" w:rsidRPr="004A453A" w:rsidRDefault="00694273" w:rsidP="002215E0">
            <w:pPr>
              <w:pStyle w:val="Tablesub-heading"/>
            </w:pPr>
            <w:r>
              <w:t>Record class</w:t>
            </w:r>
            <w:r w:rsidRPr="004A453A">
              <w:t xml:space="preserve"> and retention period</w:t>
            </w:r>
          </w:p>
        </w:tc>
        <w:tc>
          <w:tcPr>
            <w:tcW w:w="3519" w:type="pct"/>
            <w:tcBorders>
              <w:top w:val="single" w:sz="6" w:space="0" w:color="C0C0C0"/>
              <w:bottom w:val="single" w:sz="6" w:space="0" w:color="C0C0C0"/>
            </w:tcBorders>
            <w:shd w:val="clear" w:color="auto" w:fill="C0C0C0"/>
            <w:vAlign w:val="center"/>
          </w:tcPr>
          <w:p w14:paraId="7857AF72" w14:textId="77777777" w:rsidR="00694273" w:rsidRPr="004A453A" w:rsidRDefault="00694273" w:rsidP="002215E0">
            <w:pPr>
              <w:pStyle w:val="Tablesub-heading"/>
            </w:pPr>
            <w:r>
              <w:t>Justifying</w:t>
            </w:r>
            <w:r w:rsidRPr="004A453A">
              <w:t xml:space="preserve"> </w:t>
            </w:r>
            <w:r>
              <w:t>the</w:t>
            </w:r>
            <w:r w:rsidRPr="004A453A">
              <w:t xml:space="preserve"> retention period</w:t>
            </w:r>
          </w:p>
        </w:tc>
      </w:tr>
      <w:tr w:rsidR="00694273" w:rsidRPr="004A453A" w14:paraId="4BC0A68B" w14:textId="77777777" w:rsidTr="00384B0E">
        <w:tc>
          <w:tcPr>
            <w:tcW w:w="567" w:type="pct"/>
            <w:tcBorders>
              <w:top w:val="single" w:sz="6" w:space="0" w:color="C0C0C0"/>
              <w:bottom w:val="single" w:sz="6" w:space="0" w:color="C0C0C0"/>
            </w:tcBorders>
            <w:shd w:val="clear" w:color="auto" w:fill="auto"/>
          </w:tcPr>
          <w:p w14:paraId="3788F825" w14:textId="794D25F0" w:rsidR="00694273" w:rsidRPr="004A453A" w:rsidRDefault="00E64752" w:rsidP="002215E0">
            <w:pPr>
              <w:pStyle w:val="Tablesub-heading"/>
              <w:rPr>
                <w:b w:val="0"/>
                <w:szCs w:val="22"/>
              </w:rPr>
            </w:pPr>
            <w:r>
              <w:rPr>
                <w:b w:val="0"/>
                <w:szCs w:val="22"/>
              </w:rPr>
              <w:t>2789</w:t>
            </w:r>
          </w:p>
        </w:tc>
        <w:tc>
          <w:tcPr>
            <w:tcW w:w="914" w:type="pct"/>
            <w:tcBorders>
              <w:top w:val="single" w:sz="6" w:space="0" w:color="C0C0C0"/>
              <w:bottom w:val="single" w:sz="6" w:space="0" w:color="C0C0C0"/>
            </w:tcBorders>
            <w:shd w:val="clear" w:color="auto" w:fill="auto"/>
          </w:tcPr>
          <w:p w14:paraId="5D4851D2" w14:textId="77777777" w:rsidR="00694273" w:rsidRPr="00917033" w:rsidRDefault="00694273" w:rsidP="00694273">
            <w:pPr>
              <w:pStyle w:val="Tablesub-heading"/>
              <w:rPr>
                <w:i/>
                <w:szCs w:val="22"/>
              </w:rPr>
            </w:pPr>
            <w:r>
              <w:rPr>
                <w:i/>
                <w:noProof/>
                <w:szCs w:val="22"/>
              </w:rPr>
              <w:t xml:space="preserve">Management of Trust Accounts </w:t>
            </w:r>
          </w:p>
          <w:p w14:paraId="70F68B19" w14:textId="12CBAFD4" w:rsidR="00694273" w:rsidRPr="004A453A" w:rsidRDefault="00694273" w:rsidP="00694273">
            <w:pPr>
              <w:pStyle w:val="Tablesub-heading"/>
              <w:rPr>
                <w:szCs w:val="22"/>
              </w:rPr>
            </w:pPr>
            <w:r>
              <w:rPr>
                <w:b w:val="0"/>
                <w:noProof/>
                <w:szCs w:val="22"/>
              </w:rPr>
              <w:t xml:space="preserve">Records of notifications for Project or Retention Trust accounts (PTA / RTA) received in accordance with the </w:t>
            </w:r>
            <w:r w:rsidRPr="00C17E9B">
              <w:rPr>
                <w:b w:val="0"/>
                <w:i/>
                <w:iCs/>
                <w:noProof/>
                <w:szCs w:val="22"/>
              </w:rPr>
              <w:t>Building Industry Fairness (Security of Payment) Act</w:t>
            </w:r>
            <w:r>
              <w:rPr>
                <w:b w:val="0"/>
                <w:noProof/>
                <w:szCs w:val="22"/>
              </w:rPr>
              <w:t xml:space="preserve"> </w:t>
            </w:r>
            <w:r w:rsidRPr="009A33B0">
              <w:rPr>
                <w:b w:val="0"/>
                <w:i/>
                <w:iCs/>
                <w:noProof/>
                <w:szCs w:val="22"/>
              </w:rPr>
              <w:t>2017</w:t>
            </w:r>
            <w:r>
              <w:rPr>
                <w:b w:val="0"/>
                <w:noProof/>
                <w:szCs w:val="22"/>
              </w:rPr>
              <w:t xml:space="preserve">.  </w:t>
            </w:r>
          </w:p>
          <w:p w14:paraId="753570B1" w14:textId="77777777" w:rsidR="00694273" w:rsidRPr="00634D63" w:rsidRDefault="00694273" w:rsidP="002215E0">
            <w:pPr>
              <w:pStyle w:val="Heading2"/>
            </w:pPr>
            <w:r w:rsidRPr="00634D63">
              <w:t xml:space="preserve">Disposal action – </w:t>
            </w:r>
          </w:p>
          <w:p w14:paraId="1E313FCC" w14:textId="2A4975B0" w:rsidR="00694273" w:rsidRPr="004A453A" w:rsidRDefault="00694273" w:rsidP="002215E0">
            <w:pPr>
              <w:pStyle w:val="Tablesub-heading"/>
              <w:rPr>
                <w:b w:val="0"/>
              </w:rPr>
            </w:pPr>
            <w:r>
              <w:rPr>
                <w:b w:val="0"/>
                <w:noProof/>
              </w:rPr>
              <w:t>7 years after business action completed.</w:t>
            </w:r>
          </w:p>
        </w:tc>
        <w:tc>
          <w:tcPr>
            <w:tcW w:w="3519" w:type="pct"/>
            <w:tcBorders>
              <w:top w:val="single" w:sz="6" w:space="0" w:color="C0C0C0"/>
              <w:bottom w:val="single" w:sz="6" w:space="0" w:color="C0C0C0"/>
            </w:tcBorders>
            <w:shd w:val="clear" w:color="auto" w:fill="auto"/>
          </w:tcPr>
          <w:p w14:paraId="62693492" w14:textId="1074D27E" w:rsidR="00694273" w:rsidRPr="004A453A" w:rsidRDefault="00694273" w:rsidP="002215E0">
            <w:pPr>
              <w:pStyle w:val="Tablesub-heading"/>
              <w:rPr>
                <w:b w:val="0"/>
                <w:szCs w:val="22"/>
              </w:rPr>
            </w:pPr>
            <w:r>
              <w:t xml:space="preserve">Date authorised: </w:t>
            </w:r>
            <w:r w:rsidR="00067BF0">
              <w:rPr>
                <w:b w:val="0"/>
              </w:rPr>
              <w:t>15 December 2023</w:t>
            </w:r>
          </w:p>
          <w:p w14:paraId="7912BF78" w14:textId="77777777" w:rsidR="00694273" w:rsidRPr="00634D63" w:rsidRDefault="00694273" w:rsidP="002215E0">
            <w:pPr>
              <w:pStyle w:val="Heading2"/>
            </w:pPr>
            <w:r w:rsidRPr="00634D63">
              <w:t>Why are these records created:</w:t>
            </w:r>
          </w:p>
          <w:p w14:paraId="5B5229C2" w14:textId="49E89368" w:rsidR="00694273" w:rsidRPr="00057427" w:rsidRDefault="00694273" w:rsidP="00694273">
            <w:pPr>
              <w:pStyle w:val="Tablesub-heading"/>
              <w:rPr>
                <w:b w:val="0"/>
                <w:noProof/>
                <w:szCs w:val="22"/>
              </w:rPr>
            </w:pPr>
            <w:r>
              <w:rPr>
                <w:b w:val="0"/>
                <w:noProof/>
                <w:szCs w:val="22"/>
              </w:rPr>
              <w:t xml:space="preserve">Keep and maintain records of trust account notifications in accordance with part 1, section 7 of the  </w:t>
            </w:r>
            <w:r w:rsidRPr="00C17E9B">
              <w:rPr>
                <w:b w:val="0"/>
                <w:i/>
                <w:iCs/>
                <w:noProof/>
                <w:szCs w:val="22"/>
              </w:rPr>
              <w:t>Building Industry Fairness (Security of Payment) Act</w:t>
            </w:r>
            <w:r>
              <w:rPr>
                <w:b w:val="0"/>
                <w:noProof/>
                <w:szCs w:val="22"/>
              </w:rPr>
              <w:t xml:space="preserve"> </w:t>
            </w:r>
            <w:r w:rsidRPr="009A33B0">
              <w:rPr>
                <w:b w:val="0"/>
                <w:i/>
                <w:iCs/>
                <w:noProof/>
                <w:szCs w:val="22"/>
              </w:rPr>
              <w:t>2017</w:t>
            </w:r>
            <w:r>
              <w:rPr>
                <w:b w:val="0"/>
                <w:noProof/>
                <w:szCs w:val="22"/>
              </w:rPr>
              <w:t>. The main purpose of the trust account is to ensure that funds paid to th</w:t>
            </w:r>
            <w:r w:rsidRPr="00057427">
              <w:rPr>
                <w:b w:val="0"/>
                <w:noProof/>
                <w:szCs w:val="22"/>
              </w:rPr>
              <w:t xml:space="preserve">e contracted party for particular contracts are held in a trust to protect the interests of subcontractors.  Mangement of trust account notifications include: </w:t>
            </w:r>
          </w:p>
          <w:p w14:paraId="7A18DF06" w14:textId="174615BA" w:rsidR="00694273" w:rsidRPr="00057427" w:rsidRDefault="00694273" w:rsidP="00694273">
            <w:pPr>
              <w:pStyle w:val="Tablesub-heading"/>
              <w:numPr>
                <w:ilvl w:val="0"/>
                <w:numId w:val="32"/>
              </w:numPr>
              <w:rPr>
                <w:b w:val="0"/>
                <w:noProof/>
                <w:szCs w:val="22"/>
              </w:rPr>
            </w:pPr>
            <w:r w:rsidRPr="00057427">
              <w:rPr>
                <w:b w:val="0"/>
                <w:noProof/>
                <w:szCs w:val="22"/>
              </w:rPr>
              <w:t xml:space="preserve">Web based registers are maintained in accordance with the </w:t>
            </w:r>
            <w:r w:rsidRPr="009A33B0">
              <w:rPr>
                <w:b w:val="0"/>
                <w:i/>
                <w:iCs/>
                <w:noProof/>
                <w:szCs w:val="22"/>
              </w:rPr>
              <w:t>Building Industry Fairness (Security of Payment) Act 2017</w:t>
            </w:r>
            <w:r w:rsidRPr="00057427">
              <w:rPr>
                <w:b w:val="0"/>
                <w:noProof/>
                <w:szCs w:val="22"/>
              </w:rPr>
              <w:t xml:space="preserve">. </w:t>
            </w:r>
          </w:p>
          <w:p w14:paraId="2730EA6F" w14:textId="77777777" w:rsidR="00694273" w:rsidRDefault="00694273" w:rsidP="00694273">
            <w:pPr>
              <w:pStyle w:val="Tablesub-heading"/>
              <w:numPr>
                <w:ilvl w:val="0"/>
                <w:numId w:val="32"/>
              </w:numPr>
              <w:rPr>
                <w:b w:val="0"/>
                <w:noProof/>
                <w:szCs w:val="22"/>
              </w:rPr>
            </w:pPr>
            <w:r w:rsidRPr="00057427">
              <w:rPr>
                <w:b w:val="0"/>
                <w:szCs w:val="22"/>
              </w:rPr>
              <w:t>R</w:t>
            </w:r>
            <w:r w:rsidRPr="00057427">
              <w:rPr>
                <w:b w:val="0"/>
                <w:noProof/>
                <w:szCs w:val="22"/>
              </w:rPr>
              <w:t xml:space="preserve">ecords of regulatory audits undertaken by the agency which support the taking of possible remedial or legal action and supports compliance based metrics and measurables.  </w:t>
            </w:r>
          </w:p>
          <w:p w14:paraId="1A9E648A" w14:textId="77777777" w:rsidR="00694273" w:rsidRPr="00057427" w:rsidRDefault="00694273" w:rsidP="00694273">
            <w:pPr>
              <w:pStyle w:val="Tablesub-heading"/>
              <w:numPr>
                <w:ilvl w:val="0"/>
                <w:numId w:val="32"/>
              </w:numPr>
              <w:rPr>
                <w:b w:val="0"/>
                <w:szCs w:val="22"/>
              </w:rPr>
            </w:pPr>
            <w:r w:rsidRPr="00057427">
              <w:rPr>
                <w:b w:val="0"/>
                <w:noProof/>
                <w:szCs w:val="22"/>
              </w:rPr>
              <w:t>Records used to assess and investigate complaints and collate corroborative information and/or evidence so as to take remedial or legal action where deemed appropiate to do so.</w:t>
            </w:r>
          </w:p>
          <w:p w14:paraId="7544570B" w14:textId="77777777" w:rsidR="00694273" w:rsidRPr="00634D63" w:rsidRDefault="00694273" w:rsidP="002215E0">
            <w:pPr>
              <w:pStyle w:val="Heading2"/>
            </w:pPr>
            <w:r w:rsidRPr="00634D63">
              <w:t>Why the records are retained for this retention period:</w:t>
            </w:r>
          </w:p>
          <w:p w14:paraId="702DAC9B" w14:textId="77777777" w:rsidR="00694273" w:rsidRPr="00057427" w:rsidRDefault="00694273" w:rsidP="00694273">
            <w:pPr>
              <w:pStyle w:val="Tablesub-heading"/>
              <w:rPr>
                <w:b w:val="0"/>
                <w:szCs w:val="22"/>
              </w:rPr>
            </w:pPr>
            <w:r w:rsidRPr="00057427">
              <w:rPr>
                <w:b w:val="0"/>
                <w:noProof/>
                <w:szCs w:val="22"/>
              </w:rPr>
              <w:t>This is a new buisness activity for the QBCC that is still being developed.</w:t>
            </w:r>
            <w:r w:rsidRPr="00057427">
              <w:rPr>
                <w:b w:val="0"/>
                <w:szCs w:val="22"/>
              </w:rPr>
              <w:t xml:space="preserve"> </w:t>
            </w:r>
          </w:p>
          <w:p w14:paraId="2343B65D" w14:textId="309ADA33" w:rsidR="00694273" w:rsidRPr="00057427" w:rsidRDefault="00694273" w:rsidP="00694273">
            <w:pPr>
              <w:pStyle w:val="Heading2"/>
              <w:shd w:val="clear" w:color="auto" w:fill="FFFFFF"/>
              <w:rPr>
                <w:rFonts w:ascii="Arial" w:hAnsi="Arial" w:cs="Arial"/>
                <w:b w:val="0"/>
                <w:bCs/>
              </w:rPr>
            </w:pPr>
            <w:r w:rsidRPr="00057427">
              <w:rPr>
                <w:rFonts w:ascii="Arial" w:hAnsi="Arial" w:cs="Arial"/>
                <w:b w:val="0"/>
                <w:bCs/>
              </w:rPr>
              <w:t>A seven</w:t>
            </w:r>
            <w:r w:rsidR="008564A8">
              <w:rPr>
                <w:rFonts w:ascii="Arial" w:hAnsi="Arial" w:cs="Arial"/>
                <w:b w:val="0"/>
                <w:bCs/>
              </w:rPr>
              <w:t>-</w:t>
            </w:r>
            <w:r w:rsidRPr="00057427">
              <w:rPr>
                <w:rFonts w:ascii="Arial" w:hAnsi="Arial" w:cs="Arial"/>
                <w:b w:val="0"/>
                <w:bCs/>
              </w:rPr>
              <w:t xml:space="preserve">year retention period supports the gathering of evidence for potential regulatory or legal action and ensures that the records are available in the event of any legal claims brought in accordance with s.10 (1) and (2) of the </w:t>
            </w:r>
            <w:r w:rsidRPr="009A33B0">
              <w:rPr>
                <w:rFonts w:ascii="Arial" w:hAnsi="Arial" w:cs="Arial"/>
                <w:b w:val="0"/>
                <w:bCs/>
                <w:i/>
                <w:iCs/>
              </w:rPr>
              <w:t>Limitation of Actions Act 1974</w:t>
            </w:r>
            <w:r w:rsidRPr="00057427">
              <w:rPr>
                <w:rFonts w:ascii="Arial" w:hAnsi="Arial" w:cs="Arial"/>
                <w:b w:val="0"/>
                <w:bCs/>
              </w:rPr>
              <w:t xml:space="preserve">. </w:t>
            </w:r>
          </w:p>
          <w:p w14:paraId="77B7D198" w14:textId="77777777" w:rsidR="00694273" w:rsidRPr="00211D94" w:rsidRDefault="00694273" w:rsidP="00694273">
            <w:pPr>
              <w:pStyle w:val="Heading2"/>
              <w:shd w:val="clear" w:color="auto" w:fill="FFFFFF"/>
              <w:rPr>
                <w:rFonts w:ascii="Arial" w:hAnsi="Arial" w:cs="Arial"/>
                <w:b w:val="0"/>
                <w:bCs/>
              </w:rPr>
            </w:pPr>
            <w:r w:rsidRPr="00057427">
              <w:rPr>
                <w:rFonts w:ascii="Arial" w:hAnsi="Arial" w:cs="Arial"/>
                <w:b w:val="0"/>
                <w:bCs/>
              </w:rPr>
              <w:t xml:space="preserve">The seven-year retention period supports the decisions of the business by providing evidence of actions taken and ensures that records are available for a sufficient period of time to be referred back to if </w:t>
            </w:r>
            <w:r>
              <w:rPr>
                <w:rFonts w:ascii="Arial" w:hAnsi="Arial" w:cs="Arial"/>
                <w:b w:val="0"/>
                <w:bCs/>
              </w:rPr>
              <w:t xml:space="preserve">so </w:t>
            </w:r>
            <w:r w:rsidRPr="00057427">
              <w:rPr>
                <w:rFonts w:ascii="Arial" w:hAnsi="Arial" w:cs="Arial"/>
                <w:b w:val="0"/>
                <w:bCs/>
              </w:rPr>
              <w:t>required.</w:t>
            </w:r>
          </w:p>
          <w:p w14:paraId="0CA8EACC" w14:textId="41C11640" w:rsidR="00694273" w:rsidRPr="00634D63" w:rsidRDefault="00694273" w:rsidP="008564A8">
            <w:pPr>
              <w:pStyle w:val="Tablesub-heading"/>
            </w:pPr>
            <w:r>
              <w:rPr>
                <w:b w:val="0"/>
                <w:szCs w:val="22"/>
              </w:rPr>
              <w:t xml:space="preserve"> </w:t>
            </w:r>
            <w:r w:rsidRPr="00634D63">
              <w:t>Applicable legislation/standards:</w:t>
            </w:r>
          </w:p>
          <w:p w14:paraId="75242B0E" w14:textId="77777777" w:rsidR="00694273" w:rsidRPr="00C66CC8" w:rsidRDefault="00694273" w:rsidP="00694273">
            <w:pPr>
              <w:pStyle w:val="Heading2"/>
              <w:rPr>
                <w:rFonts w:ascii="Arial" w:hAnsi="Arial" w:cs="Arial"/>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p>
          <w:p w14:paraId="1847D41F" w14:textId="77777777" w:rsidR="00694273" w:rsidRPr="00634D63" w:rsidRDefault="00694273" w:rsidP="002215E0">
            <w:pPr>
              <w:pStyle w:val="Heading2"/>
            </w:pPr>
            <w:r w:rsidRPr="00634D63">
              <w:lastRenderedPageBreak/>
              <w:t xml:space="preserve">Comparison with other schedules' retention period: </w:t>
            </w:r>
          </w:p>
          <w:p w14:paraId="12FFE149" w14:textId="77777777" w:rsidR="00694273" w:rsidRDefault="00694273" w:rsidP="00694273">
            <w:pPr>
              <w:pStyle w:val="Tablesub-heading"/>
              <w:rPr>
                <w:b w:val="0"/>
                <w:szCs w:val="22"/>
              </w:rPr>
            </w:pPr>
            <w:r w:rsidRPr="003E24C7">
              <w:rPr>
                <w:b w:val="0"/>
                <w:i/>
                <w:iCs/>
                <w:noProof/>
                <w:szCs w:val="22"/>
              </w:rPr>
              <w:t>General Retention and Disposal Schedule</w:t>
            </w:r>
            <w:r>
              <w:rPr>
                <w:b w:val="0"/>
                <w:noProof/>
                <w:szCs w:val="22"/>
              </w:rPr>
              <w:t xml:space="preserve"> – 1110 - Trusts – Establishment of – retain 7 years after the disbursement of all assets \ funds. </w:t>
            </w:r>
          </w:p>
          <w:p w14:paraId="7D727346" w14:textId="77777777" w:rsidR="00694273" w:rsidRDefault="00694273" w:rsidP="00694273">
            <w:pPr>
              <w:pStyle w:val="Tablesub-heading"/>
              <w:rPr>
                <w:b w:val="0"/>
                <w:szCs w:val="22"/>
              </w:rPr>
            </w:pPr>
            <w:r w:rsidRPr="003E24C7">
              <w:rPr>
                <w:b w:val="0"/>
                <w:i/>
                <w:iCs/>
                <w:szCs w:val="22"/>
              </w:rPr>
              <w:t>QDAN 651. v.1 Public Trust Office of Queensland</w:t>
            </w:r>
            <w:r>
              <w:rPr>
                <w:b w:val="0"/>
                <w:szCs w:val="22"/>
              </w:rPr>
              <w:t xml:space="preserve"> 7.1.6 – Trusts (sub-files) – retain for 10 years after                                                         last action - as issued by Queensland State Archives (QSA). </w:t>
            </w:r>
          </w:p>
          <w:p w14:paraId="2ABD48C1" w14:textId="77777777" w:rsidR="00694273" w:rsidRDefault="00694273" w:rsidP="00694273">
            <w:pPr>
              <w:pStyle w:val="Tablesub-heading"/>
              <w:rPr>
                <w:b w:val="0"/>
                <w:szCs w:val="22"/>
              </w:rPr>
            </w:pPr>
            <w:r w:rsidRPr="00393447">
              <w:rPr>
                <w:b w:val="0"/>
                <w:i/>
                <w:iCs/>
                <w:szCs w:val="22"/>
              </w:rPr>
              <w:t>RA 2019/00447636 for the Australian Building and Construction Commission (ABCC)</w:t>
            </w:r>
            <w:r>
              <w:rPr>
                <w:b w:val="0"/>
                <w:szCs w:val="22"/>
              </w:rPr>
              <w:t xml:space="preserve">, 62698 - Investigation cases (initial complaint/s, interviews, site visits, photographs, notices, actions decisions), retain for 7 years, as issued by the National Archives of Australia (NAA). </w:t>
            </w:r>
          </w:p>
          <w:p w14:paraId="16A175C4" w14:textId="6AA94F14" w:rsidR="00694273" w:rsidRPr="004A453A" w:rsidRDefault="00694273" w:rsidP="00694273">
            <w:pPr>
              <w:pStyle w:val="Tablesub-heading"/>
              <w:keepLines/>
              <w:contextualSpacing/>
              <w:rPr>
                <w:b w:val="0"/>
                <w:szCs w:val="22"/>
              </w:rPr>
            </w:pPr>
            <w:r w:rsidRPr="003E24C7">
              <w:rPr>
                <w:b w:val="0"/>
                <w:i/>
                <w:iCs/>
                <w:noProof/>
                <w:szCs w:val="22"/>
              </w:rPr>
              <w:t>QDAN 742 v.2 Queensland Racing Integrity Commission (QRIC)</w:t>
            </w:r>
            <w:r>
              <w:rPr>
                <w:b w:val="0"/>
                <w:noProof/>
                <w:szCs w:val="22"/>
              </w:rPr>
              <w:t xml:space="preserve"> 1.8.1 – Complaints Resolution – retain for 7 years after action completed.</w:t>
            </w:r>
          </w:p>
          <w:p w14:paraId="711F5703" w14:textId="77777777" w:rsidR="00694273" w:rsidRPr="00634D63" w:rsidRDefault="00694273" w:rsidP="002215E0">
            <w:pPr>
              <w:pStyle w:val="Heading2"/>
            </w:pPr>
            <w:r w:rsidRPr="00634D63">
              <w:t>Previous schedule references:</w:t>
            </w:r>
          </w:p>
          <w:p w14:paraId="5A5A0D64" w14:textId="0BBA1039" w:rsidR="00694273" w:rsidRPr="004A453A" w:rsidRDefault="00694273" w:rsidP="002215E0">
            <w:pPr>
              <w:pStyle w:val="Tablesub-heading"/>
              <w:rPr>
                <w:b w:val="0"/>
                <w:szCs w:val="22"/>
              </w:rPr>
            </w:pPr>
            <w:r>
              <w:rPr>
                <w:b w:val="0"/>
                <w:szCs w:val="22"/>
              </w:rPr>
              <w:t>New disposal authorisation.</w:t>
            </w:r>
          </w:p>
        </w:tc>
      </w:tr>
    </w:tbl>
    <w:p w14:paraId="0098A2D7" w14:textId="578E057A" w:rsidR="00E5206F" w:rsidRDefault="00E5206F" w:rsidP="00F8629C"/>
    <w:p w14:paraId="1CE913F9" w14:textId="77777777" w:rsidR="00E5206F" w:rsidRDefault="00E5206F" w:rsidP="00F8629C">
      <w:r>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E5206F" w:rsidRPr="004A453A" w14:paraId="16EE960A" w14:textId="77777777" w:rsidTr="002215E0">
        <w:tc>
          <w:tcPr>
            <w:tcW w:w="1077" w:type="pct"/>
            <w:shd w:val="clear" w:color="auto" w:fill="E0E0E0"/>
          </w:tcPr>
          <w:p w14:paraId="34B00083" w14:textId="77777777" w:rsidR="00E5206F" w:rsidRPr="004A453A" w:rsidRDefault="00E5206F" w:rsidP="002215E0">
            <w:pPr>
              <w:spacing w:before="60" w:after="60"/>
              <w:jc w:val="center"/>
              <w:rPr>
                <w:b/>
                <w:lang w:eastAsia="en-AU"/>
              </w:rPr>
            </w:pPr>
            <w:r>
              <w:lastRenderedPageBreak/>
              <w:br w:type="page"/>
            </w:r>
            <w:r w:rsidRPr="004A453A">
              <w:rPr>
                <w:b/>
                <w:lang w:eastAsia="en-AU"/>
              </w:rPr>
              <w:t>Title</w:t>
            </w:r>
          </w:p>
        </w:tc>
        <w:tc>
          <w:tcPr>
            <w:tcW w:w="3923" w:type="pct"/>
            <w:shd w:val="clear" w:color="auto" w:fill="E0E0E0"/>
          </w:tcPr>
          <w:p w14:paraId="5F107F40" w14:textId="77777777" w:rsidR="00E5206F" w:rsidRPr="004A453A" w:rsidRDefault="00E5206F" w:rsidP="002215E0">
            <w:pPr>
              <w:spacing w:before="60" w:after="60"/>
              <w:jc w:val="center"/>
              <w:rPr>
                <w:b/>
                <w:lang w:eastAsia="en-AU"/>
              </w:rPr>
            </w:pPr>
            <w:r w:rsidRPr="004A453A">
              <w:rPr>
                <w:b/>
                <w:lang w:eastAsia="en-AU"/>
              </w:rPr>
              <w:t>Scope Note</w:t>
            </w:r>
          </w:p>
        </w:tc>
      </w:tr>
      <w:tr w:rsidR="00E5206F" w:rsidRPr="004A453A" w14:paraId="253D3D53" w14:textId="77777777" w:rsidTr="002215E0">
        <w:tc>
          <w:tcPr>
            <w:tcW w:w="1077" w:type="pct"/>
          </w:tcPr>
          <w:p w14:paraId="59D505E5" w14:textId="77777777" w:rsidR="00E5206F" w:rsidRDefault="00E5206F" w:rsidP="00E5206F">
            <w:pPr>
              <w:pStyle w:val="Scopenote"/>
              <w:rPr>
                <w:b/>
                <w:i w:val="0"/>
              </w:rPr>
            </w:pPr>
            <w:r>
              <w:rPr>
                <w:b/>
                <w:i w:val="0"/>
              </w:rPr>
              <w:t>SAFER BUILDINGS</w:t>
            </w:r>
          </w:p>
          <w:p w14:paraId="59FEC4AA" w14:textId="48E37A3B" w:rsidR="00E5206F" w:rsidRPr="00634D63" w:rsidRDefault="00E5206F" w:rsidP="002215E0">
            <w:pPr>
              <w:pStyle w:val="Heading1"/>
            </w:pPr>
          </w:p>
        </w:tc>
        <w:tc>
          <w:tcPr>
            <w:tcW w:w="3923" w:type="pct"/>
          </w:tcPr>
          <w:p w14:paraId="1DCB8F18" w14:textId="7D18B884" w:rsidR="00E5206F" w:rsidRPr="00E35904" w:rsidRDefault="00E5206F" w:rsidP="002215E0">
            <w:pPr>
              <w:pStyle w:val="Scopenote"/>
            </w:pPr>
            <w:r w:rsidRPr="005C6017">
              <w:rPr>
                <w:rFonts w:cs="Arial"/>
                <w:szCs w:val="22"/>
              </w:rPr>
              <w:t xml:space="preserve">The </w:t>
            </w:r>
            <w:r>
              <w:rPr>
                <w:rFonts w:cs="Arial"/>
                <w:szCs w:val="22"/>
              </w:rPr>
              <w:t>function</w:t>
            </w:r>
            <w:r w:rsidRPr="005C6017">
              <w:rPr>
                <w:rFonts w:cs="Arial"/>
                <w:szCs w:val="22"/>
              </w:rPr>
              <w:t xml:space="preserve"> of monitoring and enforcing compliance with the use and application of combustible cladding in accordance with the Building Act 1975, Building Regulation 20</w:t>
            </w:r>
            <w:r>
              <w:rPr>
                <w:rFonts w:cs="Arial"/>
                <w:szCs w:val="22"/>
              </w:rPr>
              <w:t>21</w:t>
            </w:r>
            <w:r w:rsidRPr="005C6017">
              <w:rPr>
                <w:rFonts w:cs="Arial"/>
                <w:szCs w:val="22"/>
              </w:rPr>
              <w:t xml:space="preserve"> and </w:t>
            </w:r>
            <w:r w:rsidRPr="005C6017">
              <w:t>Building and Other Legislation (Cladding) Amendment Regulation 2018.  Includes registration of affected private</w:t>
            </w:r>
            <w:r>
              <w:t xml:space="preserve"> buildings and lodging of the combustible cladding checklist.</w:t>
            </w:r>
          </w:p>
        </w:tc>
      </w:tr>
    </w:tbl>
    <w:p w14:paraId="7A1D77E8" w14:textId="4EA88591" w:rsidR="00694273" w:rsidRDefault="00694273"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2721"/>
        <w:gridCol w:w="10477"/>
      </w:tblGrid>
      <w:tr w:rsidR="00E5206F" w:rsidRPr="004A453A" w14:paraId="134FE2A0" w14:textId="77777777" w:rsidTr="00384B0E">
        <w:trPr>
          <w:tblHeader/>
        </w:trPr>
        <w:tc>
          <w:tcPr>
            <w:tcW w:w="567" w:type="pct"/>
            <w:tcBorders>
              <w:top w:val="single" w:sz="6" w:space="0" w:color="C0C0C0"/>
              <w:bottom w:val="single" w:sz="6" w:space="0" w:color="C0C0C0"/>
            </w:tcBorders>
            <w:shd w:val="clear" w:color="auto" w:fill="C0C0C0"/>
            <w:vAlign w:val="center"/>
          </w:tcPr>
          <w:p w14:paraId="01D68613" w14:textId="77777777" w:rsidR="00E5206F" w:rsidRPr="003B6B5D" w:rsidRDefault="00E5206F" w:rsidP="002215E0">
            <w:pPr>
              <w:pStyle w:val="Tablesub-heading"/>
              <w:rPr>
                <w:szCs w:val="22"/>
              </w:rPr>
            </w:pPr>
            <w:r w:rsidRPr="003B6B5D">
              <w:t>Disposal Authorisation</w:t>
            </w:r>
          </w:p>
        </w:tc>
        <w:tc>
          <w:tcPr>
            <w:tcW w:w="914" w:type="pct"/>
            <w:tcBorders>
              <w:top w:val="single" w:sz="6" w:space="0" w:color="C0C0C0"/>
              <w:bottom w:val="single" w:sz="6" w:space="0" w:color="C0C0C0"/>
            </w:tcBorders>
            <w:shd w:val="clear" w:color="auto" w:fill="C0C0C0"/>
            <w:vAlign w:val="center"/>
          </w:tcPr>
          <w:p w14:paraId="1DE249BE" w14:textId="77777777" w:rsidR="00E5206F" w:rsidRPr="004A453A" w:rsidRDefault="00E5206F" w:rsidP="002215E0">
            <w:pPr>
              <w:pStyle w:val="Tablesub-heading"/>
            </w:pPr>
            <w:r>
              <w:t>Record class</w:t>
            </w:r>
            <w:r w:rsidRPr="004A453A">
              <w:t xml:space="preserve"> and retention period</w:t>
            </w:r>
          </w:p>
        </w:tc>
        <w:tc>
          <w:tcPr>
            <w:tcW w:w="3519" w:type="pct"/>
            <w:tcBorders>
              <w:top w:val="single" w:sz="6" w:space="0" w:color="C0C0C0"/>
              <w:bottom w:val="single" w:sz="6" w:space="0" w:color="C0C0C0"/>
            </w:tcBorders>
            <w:shd w:val="clear" w:color="auto" w:fill="C0C0C0"/>
            <w:vAlign w:val="center"/>
          </w:tcPr>
          <w:p w14:paraId="0D33B267" w14:textId="77777777" w:rsidR="00E5206F" w:rsidRPr="004A453A" w:rsidRDefault="00E5206F" w:rsidP="002215E0">
            <w:pPr>
              <w:pStyle w:val="Tablesub-heading"/>
            </w:pPr>
            <w:r>
              <w:t>Justifying</w:t>
            </w:r>
            <w:r w:rsidRPr="004A453A">
              <w:t xml:space="preserve"> </w:t>
            </w:r>
            <w:r>
              <w:t>the</w:t>
            </w:r>
            <w:r w:rsidRPr="004A453A">
              <w:t xml:space="preserve"> retention period</w:t>
            </w:r>
          </w:p>
        </w:tc>
      </w:tr>
      <w:tr w:rsidR="00E5206F" w:rsidRPr="004A453A" w14:paraId="3B4CB190" w14:textId="77777777" w:rsidTr="00384B0E">
        <w:tc>
          <w:tcPr>
            <w:tcW w:w="567" w:type="pct"/>
            <w:tcBorders>
              <w:top w:val="single" w:sz="6" w:space="0" w:color="C0C0C0"/>
              <w:bottom w:val="single" w:sz="6" w:space="0" w:color="C0C0C0"/>
            </w:tcBorders>
            <w:shd w:val="clear" w:color="auto" w:fill="auto"/>
          </w:tcPr>
          <w:p w14:paraId="7AB5D95B" w14:textId="3DB0339B" w:rsidR="00E5206F" w:rsidRPr="004A453A" w:rsidRDefault="00061977" w:rsidP="002215E0">
            <w:pPr>
              <w:pStyle w:val="Tablesub-heading"/>
              <w:rPr>
                <w:b w:val="0"/>
                <w:szCs w:val="22"/>
              </w:rPr>
            </w:pPr>
            <w:r>
              <w:rPr>
                <w:b w:val="0"/>
                <w:szCs w:val="22"/>
              </w:rPr>
              <w:t>2790</w:t>
            </w:r>
          </w:p>
        </w:tc>
        <w:tc>
          <w:tcPr>
            <w:tcW w:w="914" w:type="pct"/>
            <w:tcBorders>
              <w:top w:val="single" w:sz="6" w:space="0" w:color="C0C0C0"/>
              <w:bottom w:val="single" w:sz="6" w:space="0" w:color="C0C0C0"/>
            </w:tcBorders>
            <w:shd w:val="clear" w:color="auto" w:fill="auto"/>
          </w:tcPr>
          <w:p w14:paraId="49F666C8" w14:textId="77777777" w:rsidR="00E5206F" w:rsidRPr="00917033" w:rsidRDefault="00E5206F" w:rsidP="00E5206F">
            <w:pPr>
              <w:pStyle w:val="Tablesub-heading"/>
              <w:rPr>
                <w:i/>
                <w:szCs w:val="22"/>
              </w:rPr>
            </w:pPr>
            <w:r>
              <w:rPr>
                <w:i/>
                <w:noProof/>
                <w:szCs w:val="22"/>
              </w:rPr>
              <w:t>Building Registration</w:t>
            </w:r>
          </w:p>
          <w:p w14:paraId="52D8D84E" w14:textId="77777777" w:rsidR="00E5206F" w:rsidRPr="004A453A" w:rsidRDefault="00E5206F" w:rsidP="00E5206F">
            <w:pPr>
              <w:pStyle w:val="Tablesub-heading"/>
              <w:rPr>
                <w:szCs w:val="22"/>
              </w:rPr>
            </w:pPr>
            <w:r>
              <w:rPr>
                <w:b w:val="0"/>
                <w:noProof/>
                <w:szCs w:val="22"/>
              </w:rPr>
              <w:t>Records relating to submitting completed combustible cladding checklists for affected private buildings to the QBCC.</w:t>
            </w:r>
          </w:p>
          <w:p w14:paraId="0941918A" w14:textId="77777777" w:rsidR="00E5206F" w:rsidRPr="00634D63" w:rsidRDefault="00E5206F" w:rsidP="002215E0">
            <w:pPr>
              <w:pStyle w:val="Heading2"/>
            </w:pPr>
            <w:r w:rsidRPr="00634D63">
              <w:t xml:space="preserve">Disposal action – </w:t>
            </w:r>
          </w:p>
          <w:p w14:paraId="337905C5" w14:textId="12E2D3C2" w:rsidR="00E5206F" w:rsidRPr="004A453A" w:rsidRDefault="00E5206F" w:rsidP="002215E0">
            <w:pPr>
              <w:pStyle w:val="Tablesub-heading"/>
              <w:rPr>
                <w:b w:val="0"/>
              </w:rPr>
            </w:pPr>
            <w:r>
              <w:rPr>
                <w:b w:val="0"/>
                <w:noProof/>
              </w:rPr>
              <w:t>Retain for 7 years after building has been substantially rebuilt and made safe or is demolished.</w:t>
            </w:r>
          </w:p>
        </w:tc>
        <w:tc>
          <w:tcPr>
            <w:tcW w:w="3519" w:type="pct"/>
            <w:tcBorders>
              <w:top w:val="single" w:sz="6" w:space="0" w:color="C0C0C0"/>
              <w:bottom w:val="single" w:sz="6" w:space="0" w:color="C0C0C0"/>
            </w:tcBorders>
            <w:shd w:val="clear" w:color="auto" w:fill="auto"/>
          </w:tcPr>
          <w:p w14:paraId="44DF179B" w14:textId="686C34F8" w:rsidR="00E5206F" w:rsidRPr="004A453A" w:rsidRDefault="00E5206F" w:rsidP="002215E0">
            <w:pPr>
              <w:pStyle w:val="Tablesub-heading"/>
              <w:rPr>
                <w:b w:val="0"/>
                <w:szCs w:val="22"/>
              </w:rPr>
            </w:pPr>
            <w:r>
              <w:t xml:space="preserve">Date authorised: </w:t>
            </w:r>
            <w:r w:rsidR="00067BF0">
              <w:rPr>
                <w:b w:val="0"/>
              </w:rPr>
              <w:t>15 December 2023</w:t>
            </w:r>
          </w:p>
          <w:p w14:paraId="3D996243" w14:textId="77777777" w:rsidR="00E5206F" w:rsidRPr="00634D63" w:rsidRDefault="00E5206F" w:rsidP="002215E0">
            <w:pPr>
              <w:pStyle w:val="Heading2"/>
            </w:pPr>
            <w:r w:rsidRPr="00634D63">
              <w:t>Why are these records created:</w:t>
            </w:r>
          </w:p>
          <w:p w14:paraId="15D49EDA" w14:textId="77777777" w:rsidR="004854AE" w:rsidRDefault="004854AE" w:rsidP="004854AE">
            <w:pPr>
              <w:pStyle w:val="Tablesub-heading"/>
              <w:rPr>
                <w:b w:val="0"/>
                <w:szCs w:val="22"/>
              </w:rPr>
            </w:pPr>
            <w:r>
              <w:rPr>
                <w:b w:val="0"/>
                <w:noProof/>
                <w:szCs w:val="22"/>
              </w:rPr>
              <w:t xml:space="preserve">Records created and maintained in accordance with the Qld Government Building Safer Buildings [and Audit] Taskforce which </w:t>
            </w:r>
            <w:r w:rsidRPr="00B859F0">
              <w:rPr>
                <w:b w:val="0"/>
                <w:noProof/>
                <w:szCs w:val="22"/>
              </w:rPr>
              <w:t>was established to identify buildings with potentially combustible cladding</w:t>
            </w:r>
            <w:r>
              <w:rPr>
                <w:b w:val="0"/>
                <w:noProof/>
                <w:szCs w:val="22"/>
              </w:rPr>
              <w:t>.</w:t>
            </w:r>
          </w:p>
          <w:p w14:paraId="18DEBF21" w14:textId="77777777" w:rsidR="004854AE" w:rsidRDefault="004854AE" w:rsidP="004854AE">
            <w:pPr>
              <w:pStyle w:val="Tablesub-heading"/>
              <w:shd w:val="clear" w:color="auto" w:fill="FFFFFF"/>
              <w:rPr>
                <w:rFonts w:cs="Arial"/>
                <w:b w:val="0"/>
                <w:bCs/>
                <w:color w:val="22272B"/>
              </w:rPr>
            </w:pPr>
            <w:r w:rsidRPr="003B7068">
              <w:rPr>
                <w:rFonts w:cs="Arial"/>
                <w:b w:val="0"/>
                <w:bCs/>
                <w:color w:val="22272B"/>
              </w:rPr>
              <w:t>Not all cladding is dangerous</w:t>
            </w:r>
            <w:r>
              <w:rPr>
                <w:rFonts w:cs="Arial"/>
                <w:b w:val="0"/>
                <w:bCs/>
                <w:color w:val="22272B"/>
              </w:rPr>
              <w:t xml:space="preserve"> and t</w:t>
            </w:r>
            <w:r w:rsidRPr="003B7068">
              <w:rPr>
                <w:rFonts w:cs="Arial"/>
                <w:b w:val="0"/>
                <w:bCs/>
                <w:color w:val="22272B"/>
              </w:rPr>
              <w:t>here are a number of factors which are considered when determining whether cladding on a building may pose a higher risk including the total coverage, vertical coverage, positioning around balconies, windows or doors, as well as the types of building and the way it is used</w:t>
            </w:r>
            <w:r>
              <w:rPr>
                <w:rFonts w:cs="Arial"/>
                <w:b w:val="0"/>
                <w:bCs/>
                <w:color w:val="22272B"/>
              </w:rPr>
              <w:t>.</w:t>
            </w:r>
          </w:p>
          <w:p w14:paraId="345715BA" w14:textId="77777777" w:rsidR="004854AE" w:rsidRPr="00BA6496" w:rsidRDefault="004854AE" w:rsidP="004854AE">
            <w:pPr>
              <w:pStyle w:val="Tablesub-heading"/>
              <w:shd w:val="clear" w:color="auto" w:fill="FFFFFF"/>
              <w:rPr>
                <w:b w:val="0"/>
                <w:szCs w:val="22"/>
              </w:rPr>
            </w:pPr>
            <w:r>
              <w:rPr>
                <w:b w:val="0"/>
                <w:szCs w:val="22"/>
              </w:rPr>
              <w:t>B</w:t>
            </w:r>
            <w:r w:rsidRPr="00BA6496">
              <w:rPr>
                <w:b w:val="0"/>
                <w:szCs w:val="22"/>
              </w:rPr>
              <w:t xml:space="preserve">uilding owners who meet </w:t>
            </w:r>
            <w:r w:rsidRPr="00D26AE2">
              <w:rPr>
                <w:b w:val="0"/>
                <w:szCs w:val="22"/>
              </w:rPr>
              <w:t>all</w:t>
            </w:r>
            <w:r w:rsidRPr="00BA6496">
              <w:rPr>
                <w:b w:val="0"/>
                <w:szCs w:val="22"/>
              </w:rPr>
              <w:t xml:space="preserve"> </w:t>
            </w:r>
            <w:r>
              <w:rPr>
                <w:b w:val="0"/>
                <w:szCs w:val="22"/>
              </w:rPr>
              <w:t xml:space="preserve">of </w:t>
            </w:r>
            <w:r w:rsidRPr="00BA6496">
              <w:rPr>
                <w:b w:val="0"/>
                <w:szCs w:val="22"/>
              </w:rPr>
              <w:t>the following criteria need to register:</w:t>
            </w:r>
          </w:p>
          <w:p w14:paraId="0BE95804" w14:textId="77777777" w:rsidR="004854AE" w:rsidRPr="00BA6496" w:rsidRDefault="004854AE" w:rsidP="004854AE">
            <w:pPr>
              <w:pStyle w:val="Tablesub-heading"/>
              <w:numPr>
                <w:ilvl w:val="0"/>
                <w:numId w:val="33"/>
              </w:numPr>
              <w:shd w:val="clear" w:color="auto" w:fill="FFFFFF"/>
              <w:rPr>
                <w:b w:val="0"/>
                <w:szCs w:val="22"/>
              </w:rPr>
            </w:pPr>
            <w:r>
              <w:rPr>
                <w:b w:val="0"/>
                <w:szCs w:val="22"/>
              </w:rPr>
              <w:t>P</w:t>
            </w:r>
            <w:r w:rsidRPr="00BA6496">
              <w:rPr>
                <w:b w:val="0"/>
                <w:szCs w:val="22"/>
              </w:rPr>
              <w:t>rivately owned</w:t>
            </w:r>
          </w:p>
          <w:p w14:paraId="11E243F5" w14:textId="77777777" w:rsidR="004854AE" w:rsidRPr="00BA6496" w:rsidRDefault="004854AE" w:rsidP="004854AE">
            <w:pPr>
              <w:pStyle w:val="Tablesub-heading"/>
              <w:numPr>
                <w:ilvl w:val="0"/>
                <w:numId w:val="33"/>
              </w:numPr>
              <w:shd w:val="clear" w:color="auto" w:fill="FFFFFF"/>
              <w:rPr>
                <w:b w:val="0"/>
                <w:szCs w:val="22"/>
              </w:rPr>
            </w:pPr>
            <w:r>
              <w:rPr>
                <w:b w:val="0"/>
                <w:szCs w:val="22"/>
              </w:rPr>
              <w:t xml:space="preserve">Class </w:t>
            </w:r>
            <w:r w:rsidRPr="00BA6496">
              <w:rPr>
                <w:b w:val="0"/>
                <w:szCs w:val="22"/>
              </w:rPr>
              <w:t>2 - 9 building</w:t>
            </w:r>
          </w:p>
          <w:p w14:paraId="3055D1D1" w14:textId="77777777" w:rsidR="004854AE" w:rsidRPr="00BA6496" w:rsidRDefault="004854AE" w:rsidP="004854AE">
            <w:pPr>
              <w:pStyle w:val="Tablesub-heading"/>
              <w:numPr>
                <w:ilvl w:val="0"/>
                <w:numId w:val="33"/>
              </w:numPr>
              <w:shd w:val="clear" w:color="auto" w:fill="FFFFFF"/>
              <w:rPr>
                <w:b w:val="0"/>
                <w:szCs w:val="22"/>
              </w:rPr>
            </w:pPr>
            <w:r>
              <w:rPr>
                <w:b w:val="0"/>
                <w:szCs w:val="22"/>
              </w:rPr>
              <w:t>T</w:t>
            </w:r>
            <w:r w:rsidRPr="00BA6496">
              <w:rPr>
                <w:b w:val="0"/>
                <w:szCs w:val="22"/>
              </w:rPr>
              <w:t>ype A or B construction; and</w:t>
            </w:r>
          </w:p>
          <w:p w14:paraId="675F0129" w14:textId="77777777" w:rsidR="004854AE" w:rsidRDefault="004854AE" w:rsidP="004854AE">
            <w:pPr>
              <w:pStyle w:val="Tablesub-heading"/>
              <w:numPr>
                <w:ilvl w:val="0"/>
                <w:numId w:val="33"/>
              </w:numPr>
              <w:shd w:val="clear" w:color="auto" w:fill="FFFFFF"/>
              <w:rPr>
                <w:szCs w:val="22"/>
              </w:rPr>
            </w:pPr>
            <w:r>
              <w:rPr>
                <w:b w:val="0"/>
                <w:szCs w:val="22"/>
              </w:rPr>
              <w:t>B</w:t>
            </w:r>
            <w:r w:rsidRPr="00BA6496">
              <w:rPr>
                <w:b w:val="0"/>
                <w:szCs w:val="22"/>
              </w:rPr>
              <w:t xml:space="preserve">uilding development approval </w:t>
            </w:r>
            <w:r>
              <w:rPr>
                <w:b w:val="0"/>
                <w:szCs w:val="22"/>
              </w:rPr>
              <w:t xml:space="preserve">that </w:t>
            </w:r>
            <w:r w:rsidRPr="00BA6496">
              <w:rPr>
                <w:b w:val="0"/>
                <w:szCs w:val="22"/>
              </w:rPr>
              <w:t>was given</w:t>
            </w:r>
            <w:r>
              <w:rPr>
                <w:b w:val="0"/>
                <w:szCs w:val="22"/>
              </w:rPr>
              <w:t xml:space="preserve"> </w:t>
            </w:r>
            <w:r w:rsidRPr="00BA6496">
              <w:rPr>
                <w:b w:val="0"/>
                <w:szCs w:val="22"/>
              </w:rPr>
              <w:t>after 1 January 1994 but before 1 October 2018</w:t>
            </w:r>
            <w:r>
              <w:rPr>
                <w:b w:val="0"/>
                <w:szCs w:val="22"/>
              </w:rPr>
              <w:t xml:space="preserve">       </w:t>
            </w:r>
            <w:r w:rsidRPr="00BA6496">
              <w:rPr>
                <w:b w:val="0"/>
                <w:szCs w:val="22"/>
              </w:rPr>
              <w:t>for</w:t>
            </w:r>
            <w:r>
              <w:rPr>
                <w:b w:val="0"/>
                <w:szCs w:val="22"/>
              </w:rPr>
              <w:t xml:space="preserve"> </w:t>
            </w:r>
            <w:r w:rsidRPr="00BA6496">
              <w:rPr>
                <w:b w:val="0"/>
                <w:szCs w:val="22"/>
              </w:rPr>
              <w:t>work</w:t>
            </w:r>
            <w:r>
              <w:rPr>
                <w:b w:val="0"/>
                <w:szCs w:val="22"/>
              </w:rPr>
              <w:t>s</w:t>
            </w:r>
            <w:r w:rsidRPr="00BA6496">
              <w:rPr>
                <w:b w:val="0"/>
                <w:szCs w:val="22"/>
              </w:rPr>
              <w:t xml:space="preserve"> to </w:t>
            </w:r>
            <w:r>
              <w:rPr>
                <w:b w:val="0"/>
                <w:szCs w:val="22"/>
              </w:rPr>
              <w:t xml:space="preserve">construct </w:t>
            </w:r>
            <w:r w:rsidRPr="00BA6496">
              <w:rPr>
                <w:b w:val="0"/>
                <w:szCs w:val="22"/>
              </w:rPr>
              <w:t>the building or to alter the cladding on the building</w:t>
            </w:r>
            <w:r w:rsidRPr="00BA6496">
              <w:rPr>
                <w:szCs w:val="22"/>
              </w:rPr>
              <w:t>.</w:t>
            </w:r>
          </w:p>
          <w:p w14:paraId="0E66BA85" w14:textId="77777777" w:rsidR="00E5206F" w:rsidRPr="00634D63" w:rsidRDefault="00E5206F" w:rsidP="002215E0">
            <w:pPr>
              <w:pStyle w:val="Heading2"/>
            </w:pPr>
            <w:r w:rsidRPr="00634D63">
              <w:t>Why the records are retained for this retention period:</w:t>
            </w:r>
          </w:p>
          <w:p w14:paraId="160E3478" w14:textId="50D59156" w:rsidR="00E5206F" w:rsidRPr="004A453A" w:rsidRDefault="004854AE" w:rsidP="002215E0">
            <w:pPr>
              <w:pStyle w:val="Tablesub-heading"/>
              <w:rPr>
                <w:b w:val="0"/>
                <w:szCs w:val="22"/>
              </w:rPr>
            </w:pPr>
            <w:r>
              <w:rPr>
                <w:b w:val="0"/>
                <w:noProof/>
                <w:szCs w:val="22"/>
              </w:rPr>
              <w:t>Until an affected building is made safe in terms of cladding fire risk, core records need to be retained     until subject building is made safe or demolished.</w:t>
            </w:r>
            <w:r>
              <w:rPr>
                <w:b w:val="0"/>
                <w:szCs w:val="22"/>
              </w:rPr>
              <w:t xml:space="preserve"> </w:t>
            </w:r>
            <w:r w:rsidR="00E5206F">
              <w:rPr>
                <w:b w:val="0"/>
                <w:szCs w:val="22"/>
              </w:rPr>
              <w:t xml:space="preserve"> </w:t>
            </w:r>
          </w:p>
          <w:p w14:paraId="39FFA341" w14:textId="77777777" w:rsidR="00E5206F" w:rsidRPr="00634D63" w:rsidRDefault="00E5206F" w:rsidP="002215E0">
            <w:pPr>
              <w:pStyle w:val="Heading2"/>
            </w:pPr>
            <w:r w:rsidRPr="00634D63">
              <w:t>Applicable legislation/standards:</w:t>
            </w:r>
          </w:p>
          <w:p w14:paraId="16A6CB27" w14:textId="77777777" w:rsidR="004854AE" w:rsidRPr="00C66CC8" w:rsidRDefault="004854AE" w:rsidP="004854AE">
            <w:pPr>
              <w:pStyle w:val="Heading2"/>
              <w:rPr>
                <w:rFonts w:ascii="Arial" w:hAnsi="Arial" w:cs="Arial"/>
                <w:b w:val="0"/>
                <w:noProof/>
                <w:szCs w:val="22"/>
              </w:rPr>
            </w:pPr>
            <w:r w:rsidRPr="00C66CC8">
              <w:rPr>
                <w:rFonts w:ascii="Arial" w:hAnsi="Arial" w:cs="Arial"/>
                <w:b w:val="0"/>
                <w:noProof/>
                <w:szCs w:val="22"/>
              </w:rPr>
              <w:t>See the list of applicable legislation and standards for public records created, kept and managed by</w:t>
            </w:r>
            <w:r>
              <w:rPr>
                <w:rFonts w:ascii="Arial" w:hAnsi="Arial" w:cs="Arial"/>
                <w:b w:val="0"/>
                <w:noProof/>
                <w:szCs w:val="22"/>
              </w:rPr>
              <w:t xml:space="preserve">            </w:t>
            </w:r>
            <w:r w:rsidRPr="00C66CC8">
              <w:rPr>
                <w:rFonts w:ascii="Arial" w:hAnsi="Arial" w:cs="Arial"/>
                <w:b w:val="0"/>
                <w:noProof/>
                <w:szCs w:val="22"/>
              </w:rPr>
              <w:t xml:space="preserve">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p>
          <w:p w14:paraId="1AD05F18" w14:textId="77777777" w:rsidR="00E5206F" w:rsidRPr="00634D63" w:rsidRDefault="00E5206F" w:rsidP="002215E0">
            <w:pPr>
              <w:pStyle w:val="Heading2"/>
            </w:pPr>
            <w:r w:rsidRPr="00634D63">
              <w:t xml:space="preserve">Comparison with other schedules' retention period: </w:t>
            </w:r>
          </w:p>
          <w:p w14:paraId="7B9B9BE7" w14:textId="77777777" w:rsidR="004854AE" w:rsidRPr="00C1585F" w:rsidRDefault="004854AE" w:rsidP="004854AE">
            <w:pPr>
              <w:pStyle w:val="Tablesub-heading"/>
              <w:rPr>
                <w:b w:val="0"/>
                <w:i/>
                <w:iCs/>
                <w:noProof/>
                <w:szCs w:val="22"/>
              </w:rPr>
            </w:pPr>
            <w:r w:rsidRPr="00C1585F">
              <w:rPr>
                <w:b w:val="0"/>
                <w:i/>
                <w:iCs/>
                <w:noProof/>
                <w:szCs w:val="22"/>
              </w:rPr>
              <w:t xml:space="preserve">QDAN 480 v.4 Local Government sector Retention &amp; Disposal Schedule: </w:t>
            </w:r>
          </w:p>
          <w:p w14:paraId="1BB8DF09" w14:textId="77777777" w:rsidR="004854AE" w:rsidRDefault="004854AE" w:rsidP="004854AE">
            <w:pPr>
              <w:pStyle w:val="Tablesub-heading"/>
              <w:numPr>
                <w:ilvl w:val="0"/>
                <w:numId w:val="34"/>
              </w:numPr>
              <w:rPr>
                <w:b w:val="0"/>
                <w:noProof/>
                <w:szCs w:val="22"/>
              </w:rPr>
            </w:pPr>
            <w:r>
              <w:rPr>
                <w:b w:val="0"/>
                <w:noProof/>
                <w:szCs w:val="22"/>
              </w:rPr>
              <w:lastRenderedPageBreak/>
              <w:t>7.12.1 Budget Accommodation Buildings – Inspections – retain until the building is removed or demolished</w:t>
            </w:r>
          </w:p>
          <w:p w14:paraId="1E512853" w14:textId="77777777" w:rsidR="004854AE" w:rsidRPr="004A453A" w:rsidRDefault="004854AE" w:rsidP="004854AE">
            <w:pPr>
              <w:pStyle w:val="Tablesub-heading"/>
              <w:numPr>
                <w:ilvl w:val="0"/>
                <w:numId w:val="34"/>
              </w:numPr>
              <w:rPr>
                <w:b w:val="0"/>
                <w:szCs w:val="22"/>
              </w:rPr>
            </w:pPr>
            <w:r>
              <w:rPr>
                <w:b w:val="0"/>
                <w:noProof/>
                <w:szCs w:val="22"/>
              </w:rPr>
              <w:t xml:space="preserve">7.3.1 Budget Accomodation Buildings – Advice – retain until the building is removed or demolished </w:t>
            </w:r>
          </w:p>
          <w:p w14:paraId="24AB8D4C" w14:textId="77777777" w:rsidR="00E5206F" w:rsidRPr="00634D63" w:rsidRDefault="00E5206F" w:rsidP="002215E0">
            <w:pPr>
              <w:pStyle w:val="Heading2"/>
            </w:pPr>
            <w:r w:rsidRPr="00634D63">
              <w:t>Other comments/factors for consideration:</w:t>
            </w:r>
          </w:p>
          <w:p w14:paraId="41B1F3A3" w14:textId="1305FAA1" w:rsidR="004854AE" w:rsidRDefault="004854AE" w:rsidP="004854AE">
            <w:pPr>
              <w:pStyle w:val="Tablesub-heading"/>
              <w:rPr>
                <w:b w:val="0"/>
                <w:noProof/>
                <w:szCs w:val="22"/>
              </w:rPr>
            </w:pPr>
            <w:r>
              <w:rPr>
                <w:b w:val="0"/>
                <w:noProof/>
                <w:szCs w:val="22"/>
              </w:rPr>
              <w:t xml:space="preserve">Building Regulation 2006 s.16ZR - The QBCC Commissioner may remove a document or in relation to a private building from the online system if the Commissioner considers the removal is reasonable in the circumstances. </w:t>
            </w:r>
          </w:p>
          <w:p w14:paraId="62DC9E76" w14:textId="4CCBF60D" w:rsidR="004854AE" w:rsidRPr="004A453A" w:rsidRDefault="004854AE" w:rsidP="004854AE">
            <w:pPr>
              <w:pStyle w:val="Tablesub-heading"/>
              <w:rPr>
                <w:b w:val="0"/>
                <w:szCs w:val="22"/>
              </w:rPr>
            </w:pPr>
            <w:r>
              <w:rPr>
                <w:b w:val="0"/>
                <w:noProof/>
                <w:szCs w:val="22"/>
              </w:rPr>
              <w:t>Owners to keep checklists as submitted to the agency for 7 years in accordance to s.16R, s.16U and s.16Y of the Building Regulation 2006.</w:t>
            </w:r>
          </w:p>
          <w:p w14:paraId="2DFC0B86" w14:textId="77777777" w:rsidR="00E5206F" w:rsidRPr="00634D63" w:rsidRDefault="00E5206F" w:rsidP="002215E0">
            <w:pPr>
              <w:pStyle w:val="Heading2"/>
            </w:pPr>
            <w:r w:rsidRPr="00634D63">
              <w:t>Previous schedule references:</w:t>
            </w:r>
          </w:p>
          <w:p w14:paraId="3952DF48" w14:textId="0C733D82" w:rsidR="00E5206F" w:rsidRPr="004A453A" w:rsidRDefault="004854AE" w:rsidP="002215E0">
            <w:pPr>
              <w:pStyle w:val="Tablesub-heading"/>
              <w:rPr>
                <w:b w:val="0"/>
                <w:szCs w:val="22"/>
              </w:rPr>
            </w:pPr>
            <w:r>
              <w:rPr>
                <w:b w:val="0"/>
                <w:szCs w:val="22"/>
              </w:rPr>
              <w:t>New disposal authorisation.</w:t>
            </w:r>
          </w:p>
        </w:tc>
      </w:tr>
      <w:tr w:rsidR="00E5206F" w:rsidRPr="004A453A" w14:paraId="5B186E2C" w14:textId="77777777" w:rsidTr="00384B0E">
        <w:tc>
          <w:tcPr>
            <w:tcW w:w="567" w:type="pct"/>
            <w:tcBorders>
              <w:top w:val="single" w:sz="6" w:space="0" w:color="C0C0C0"/>
              <w:bottom w:val="single" w:sz="6" w:space="0" w:color="C0C0C0"/>
            </w:tcBorders>
            <w:shd w:val="clear" w:color="auto" w:fill="auto"/>
          </w:tcPr>
          <w:p w14:paraId="0844A414" w14:textId="221C83A7" w:rsidR="00E5206F" w:rsidRPr="004A453A" w:rsidRDefault="009B4238" w:rsidP="002215E0">
            <w:pPr>
              <w:pStyle w:val="Tablesub-heading"/>
              <w:rPr>
                <w:b w:val="0"/>
                <w:szCs w:val="22"/>
              </w:rPr>
            </w:pPr>
            <w:r>
              <w:rPr>
                <w:b w:val="0"/>
                <w:szCs w:val="22"/>
              </w:rPr>
              <w:t>2791</w:t>
            </w:r>
          </w:p>
        </w:tc>
        <w:tc>
          <w:tcPr>
            <w:tcW w:w="914" w:type="pct"/>
            <w:tcBorders>
              <w:top w:val="single" w:sz="6" w:space="0" w:color="C0C0C0"/>
              <w:bottom w:val="single" w:sz="6" w:space="0" w:color="C0C0C0"/>
            </w:tcBorders>
            <w:shd w:val="clear" w:color="auto" w:fill="auto"/>
          </w:tcPr>
          <w:p w14:paraId="4FEC4AE3" w14:textId="77777777" w:rsidR="00743577" w:rsidRPr="00634D63" w:rsidRDefault="00743577" w:rsidP="00743577">
            <w:pPr>
              <w:pStyle w:val="Heading3"/>
            </w:pPr>
            <w:r>
              <w:rPr>
                <w:noProof/>
              </w:rPr>
              <w:t>Compliance, Reporting, Auditing and Investigations</w:t>
            </w:r>
          </w:p>
          <w:p w14:paraId="5B16EE1D" w14:textId="77777777" w:rsidR="00743577" w:rsidRDefault="00743577" w:rsidP="00743577">
            <w:pPr>
              <w:pStyle w:val="Tablesub-heading"/>
              <w:rPr>
                <w:b w:val="0"/>
                <w:szCs w:val="22"/>
              </w:rPr>
            </w:pPr>
            <w:r>
              <w:rPr>
                <w:b w:val="0"/>
                <w:noProof/>
                <w:szCs w:val="22"/>
              </w:rPr>
              <w:t>Activities relating to monitoring and enforcing compliance with safer buildings requirements for combustible cladding.</w:t>
            </w:r>
          </w:p>
          <w:p w14:paraId="4F0FDCE9" w14:textId="77777777" w:rsidR="00E5206F" w:rsidRPr="00634D63" w:rsidRDefault="00E5206F" w:rsidP="002215E0">
            <w:pPr>
              <w:pStyle w:val="Heading2"/>
            </w:pPr>
            <w:r w:rsidRPr="00634D63">
              <w:t xml:space="preserve">Disposal action – </w:t>
            </w:r>
          </w:p>
          <w:p w14:paraId="2E9AACE3" w14:textId="6A6DA8E7" w:rsidR="00E5206F" w:rsidRPr="004A453A" w:rsidRDefault="00743577" w:rsidP="002215E0">
            <w:pPr>
              <w:pStyle w:val="Tablesub-heading"/>
              <w:rPr>
                <w:b w:val="0"/>
              </w:rPr>
            </w:pPr>
            <w:r>
              <w:rPr>
                <w:b w:val="0"/>
                <w:noProof/>
              </w:rPr>
              <w:t>7 years after business action completed.</w:t>
            </w:r>
          </w:p>
        </w:tc>
        <w:tc>
          <w:tcPr>
            <w:tcW w:w="3519" w:type="pct"/>
            <w:tcBorders>
              <w:top w:val="single" w:sz="6" w:space="0" w:color="C0C0C0"/>
              <w:bottom w:val="single" w:sz="6" w:space="0" w:color="C0C0C0"/>
            </w:tcBorders>
            <w:shd w:val="clear" w:color="auto" w:fill="auto"/>
          </w:tcPr>
          <w:p w14:paraId="7EE75CEC" w14:textId="01D791C1" w:rsidR="00E5206F" w:rsidRPr="004A453A" w:rsidRDefault="00E5206F" w:rsidP="002215E0">
            <w:pPr>
              <w:pStyle w:val="Tablesub-heading"/>
              <w:rPr>
                <w:b w:val="0"/>
                <w:szCs w:val="22"/>
              </w:rPr>
            </w:pPr>
            <w:r>
              <w:t xml:space="preserve">Date authorised: </w:t>
            </w:r>
            <w:r w:rsidR="00067BF0">
              <w:rPr>
                <w:b w:val="0"/>
              </w:rPr>
              <w:t>15 December 2023</w:t>
            </w:r>
          </w:p>
          <w:p w14:paraId="0CE4CF7C" w14:textId="77777777" w:rsidR="00E5206F" w:rsidRPr="00634D63" w:rsidRDefault="00E5206F" w:rsidP="002215E0">
            <w:pPr>
              <w:pStyle w:val="Heading2"/>
            </w:pPr>
            <w:r w:rsidRPr="00634D63">
              <w:t>Why are these records created:</w:t>
            </w:r>
          </w:p>
          <w:p w14:paraId="5EA94EA6" w14:textId="0C7888E5" w:rsidR="00743577" w:rsidRDefault="00743577" w:rsidP="00743577">
            <w:pPr>
              <w:pStyle w:val="Tablesub-heading"/>
              <w:shd w:val="clear" w:color="auto" w:fill="FFFFFF"/>
              <w:rPr>
                <w:b w:val="0"/>
                <w:szCs w:val="22"/>
              </w:rPr>
            </w:pPr>
            <w:r>
              <w:rPr>
                <w:b w:val="0"/>
                <w:noProof/>
                <w:szCs w:val="22"/>
              </w:rPr>
              <w:t>Records relating to notifications of changes to building ownership, auditing and reporting to the Safer Buildings Taskforce and investigating offences in accordance with s.96 of the Building Regulation 2021.</w:t>
            </w:r>
          </w:p>
          <w:p w14:paraId="203B2C05" w14:textId="77777777" w:rsidR="00743577" w:rsidRPr="004A453A" w:rsidRDefault="00743577" w:rsidP="00743577">
            <w:pPr>
              <w:pStyle w:val="Tablesub-heading"/>
              <w:shd w:val="clear" w:color="auto" w:fill="FFFFFF"/>
              <w:rPr>
                <w:b w:val="0"/>
                <w:szCs w:val="22"/>
              </w:rPr>
            </w:pPr>
            <w:r w:rsidRPr="00E964AA">
              <w:rPr>
                <w:b w:val="0"/>
                <w:szCs w:val="22"/>
              </w:rPr>
              <w:t>Enforcement related records are created during compliance monitoring processes to ensure adherence to legislative requirements</w:t>
            </w:r>
            <w:r>
              <w:rPr>
                <w:b w:val="0"/>
                <w:szCs w:val="22"/>
              </w:rPr>
              <w:t xml:space="preserve"> </w:t>
            </w:r>
            <w:r w:rsidRPr="00E964AA">
              <w:rPr>
                <w:b w:val="0"/>
                <w:szCs w:val="22"/>
              </w:rPr>
              <w:t>and take action against offenders.</w:t>
            </w:r>
          </w:p>
          <w:p w14:paraId="18FAC618" w14:textId="77777777" w:rsidR="00E5206F" w:rsidRPr="00634D63" w:rsidRDefault="00E5206F" w:rsidP="002215E0">
            <w:pPr>
              <w:pStyle w:val="Heading2"/>
            </w:pPr>
            <w:r w:rsidRPr="00634D63">
              <w:t>Why the records are retained for this retention period:</w:t>
            </w:r>
          </w:p>
          <w:p w14:paraId="07D69A5C" w14:textId="77777777" w:rsidR="00743577" w:rsidRDefault="00743577" w:rsidP="00743577">
            <w:pPr>
              <w:pStyle w:val="Tablesub-heading"/>
              <w:shd w:val="clear" w:color="auto" w:fill="FFFFFF"/>
              <w:rPr>
                <w:b w:val="0"/>
                <w:bCs/>
              </w:rPr>
            </w:pPr>
            <w:r>
              <w:rPr>
                <w:b w:val="0"/>
                <w:bCs/>
              </w:rPr>
              <w:t>T</w:t>
            </w:r>
            <w:r w:rsidRPr="007F2B82">
              <w:rPr>
                <w:b w:val="0"/>
                <w:bCs/>
              </w:rPr>
              <w:t xml:space="preserve">hese records </w:t>
            </w:r>
            <w:r>
              <w:rPr>
                <w:b w:val="0"/>
                <w:bCs/>
              </w:rPr>
              <w:t xml:space="preserve">are created and need </w:t>
            </w:r>
            <w:r w:rsidRPr="007F2B82">
              <w:rPr>
                <w:b w:val="0"/>
                <w:bCs/>
              </w:rPr>
              <w:t>to be retained for 7 year</w:t>
            </w:r>
            <w:r>
              <w:rPr>
                <w:b w:val="0"/>
                <w:bCs/>
              </w:rPr>
              <w:t>s</w:t>
            </w:r>
            <w:r w:rsidRPr="007F2B82">
              <w:rPr>
                <w:b w:val="0"/>
                <w:bCs/>
              </w:rPr>
              <w:t xml:space="preserve"> as they</w:t>
            </w:r>
            <w:r>
              <w:rPr>
                <w:b w:val="0"/>
                <w:bCs/>
              </w:rPr>
              <w:t xml:space="preserve"> - </w:t>
            </w:r>
          </w:p>
          <w:p w14:paraId="4EEC665B" w14:textId="77777777" w:rsidR="00743577" w:rsidRDefault="00743577" w:rsidP="00743577">
            <w:pPr>
              <w:pStyle w:val="Tablesub-heading"/>
              <w:numPr>
                <w:ilvl w:val="0"/>
                <w:numId w:val="21"/>
              </w:numPr>
              <w:shd w:val="clear" w:color="auto" w:fill="FFFFFF"/>
              <w:ind w:left="474" w:hanging="425"/>
              <w:rPr>
                <w:b w:val="0"/>
                <w:bCs/>
              </w:rPr>
            </w:pPr>
            <w:r>
              <w:rPr>
                <w:b w:val="0"/>
                <w:bCs/>
              </w:rPr>
              <w:t>S</w:t>
            </w:r>
            <w:r w:rsidRPr="007F2B82">
              <w:rPr>
                <w:b w:val="0"/>
                <w:bCs/>
              </w:rPr>
              <w:t xml:space="preserve">upport the decisions of the business by providing evidence of </w:t>
            </w:r>
            <w:r>
              <w:rPr>
                <w:rFonts w:cs="Arial"/>
                <w:b w:val="0"/>
                <w:bCs/>
              </w:rPr>
              <w:t>actions taken</w:t>
            </w:r>
            <w:r>
              <w:rPr>
                <w:b w:val="0"/>
                <w:bCs/>
              </w:rPr>
              <w:t xml:space="preserve"> and outcomes from </w:t>
            </w:r>
            <w:r w:rsidRPr="007F2B82">
              <w:rPr>
                <w:b w:val="0"/>
                <w:bCs/>
              </w:rPr>
              <w:t>compliance</w:t>
            </w:r>
            <w:r>
              <w:rPr>
                <w:b w:val="0"/>
                <w:bCs/>
              </w:rPr>
              <w:t xml:space="preserve"> and/or audit</w:t>
            </w:r>
            <w:r w:rsidRPr="006B53D8">
              <w:rPr>
                <w:b w:val="0"/>
                <w:bCs/>
              </w:rPr>
              <w:t xml:space="preserve"> </w:t>
            </w:r>
            <w:r>
              <w:rPr>
                <w:b w:val="0"/>
                <w:bCs/>
              </w:rPr>
              <w:t>activities.</w:t>
            </w:r>
          </w:p>
          <w:p w14:paraId="5E1F8DF8" w14:textId="77777777" w:rsidR="00743577" w:rsidRPr="00AB50F8" w:rsidRDefault="00743577" w:rsidP="00743577">
            <w:pPr>
              <w:pStyle w:val="Tablesub-heading"/>
              <w:numPr>
                <w:ilvl w:val="0"/>
                <w:numId w:val="21"/>
              </w:numPr>
              <w:shd w:val="clear" w:color="auto" w:fill="FFFFFF"/>
              <w:ind w:left="474" w:hanging="425"/>
              <w:rPr>
                <w:b w:val="0"/>
                <w:bCs/>
                <w:szCs w:val="22"/>
              </w:rPr>
            </w:pPr>
            <w:r>
              <w:rPr>
                <w:b w:val="0"/>
                <w:bCs/>
              </w:rPr>
              <w:t>E</w:t>
            </w:r>
            <w:r w:rsidRPr="007F2B82">
              <w:rPr>
                <w:b w:val="0"/>
                <w:bCs/>
              </w:rPr>
              <w:t xml:space="preserve">nsure legal reference, including standard appeals of decisions, judicial review and other court processes under </w:t>
            </w:r>
            <w:r>
              <w:rPr>
                <w:b w:val="0"/>
                <w:bCs/>
              </w:rPr>
              <w:t xml:space="preserve">s.10 of </w:t>
            </w:r>
            <w:r w:rsidRPr="007F2B82">
              <w:rPr>
                <w:b w:val="0"/>
                <w:bCs/>
              </w:rPr>
              <w:t xml:space="preserve">the </w:t>
            </w:r>
            <w:r w:rsidRPr="009A33B0">
              <w:rPr>
                <w:b w:val="0"/>
                <w:bCs/>
                <w:i/>
                <w:iCs/>
              </w:rPr>
              <w:t>Limitation of Actions Act 1974</w:t>
            </w:r>
            <w:r>
              <w:rPr>
                <w:b w:val="0"/>
                <w:bCs/>
              </w:rPr>
              <w:t>.</w:t>
            </w:r>
          </w:p>
          <w:p w14:paraId="7B9645EC" w14:textId="77777777" w:rsidR="00743577" w:rsidRDefault="00743577" w:rsidP="00743577">
            <w:pPr>
              <w:pStyle w:val="Tablesub-heading"/>
              <w:numPr>
                <w:ilvl w:val="0"/>
                <w:numId w:val="21"/>
              </w:numPr>
              <w:shd w:val="clear" w:color="auto" w:fill="FFFFFF"/>
              <w:ind w:left="474" w:hanging="425"/>
              <w:rPr>
                <w:b w:val="0"/>
                <w:bCs/>
              </w:rPr>
            </w:pPr>
            <w:r>
              <w:rPr>
                <w:b w:val="0"/>
                <w:bCs/>
              </w:rPr>
              <w:t>E</w:t>
            </w:r>
            <w:r w:rsidRPr="00AB50F8">
              <w:rPr>
                <w:b w:val="0"/>
                <w:bCs/>
              </w:rPr>
              <w:t xml:space="preserve">nsures that records are available for a sufficient period of time to be referred back to if </w:t>
            </w:r>
            <w:r>
              <w:rPr>
                <w:b w:val="0"/>
                <w:bCs/>
              </w:rPr>
              <w:t>needed.</w:t>
            </w:r>
          </w:p>
          <w:p w14:paraId="4F055EFA" w14:textId="77777777" w:rsidR="00743577" w:rsidRPr="001C4B87" w:rsidRDefault="00743577" w:rsidP="00743577">
            <w:pPr>
              <w:pStyle w:val="Tablesub-heading"/>
              <w:numPr>
                <w:ilvl w:val="0"/>
                <w:numId w:val="21"/>
              </w:numPr>
              <w:shd w:val="clear" w:color="auto" w:fill="FFFFFF"/>
              <w:ind w:left="474" w:hanging="425"/>
              <w:rPr>
                <w:b w:val="0"/>
                <w:bCs/>
              </w:rPr>
            </w:pPr>
            <w:r>
              <w:rPr>
                <w:b w:val="0"/>
                <w:bCs/>
              </w:rPr>
              <w:t xml:space="preserve">Forms </w:t>
            </w:r>
            <w:r w:rsidRPr="007F2B82">
              <w:rPr>
                <w:b w:val="0"/>
                <w:bCs/>
              </w:rPr>
              <w:t xml:space="preserve">part of </w:t>
            </w:r>
            <w:r>
              <w:rPr>
                <w:b w:val="0"/>
                <w:bCs/>
              </w:rPr>
              <w:t xml:space="preserve">ongoing </w:t>
            </w:r>
            <w:r w:rsidRPr="007F2B82">
              <w:rPr>
                <w:b w:val="0"/>
                <w:bCs/>
              </w:rPr>
              <w:t>monitoring</w:t>
            </w:r>
            <w:r>
              <w:rPr>
                <w:b w:val="0"/>
                <w:bCs/>
              </w:rPr>
              <w:t xml:space="preserve">, auditing </w:t>
            </w:r>
            <w:r w:rsidRPr="007F2B82">
              <w:rPr>
                <w:b w:val="0"/>
                <w:bCs/>
              </w:rPr>
              <w:t>and conducting inspection</w:t>
            </w:r>
            <w:r>
              <w:rPr>
                <w:b w:val="0"/>
                <w:bCs/>
              </w:rPr>
              <w:t xml:space="preserve">s </w:t>
            </w:r>
            <w:r w:rsidRPr="007F2B82">
              <w:rPr>
                <w:b w:val="0"/>
                <w:bCs/>
              </w:rPr>
              <w:t>or investigations</w:t>
            </w:r>
            <w:r>
              <w:rPr>
                <w:b w:val="0"/>
                <w:bCs/>
              </w:rPr>
              <w:t xml:space="preserve"> as required. </w:t>
            </w:r>
          </w:p>
          <w:p w14:paraId="678E462E" w14:textId="754F8CB9" w:rsidR="00E5206F" w:rsidRPr="004A453A" w:rsidRDefault="00E5206F" w:rsidP="002215E0">
            <w:pPr>
              <w:pStyle w:val="Tablesub-heading"/>
              <w:rPr>
                <w:b w:val="0"/>
                <w:szCs w:val="22"/>
              </w:rPr>
            </w:pPr>
            <w:r>
              <w:rPr>
                <w:b w:val="0"/>
                <w:szCs w:val="22"/>
              </w:rPr>
              <w:t xml:space="preserve"> </w:t>
            </w:r>
          </w:p>
          <w:p w14:paraId="58274D25" w14:textId="77777777" w:rsidR="00E5206F" w:rsidRPr="00634D63" w:rsidRDefault="00E5206F" w:rsidP="002215E0">
            <w:pPr>
              <w:pStyle w:val="Heading2"/>
            </w:pPr>
            <w:r w:rsidRPr="00634D63">
              <w:lastRenderedPageBreak/>
              <w:t>Applicable legislation/standards:</w:t>
            </w:r>
          </w:p>
          <w:p w14:paraId="4C3A47E7" w14:textId="77777777" w:rsidR="00743577" w:rsidRDefault="00743577" w:rsidP="00743577">
            <w:pPr>
              <w:pStyle w:val="Heading2"/>
              <w:rPr>
                <w:b w:val="0"/>
                <w:noProof/>
                <w:szCs w:val="22"/>
              </w:rPr>
            </w:pPr>
            <w:r w:rsidRPr="00C66CC8">
              <w:rPr>
                <w:rFonts w:ascii="Arial" w:hAnsi="Arial" w:cs="Arial"/>
                <w:b w:val="0"/>
                <w:noProof/>
                <w:szCs w:val="22"/>
              </w:rPr>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r>
              <w:rPr>
                <w:b w:val="0"/>
                <w:noProof/>
                <w:szCs w:val="22"/>
              </w:rPr>
              <w:t>.</w:t>
            </w:r>
          </w:p>
          <w:p w14:paraId="2731D7BE" w14:textId="77777777" w:rsidR="00E5206F" w:rsidRPr="00634D63" w:rsidRDefault="00E5206F" w:rsidP="002215E0">
            <w:pPr>
              <w:pStyle w:val="Heading2"/>
            </w:pPr>
            <w:r w:rsidRPr="00634D63">
              <w:t xml:space="preserve">Comparison with other schedules' retention period: </w:t>
            </w:r>
          </w:p>
          <w:p w14:paraId="4DBEB1C8" w14:textId="77777777" w:rsidR="00743577" w:rsidRDefault="00743577" w:rsidP="00743577">
            <w:pPr>
              <w:pStyle w:val="Tablesub-heading"/>
              <w:rPr>
                <w:b w:val="0"/>
                <w:noProof/>
                <w:szCs w:val="22"/>
              </w:rPr>
            </w:pPr>
            <w:r w:rsidRPr="00DB4F09">
              <w:rPr>
                <w:b w:val="0"/>
                <w:i/>
                <w:iCs/>
                <w:noProof/>
                <w:szCs w:val="22"/>
              </w:rPr>
              <w:t>General Retention and Disposal Schedule</w:t>
            </w:r>
            <w:r>
              <w:rPr>
                <w:b w:val="0"/>
                <w:noProof/>
                <w:szCs w:val="22"/>
              </w:rPr>
              <w:t xml:space="preserve"> (GRDS) :</w:t>
            </w:r>
          </w:p>
          <w:p w14:paraId="27B71C0D" w14:textId="77777777" w:rsidR="00743577" w:rsidRDefault="00743577" w:rsidP="00743577">
            <w:pPr>
              <w:pStyle w:val="Tablesub-heading"/>
              <w:numPr>
                <w:ilvl w:val="0"/>
                <w:numId w:val="22"/>
              </w:numPr>
              <w:rPr>
                <w:b w:val="0"/>
                <w:noProof/>
                <w:szCs w:val="22"/>
              </w:rPr>
            </w:pPr>
            <w:r>
              <w:rPr>
                <w:b w:val="0"/>
                <w:noProof/>
                <w:szCs w:val="22"/>
              </w:rPr>
              <w:t>1073 – Enquiries, Complaints and suggestions – Investigations or Legal significance –                                                                                   retain 7 years after business action completed.</w:t>
            </w:r>
          </w:p>
          <w:p w14:paraId="36BBE2C2" w14:textId="77777777" w:rsidR="00743577" w:rsidRPr="00546267" w:rsidRDefault="00743577" w:rsidP="00743577">
            <w:pPr>
              <w:pStyle w:val="Tablesub-heading"/>
              <w:numPr>
                <w:ilvl w:val="0"/>
                <w:numId w:val="22"/>
              </w:numPr>
              <w:rPr>
                <w:b w:val="0"/>
                <w:noProof/>
                <w:szCs w:val="22"/>
              </w:rPr>
            </w:pPr>
            <w:r w:rsidRPr="00546267">
              <w:rPr>
                <w:b w:val="0"/>
                <w:noProof/>
                <w:szCs w:val="22"/>
              </w:rPr>
              <w:t>1008 - Audits – Other – 7 years after business action completed.</w:t>
            </w:r>
          </w:p>
          <w:p w14:paraId="60F7039E" w14:textId="77777777" w:rsidR="00743577" w:rsidRPr="00C1585F" w:rsidRDefault="00743577" w:rsidP="00743577">
            <w:pPr>
              <w:pStyle w:val="Tablesub-heading"/>
              <w:rPr>
                <w:b w:val="0"/>
                <w:i/>
                <w:iCs/>
                <w:noProof/>
                <w:szCs w:val="22"/>
              </w:rPr>
            </w:pPr>
            <w:r w:rsidRPr="00C1585F">
              <w:rPr>
                <w:b w:val="0"/>
                <w:i/>
                <w:iCs/>
                <w:noProof/>
                <w:szCs w:val="22"/>
              </w:rPr>
              <w:t xml:space="preserve">QDAN 480 v.4 Local Government sector Retention &amp; Disposal Schedule: </w:t>
            </w:r>
          </w:p>
          <w:p w14:paraId="7F52A7C0" w14:textId="77777777" w:rsidR="00743577" w:rsidRDefault="00743577" w:rsidP="00743577">
            <w:pPr>
              <w:pStyle w:val="Tablesub-heading"/>
              <w:numPr>
                <w:ilvl w:val="0"/>
                <w:numId w:val="34"/>
              </w:numPr>
              <w:rPr>
                <w:b w:val="0"/>
                <w:noProof/>
                <w:szCs w:val="22"/>
              </w:rPr>
            </w:pPr>
            <w:r>
              <w:rPr>
                <w:b w:val="0"/>
                <w:noProof/>
                <w:szCs w:val="22"/>
              </w:rPr>
              <w:t>7.12.1 - Budget Accommodation Buildings – Inspections – retain until the building is removed or demolished.</w:t>
            </w:r>
          </w:p>
          <w:p w14:paraId="20FA6B69" w14:textId="77777777" w:rsidR="00743577" w:rsidRDefault="00743577" w:rsidP="00743577">
            <w:pPr>
              <w:pStyle w:val="Tablesub-heading"/>
              <w:rPr>
                <w:b w:val="0"/>
                <w:noProof/>
                <w:szCs w:val="22"/>
              </w:rPr>
            </w:pPr>
            <w:r w:rsidRPr="00DB4F09">
              <w:rPr>
                <w:b w:val="0"/>
                <w:i/>
                <w:iCs/>
                <w:noProof/>
                <w:szCs w:val="22"/>
              </w:rPr>
              <w:t>QDAN</w:t>
            </w:r>
            <w:r>
              <w:rPr>
                <w:b w:val="0"/>
                <w:i/>
                <w:iCs/>
                <w:noProof/>
                <w:szCs w:val="22"/>
              </w:rPr>
              <w:t xml:space="preserve"> </w:t>
            </w:r>
            <w:r w:rsidRPr="00DB4F09">
              <w:rPr>
                <w:b w:val="0"/>
                <w:i/>
                <w:iCs/>
                <w:noProof/>
                <w:szCs w:val="22"/>
              </w:rPr>
              <w:t>742 v</w:t>
            </w:r>
            <w:r>
              <w:rPr>
                <w:b w:val="0"/>
                <w:i/>
                <w:iCs/>
                <w:noProof/>
                <w:szCs w:val="22"/>
              </w:rPr>
              <w:t>.</w:t>
            </w:r>
            <w:r w:rsidRPr="00DB4F09">
              <w:rPr>
                <w:b w:val="0"/>
                <w:i/>
                <w:iCs/>
                <w:noProof/>
                <w:szCs w:val="22"/>
              </w:rPr>
              <w:t>2 Queensland Racing Integrity Commission</w:t>
            </w:r>
            <w:r>
              <w:rPr>
                <w:b w:val="0"/>
                <w:noProof/>
                <w:szCs w:val="22"/>
              </w:rPr>
              <w:t xml:space="preserve"> (QRIC): </w:t>
            </w:r>
          </w:p>
          <w:p w14:paraId="41F75BF5" w14:textId="77777777" w:rsidR="00743577" w:rsidRDefault="00743577" w:rsidP="00743577">
            <w:pPr>
              <w:pStyle w:val="Tablesub-heading"/>
              <w:numPr>
                <w:ilvl w:val="0"/>
                <w:numId w:val="23"/>
              </w:numPr>
              <w:rPr>
                <w:b w:val="0"/>
                <w:noProof/>
                <w:szCs w:val="22"/>
              </w:rPr>
            </w:pPr>
            <w:r>
              <w:rPr>
                <w:b w:val="0"/>
                <w:noProof/>
                <w:szCs w:val="22"/>
              </w:rPr>
              <w:t xml:space="preserve">1.9.2  - </w:t>
            </w:r>
            <w:r w:rsidRPr="00DB4F09">
              <w:rPr>
                <w:b w:val="0"/>
                <w:noProof/>
                <w:szCs w:val="22"/>
              </w:rPr>
              <w:t>Compliance Audits, Reports and</w:t>
            </w:r>
            <w:r>
              <w:rPr>
                <w:i/>
              </w:rPr>
              <w:t xml:space="preserve"> </w:t>
            </w:r>
            <w:r w:rsidRPr="00DB4F09">
              <w:rPr>
                <w:b w:val="0"/>
                <w:noProof/>
                <w:szCs w:val="22"/>
              </w:rPr>
              <w:t>Registers</w:t>
            </w:r>
            <w:r>
              <w:rPr>
                <w:b w:val="0"/>
                <w:noProof/>
                <w:szCs w:val="22"/>
              </w:rPr>
              <w:t xml:space="preserve"> – retain for 7 years after last action </w:t>
            </w:r>
          </w:p>
          <w:p w14:paraId="498FA46A" w14:textId="77777777" w:rsidR="00743577" w:rsidRDefault="00743577" w:rsidP="00743577">
            <w:pPr>
              <w:pStyle w:val="Tablesub-heading"/>
              <w:numPr>
                <w:ilvl w:val="0"/>
                <w:numId w:val="23"/>
              </w:numPr>
              <w:rPr>
                <w:b w:val="0"/>
                <w:noProof/>
                <w:szCs w:val="22"/>
              </w:rPr>
            </w:pPr>
            <w:r>
              <w:rPr>
                <w:b w:val="0"/>
                <w:noProof/>
                <w:szCs w:val="22"/>
              </w:rPr>
              <w:t xml:space="preserve">1.12.1 - </w:t>
            </w:r>
            <w:r w:rsidRPr="00DB4F09">
              <w:rPr>
                <w:b w:val="0"/>
                <w:noProof/>
                <w:szCs w:val="22"/>
              </w:rPr>
              <w:t>Regulatory Enforcement</w:t>
            </w:r>
            <w:r>
              <w:rPr>
                <w:b w:val="0"/>
                <w:noProof/>
                <w:szCs w:val="22"/>
              </w:rPr>
              <w:t xml:space="preserve"> – retain for 7 years after action completed.</w:t>
            </w:r>
          </w:p>
          <w:p w14:paraId="26A34B41" w14:textId="77777777" w:rsidR="00743577" w:rsidRDefault="00743577" w:rsidP="00743577">
            <w:pPr>
              <w:pStyle w:val="Tablesub-heading"/>
              <w:numPr>
                <w:ilvl w:val="0"/>
                <w:numId w:val="23"/>
              </w:numPr>
              <w:rPr>
                <w:b w:val="0"/>
                <w:noProof/>
                <w:szCs w:val="22"/>
              </w:rPr>
            </w:pPr>
            <w:r>
              <w:rPr>
                <w:b w:val="0"/>
                <w:noProof/>
                <w:szCs w:val="22"/>
              </w:rPr>
              <w:t>1.15.2 – Investigations – other – retain for 7 years after action completed.</w:t>
            </w:r>
          </w:p>
          <w:p w14:paraId="4761A201" w14:textId="77777777" w:rsidR="00E5206F" w:rsidRPr="00634D63" w:rsidRDefault="00E5206F" w:rsidP="002215E0">
            <w:pPr>
              <w:pStyle w:val="Heading2"/>
            </w:pPr>
            <w:r w:rsidRPr="00634D63">
              <w:t>Previous schedule references:</w:t>
            </w:r>
          </w:p>
          <w:p w14:paraId="0790DA6E" w14:textId="33CA25D0" w:rsidR="00E5206F" w:rsidRPr="004A453A" w:rsidRDefault="00743577" w:rsidP="002215E0">
            <w:pPr>
              <w:pStyle w:val="Tablesub-heading"/>
              <w:rPr>
                <w:b w:val="0"/>
                <w:szCs w:val="22"/>
              </w:rPr>
            </w:pPr>
            <w:r>
              <w:rPr>
                <w:b w:val="0"/>
                <w:szCs w:val="22"/>
              </w:rPr>
              <w:t xml:space="preserve">New disposal authorisation. </w:t>
            </w:r>
          </w:p>
        </w:tc>
      </w:tr>
    </w:tbl>
    <w:p w14:paraId="3218ED15" w14:textId="5617F3EE" w:rsidR="00423520" w:rsidRDefault="00423520" w:rsidP="00F8629C"/>
    <w:p w14:paraId="68763A17" w14:textId="77777777" w:rsidR="00423520" w:rsidRDefault="00423520" w:rsidP="00F8629C">
      <w:r>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423520" w:rsidRPr="004A453A" w14:paraId="3050E074" w14:textId="77777777" w:rsidTr="002215E0">
        <w:tc>
          <w:tcPr>
            <w:tcW w:w="1077" w:type="pct"/>
            <w:shd w:val="clear" w:color="auto" w:fill="E0E0E0"/>
          </w:tcPr>
          <w:p w14:paraId="1A9F6BAF" w14:textId="77777777" w:rsidR="00423520" w:rsidRPr="004A453A" w:rsidRDefault="00423520" w:rsidP="002215E0">
            <w:pPr>
              <w:spacing w:before="60" w:after="60"/>
              <w:jc w:val="center"/>
              <w:rPr>
                <w:b/>
                <w:lang w:eastAsia="en-AU"/>
              </w:rPr>
            </w:pPr>
            <w:r>
              <w:lastRenderedPageBreak/>
              <w:br w:type="page"/>
            </w:r>
            <w:r w:rsidRPr="004A453A">
              <w:rPr>
                <w:b/>
                <w:lang w:eastAsia="en-AU"/>
              </w:rPr>
              <w:t>Title</w:t>
            </w:r>
          </w:p>
        </w:tc>
        <w:tc>
          <w:tcPr>
            <w:tcW w:w="3923" w:type="pct"/>
            <w:shd w:val="clear" w:color="auto" w:fill="E0E0E0"/>
          </w:tcPr>
          <w:p w14:paraId="70F2DE8E" w14:textId="77777777" w:rsidR="00423520" w:rsidRPr="004A453A" w:rsidRDefault="00423520" w:rsidP="002215E0">
            <w:pPr>
              <w:spacing w:before="60" w:after="60"/>
              <w:jc w:val="center"/>
              <w:rPr>
                <w:b/>
                <w:lang w:eastAsia="en-AU"/>
              </w:rPr>
            </w:pPr>
            <w:r w:rsidRPr="004A453A">
              <w:rPr>
                <w:b/>
                <w:lang w:eastAsia="en-AU"/>
              </w:rPr>
              <w:t>Scope Note</w:t>
            </w:r>
          </w:p>
        </w:tc>
      </w:tr>
      <w:tr w:rsidR="00423520" w:rsidRPr="004A453A" w14:paraId="1A3C5659" w14:textId="77777777" w:rsidTr="002215E0">
        <w:tc>
          <w:tcPr>
            <w:tcW w:w="1077" w:type="pct"/>
          </w:tcPr>
          <w:p w14:paraId="29BF8727" w14:textId="3008C14B" w:rsidR="00423520" w:rsidRPr="00634D63" w:rsidRDefault="00423520" w:rsidP="002215E0">
            <w:pPr>
              <w:pStyle w:val="Heading1"/>
            </w:pPr>
            <w:r>
              <w:t>COMMON ACTIVITIES:</w:t>
            </w:r>
          </w:p>
        </w:tc>
        <w:tc>
          <w:tcPr>
            <w:tcW w:w="3923" w:type="pct"/>
          </w:tcPr>
          <w:p w14:paraId="33B0A1CF" w14:textId="73C1E89E" w:rsidR="00423520" w:rsidRPr="00E35904" w:rsidRDefault="00423520" w:rsidP="002215E0">
            <w:pPr>
              <w:pStyle w:val="Scopenote"/>
            </w:pPr>
            <w:r>
              <w:t>Records of activities common to many agency functions. Each common record class from this section can be combined with the functions identified by the agency.</w:t>
            </w:r>
          </w:p>
        </w:tc>
      </w:tr>
    </w:tbl>
    <w:p w14:paraId="63AFD135" w14:textId="6AF9C2E1" w:rsidR="00423520" w:rsidRDefault="00423520" w:rsidP="00F8629C"/>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8"/>
        <w:gridCol w:w="2721"/>
        <w:gridCol w:w="10477"/>
      </w:tblGrid>
      <w:tr w:rsidR="00423520" w:rsidRPr="004A453A" w14:paraId="2E82D4E9" w14:textId="77777777" w:rsidTr="00384B0E">
        <w:trPr>
          <w:tblHeader/>
        </w:trPr>
        <w:tc>
          <w:tcPr>
            <w:tcW w:w="567" w:type="pct"/>
            <w:tcBorders>
              <w:top w:val="single" w:sz="6" w:space="0" w:color="C0C0C0"/>
              <w:bottom w:val="single" w:sz="6" w:space="0" w:color="C0C0C0"/>
            </w:tcBorders>
            <w:shd w:val="clear" w:color="auto" w:fill="C0C0C0"/>
            <w:vAlign w:val="center"/>
          </w:tcPr>
          <w:p w14:paraId="76AA1F89" w14:textId="77777777" w:rsidR="00423520" w:rsidRPr="003B6B5D" w:rsidRDefault="00423520" w:rsidP="002215E0">
            <w:pPr>
              <w:pStyle w:val="Tablesub-heading"/>
              <w:rPr>
                <w:szCs w:val="22"/>
              </w:rPr>
            </w:pPr>
            <w:r w:rsidRPr="003B6B5D">
              <w:t>Disposal Authorisation</w:t>
            </w:r>
          </w:p>
        </w:tc>
        <w:tc>
          <w:tcPr>
            <w:tcW w:w="914" w:type="pct"/>
            <w:tcBorders>
              <w:top w:val="single" w:sz="6" w:space="0" w:color="C0C0C0"/>
              <w:bottom w:val="single" w:sz="6" w:space="0" w:color="C0C0C0"/>
            </w:tcBorders>
            <w:shd w:val="clear" w:color="auto" w:fill="C0C0C0"/>
            <w:vAlign w:val="center"/>
          </w:tcPr>
          <w:p w14:paraId="7788B970" w14:textId="77777777" w:rsidR="00423520" w:rsidRPr="004A453A" w:rsidRDefault="00423520" w:rsidP="002215E0">
            <w:pPr>
              <w:pStyle w:val="Tablesub-heading"/>
            </w:pPr>
            <w:r>
              <w:t>Record class</w:t>
            </w:r>
            <w:r w:rsidRPr="004A453A">
              <w:t xml:space="preserve"> and retention period</w:t>
            </w:r>
          </w:p>
        </w:tc>
        <w:tc>
          <w:tcPr>
            <w:tcW w:w="3519" w:type="pct"/>
            <w:tcBorders>
              <w:top w:val="single" w:sz="6" w:space="0" w:color="C0C0C0"/>
              <w:bottom w:val="single" w:sz="6" w:space="0" w:color="C0C0C0"/>
            </w:tcBorders>
            <w:shd w:val="clear" w:color="auto" w:fill="C0C0C0"/>
            <w:vAlign w:val="center"/>
          </w:tcPr>
          <w:p w14:paraId="533EE277" w14:textId="77777777" w:rsidR="00423520" w:rsidRPr="004A453A" w:rsidRDefault="00423520" w:rsidP="002215E0">
            <w:pPr>
              <w:pStyle w:val="Tablesub-heading"/>
            </w:pPr>
            <w:r>
              <w:t>Justifying</w:t>
            </w:r>
            <w:r w:rsidRPr="004A453A">
              <w:t xml:space="preserve"> </w:t>
            </w:r>
            <w:r>
              <w:t>the</w:t>
            </w:r>
            <w:r w:rsidRPr="004A453A">
              <w:t xml:space="preserve"> retention period</w:t>
            </w:r>
          </w:p>
        </w:tc>
      </w:tr>
      <w:tr w:rsidR="00423520" w:rsidRPr="004A453A" w14:paraId="648DCB47" w14:textId="77777777" w:rsidTr="00384B0E">
        <w:tc>
          <w:tcPr>
            <w:tcW w:w="567" w:type="pct"/>
            <w:tcBorders>
              <w:top w:val="single" w:sz="6" w:space="0" w:color="C0C0C0"/>
              <w:bottom w:val="single" w:sz="6" w:space="0" w:color="C0C0C0"/>
            </w:tcBorders>
            <w:shd w:val="clear" w:color="auto" w:fill="auto"/>
          </w:tcPr>
          <w:p w14:paraId="6C2EB4C6" w14:textId="4FBBEC3F" w:rsidR="00423520" w:rsidRPr="004A453A" w:rsidRDefault="0075350F" w:rsidP="002215E0">
            <w:pPr>
              <w:pStyle w:val="Tablesub-heading"/>
              <w:rPr>
                <w:b w:val="0"/>
                <w:szCs w:val="22"/>
              </w:rPr>
            </w:pPr>
            <w:r>
              <w:rPr>
                <w:b w:val="0"/>
                <w:szCs w:val="22"/>
              </w:rPr>
              <w:t>2792</w:t>
            </w:r>
          </w:p>
        </w:tc>
        <w:tc>
          <w:tcPr>
            <w:tcW w:w="914" w:type="pct"/>
            <w:tcBorders>
              <w:top w:val="single" w:sz="6" w:space="0" w:color="C0C0C0"/>
              <w:bottom w:val="single" w:sz="6" w:space="0" w:color="C0C0C0"/>
            </w:tcBorders>
            <w:shd w:val="clear" w:color="auto" w:fill="auto"/>
          </w:tcPr>
          <w:p w14:paraId="0C3437CF" w14:textId="67B3A874" w:rsidR="00423520" w:rsidRPr="00784361" w:rsidRDefault="00784361" w:rsidP="00423520">
            <w:pPr>
              <w:pStyle w:val="Tablesub-heading"/>
              <w:rPr>
                <w:iCs/>
                <w:szCs w:val="22"/>
              </w:rPr>
            </w:pPr>
            <w:r>
              <w:rPr>
                <w:iCs/>
                <w:noProof/>
                <w:szCs w:val="22"/>
              </w:rPr>
              <w:t xml:space="preserve">Industry </w:t>
            </w:r>
            <w:r w:rsidR="00423520" w:rsidRPr="00784361">
              <w:rPr>
                <w:iCs/>
                <w:noProof/>
                <w:szCs w:val="22"/>
              </w:rPr>
              <w:t>Research</w:t>
            </w:r>
          </w:p>
          <w:p w14:paraId="22ECFE2C" w14:textId="77777777" w:rsidR="00423520" w:rsidRPr="00C84481" w:rsidRDefault="00423520" w:rsidP="00423520">
            <w:pPr>
              <w:pStyle w:val="Tablesub-heading"/>
              <w:rPr>
                <w:b w:val="0"/>
                <w:noProof/>
                <w:szCs w:val="22"/>
              </w:rPr>
            </w:pPr>
            <w:r>
              <w:rPr>
                <w:b w:val="0"/>
                <w:noProof/>
                <w:szCs w:val="22"/>
              </w:rPr>
              <w:t xml:space="preserve">Records relating to detailed industry research to support the activities of the organisation. Includes gathering information to support developing or updating of standards, </w:t>
            </w:r>
            <w:r w:rsidRPr="00C84481">
              <w:rPr>
                <w:b w:val="0"/>
                <w:noProof/>
                <w:szCs w:val="22"/>
              </w:rPr>
              <w:t>guidelines or codes.</w:t>
            </w:r>
          </w:p>
          <w:p w14:paraId="78DF9774" w14:textId="77777777" w:rsidR="00423520" w:rsidRDefault="00423520" w:rsidP="00423520">
            <w:pPr>
              <w:pStyle w:val="Tablesub-heading"/>
              <w:rPr>
                <w:b w:val="0"/>
                <w:bCs/>
                <w:szCs w:val="22"/>
              </w:rPr>
            </w:pPr>
            <w:r w:rsidRPr="00C84481">
              <w:rPr>
                <w:b w:val="0"/>
                <w:bCs/>
                <w:szCs w:val="22"/>
              </w:rPr>
              <w:t>Excludes research relating to dispute resolution</w:t>
            </w:r>
            <w:r>
              <w:rPr>
                <w:b w:val="0"/>
                <w:bCs/>
                <w:szCs w:val="22"/>
              </w:rPr>
              <w:t>.</w:t>
            </w:r>
          </w:p>
          <w:p w14:paraId="2A888091" w14:textId="77777777" w:rsidR="00423520" w:rsidRPr="00634D63" w:rsidRDefault="00423520" w:rsidP="002215E0">
            <w:pPr>
              <w:pStyle w:val="Heading2"/>
            </w:pPr>
            <w:r w:rsidRPr="00634D63">
              <w:t xml:space="preserve">Disposal action – </w:t>
            </w:r>
          </w:p>
          <w:p w14:paraId="51B907C7" w14:textId="3997CD52" w:rsidR="00423520" w:rsidRPr="004A453A" w:rsidRDefault="00423520" w:rsidP="002215E0">
            <w:pPr>
              <w:pStyle w:val="Tablesub-heading"/>
              <w:rPr>
                <w:b w:val="0"/>
              </w:rPr>
            </w:pPr>
            <w:r w:rsidRPr="00C84481">
              <w:rPr>
                <w:b w:val="0"/>
                <w:noProof/>
              </w:rPr>
              <w:t>10</w:t>
            </w:r>
            <w:r>
              <w:rPr>
                <w:b w:val="0"/>
                <w:noProof/>
              </w:rPr>
              <w:t xml:space="preserve"> years after business action completed</w:t>
            </w:r>
          </w:p>
        </w:tc>
        <w:tc>
          <w:tcPr>
            <w:tcW w:w="3519" w:type="pct"/>
            <w:tcBorders>
              <w:top w:val="single" w:sz="6" w:space="0" w:color="C0C0C0"/>
              <w:bottom w:val="single" w:sz="6" w:space="0" w:color="C0C0C0"/>
            </w:tcBorders>
            <w:shd w:val="clear" w:color="auto" w:fill="auto"/>
          </w:tcPr>
          <w:p w14:paraId="426C339C" w14:textId="07B3E88B" w:rsidR="00423520" w:rsidRPr="004A453A" w:rsidRDefault="00423520" w:rsidP="002215E0">
            <w:pPr>
              <w:pStyle w:val="Tablesub-heading"/>
              <w:rPr>
                <w:b w:val="0"/>
                <w:szCs w:val="22"/>
              </w:rPr>
            </w:pPr>
            <w:r>
              <w:t xml:space="preserve">Date authorised: </w:t>
            </w:r>
            <w:r w:rsidR="00067BF0">
              <w:rPr>
                <w:b w:val="0"/>
              </w:rPr>
              <w:t>15 December 2023</w:t>
            </w:r>
          </w:p>
          <w:p w14:paraId="4C04CB1A" w14:textId="77777777" w:rsidR="00423520" w:rsidRPr="00634D63" w:rsidRDefault="00423520" w:rsidP="002215E0">
            <w:pPr>
              <w:pStyle w:val="Heading2"/>
            </w:pPr>
            <w:r w:rsidRPr="00634D63">
              <w:t>Why are these records created:</w:t>
            </w:r>
          </w:p>
          <w:p w14:paraId="6EF07FB5" w14:textId="3969810C" w:rsidR="00423520" w:rsidRPr="004A453A" w:rsidRDefault="00423520" w:rsidP="002215E0">
            <w:pPr>
              <w:pStyle w:val="Tablesub-heading"/>
              <w:rPr>
                <w:b w:val="0"/>
                <w:szCs w:val="22"/>
              </w:rPr>
            </w:pPr>
            <w:r>
              <w:rPr>
                <w:b w:val="0"/>
                <w:noProof/>
                <w:szCs w:val="22"/>
              </w:rPr>
              <w:t xml:space="preserve">Facilitative records of internal research used to support projects, reports and analysis of industry trends. </w:t>
            </w:r>
            <w:r w:rsidRPr="00C84481">
              <w:rPr>
                <w:b w:val="0"/>
                <w:noProof/>
                <w:szCs w:val="22"/>
              </w:rPr>
              <w:t>For research records that are used to support investigations refer to Resolution Case Files.</w:t>
            </w:r>
            <w:r>
              <w:rPr>
                <w:b w:val="0"/>
                <w:noProof/>
                <w:szCs w:val="22"/>
              </w:rPr>
              <w:t xml:space="preserve"> </w:t>
            </w:r>
          </w:p>
          <w:p w14:paraId="1B6025BD" w14:textId="77777777" w:rsidR="00423520" w:rsidRPr="00634D63" w:rsidRDefault="00423520" w:rsidP="002215E0">
            <w:pPr>
              <w:pStyle w:val="Heading2"/>
            </w:pPr>
            <w:r w:rsidRPr="00634D63">
              <w:t>Why the records are retained for this retention period:</w:t>
            </w:r>
          </w:p>
          <w:p w14:paraId="50014B25" w14:textId="77777777" w:rsidR="00423520" w:rsidRPr="00F43781" w:rsidRDefault="00423520" w:rsidP="00423520">
            <w:pPr>
              <w:pStyle w:val="Tablesub-heading"/>
              <w:shd w:val="clear" w:color="auto" w:fill="FFFFFF"/>
              <w:rPr>
                <w:b w:val="0"/>
                <w:szCs w:val="22"/>
              </w:rPr>
            </w:pPr>
            <w:r w:rsidRPr="00F43781">
              <w:rPr>
                <w:b w:val="0"/>
                <w:noProof/>
                <w:szCs w:val="22"/>
              </w:rPr>
              <w:t xml:space="preserve">Industry </w:t>
            </w:r>
            <w:r w:rsidRPr="00F43781">
              <w:rPr>
                <w:b w:val="0"/>
                <w:szCs w:val="22"/>
              </w:rPr>
              <w:t xml:space="preserve">research is used to strengthen evidence-based decision making and contributes to effective operation of the organisation through </w:t>
            </w:r>
            <w:r w:rsidRPr="00F43781">
              <w:rPr>
                <w:b w:val="0"/>
                <w:noProof/>
                <w:szCs w:val="22"/>
              </w:rPr>
              <w:t>supporting business activities</w:t>
            </w:r>
            <w:r w:rsidRPr="00F43781">
              <w:rPr>
                <w:b w:val="0"/>
                <w:szCs w:val="22"/>
              </w:rPr>
              <w:t xml:space="preserve"> of the agency. These records need</w:t>
            </w:r>
            <w:r>
              <w:rPr>
                <w:b w:val="0"/>
                <w:szCs w:val="22"/>
              </w:rPr>
              <w:t xml:space="preserve">        </w:t>
            </w:r>
            <w:r w:rsidRPr="00F43781">
              <w:rPr>
                <w:b w:val="0"/>
                <w:szCs w:val="22"/>
              </w:rPr>
              <w:t xml:space="preserve"> to be retained for </w:t>
            </w:r>
            <w:r>
              <w:rPr>
                <w:b w:val="0"/>
                <w:szCs w:val="22"/>
              </w:rPr>
              <w:t>10</w:t>
            </w:r>
            <w:r w:rsidRPr="00F43781">
              <w:rPr>
                <w:b w:val="0"/>
                <w:szCs w:val="22"/>
              </w:rPr>
              <w:t xml:space="preserve"> years as they</w:t>
            </w:r>
            <w:r>
              <w:rPr>
                <w:b w:val="0"/>
                <w:szCs w:val="22"/>
              </w:rPr>
              <w:t xml:space="preserve"> are</w:t>
            </w:r>
            <w:r w:rsidRPr="00F43781">
              <w:rPr>
                <w:b w:val="0"/>
                <w:szCs w:val="22"/>
              </w:rPr>
              <w:t>:</w:t>
            </w:r>
          </w:p>
          <w:p w14:paraId="5CACA8A0" w14:textId="77777777" w:rsidR="00423520" w:rsidRDefault="00423520" w:rsidP="00423520">
            <w:pPr>
              <w:pStyle w:val="Tablesub-heading"/>
              <w:numPr>
                <w:ilvl w:val="0"/>
                <w:numId w:val="35"/>
              </w:numPr>
              <w:shd w:val="clear" w:color="auto" w:fill="FFFFFF"/>
              <w:rPr>
                <w:b w:val="0"/>
                <w:szCs w:val="22"/>
              </w:rPr>
            </w:pPr>
            <w:r w:rsidRPr="00F43781">
              <w:rPr>
                <w:b w:val="0"/>
                <w:szCs w:val="22"/>
              </w:rPr>
              <w:t xml:space="preserve">Used to develop, improve or enhance </w:t>
            </w:r>
            <w:r>
              <w:rPr>
                <w:b w:val="0"/>
                <w:szCs w:val="22"/>
              </w:rPr>
              <w:t xml:space="preserve">agency </w:t>
            </w:r>
            <w:r w:rsidRPr="00F43781">
              <w:rPr>
                <w:b w:val="0"/>
                <w:szCs w:val="22"/>
              </w:rPr>
              <w:t>activities</w:t>
            </w:r>
            <w:r>
              <w:rPr>
                <w:b w:val="0"/>
                <w:szCs w:val="22"/>
              </w:rPr>
              <w:t xml:space="preserve">, </w:t>
            </w:r>
            <w:r w:rsidRPr="00F43781">
              <w:rPr>
                <w:b w:val="0"/>
                <w:szCs w:val="22"/>
              </w:rPr>
              <w:t>services</w:t>
            </w:r>
            <w:r>
              <w:rPr>
                <w:b w:val="0"/>
                <w:szCs w:val="22"/>
              </w:rPr>
              <w:t xml:space="preserve"> and other business initiatives.</w:t>
            </w:r>
          </w:p>
          <w:p w14:paraId="66CDE853" w14:textId="77777777" w:rsidR="00423520" w:rsidRDefault="00423520" w:rsidP="00423520">
            <w:pPr>
              <w:pStyle w:val="Tablesub-heading"/>
              <w:numPr>
                <w:ilvl w:val="0"/>
                <w:numId w:val="35"/>
              </w:numPr>
              <w:shd w:val="clear" w:color="auto" w:fill="FFFFFF"/>
              <w:rPr>
                <w:b w:val="0"/>
                <w:szCs w:val="22"/>
              </w:rPr>
            </w:pPr>
            <w:r>
              <w:rPr>
                <w:b w:val="0"/>
                <w:szCs w:val="22"/>
              </w:rPr>
              <w:t>C</w:t>
            </w:r>
            <w:r w:rsidRPr="008D7997">
              <w:rPr>
                <w:b w:val="0"/>
                <w:szCs w:val="22"/>
              </w:rPr>
              <w:t xml:space="preserve">ollecting, collating, managing, maintaining, processing and analysing research data, including applying quality control and quality assurance processes. Includes ingesting data received through exchanges with other </w:t>
            </w:r>
            <w:r>
              <w:rPr>
                <w:b w:val="0"/>
                <w:szCs w:val="22"/>
              </w:rPr>
              <w:t xml:space="preserve">groups or </w:t>
            </w:r>
            <w:r w:rsidRPr="008D7997">
              <w:rPr>
                <w:b w:val="0"/>
                <w:szCs w:val="22"/>
              </w:rPr>
              <w:t>entitie</w:t>
            </w:r>
            <w:r>
              <w:rPr>
                <w:b w:val="0"/>
                <w:szCs w:val="22"/>
              </w:rPr>
              <w:t>s.</w:t>
            </w:r>
          </w:p>
          <w:p w14:paraId="0456AF11" w14:textId="77777777" w:rsidR="00423520" w:rsidRPr="00966246" w:rsidRDefault="00423520" w:rsidP="00423520">
            <w:pPr>
              <w:pStyle w:val="Tablesub-heading"/>
              <w:numPr>
                <w:ilvl w:val="0"/>
                <w:numId w:val="35"/>
              </w:numPr>
              <w:shd w:val="clear" w:color="auto" w:fill="FFFFFF"/>
              <w:rPr>
                <w:b w:val="0"/>
                <w:szCs w:val="22"/>
              </w:rPr>
            </w:pPr>
            <w:r>
              <w:rPr>
                <w:b w:val="0"/>
                <w:szCs w:val="22"/>
              </w:rPr>
              <w:t xml:space="preserve">Summarisations </w:t>
            </w:r>
            <w:r w:rsidRPr="008D7997">
              <w:rPr>
                <w:b w:val="0"/>
                <w:szCs w:val="22"/>
              </w:rPr>
              <w:t xml:space="preserve">on progress and outcomes of research and development </w:t>
            </w:r>
            <w:r>
              <w:rPr>
                <w:b w:val="0"/>
                <w:szCs w:val="22"/>
              </w:rPr>
              <w:t>activities</w:t>
            </w:r>
            <w:r w:rsidRPr="008D7997">
              <w:rPr>
                <w:b w:val="0"/>
                <w:szCs w:val="22"/>
              </w:rPr>
              <w:t>, including providing or receiving final research reports and</w:t>
            </w:r>
            <w:r>
              <w:rPr>
                <w:b w:val="0"/>
                <w:szCs w:val="22"/>
              </w:rPr>
              <w:t xml:space="preserve">/or </w:t>
            </w:r>
            <w:r w:rsidRPr="008D7997">
              <w:rPr>
                <w:b w:val="0"/>
                <w:szCs w:val="22"/>
              </w:rPr>
              <w:t>deliverables</w:t>
            </w:r>
            <w:r>
              <w:t>.</w:t>
            </w:r>
          </w:p>
          <w:p w14:paraId="0C86DCC5" w14:textId="77777777" w:rsidR="00423520" w:rsidRPr="008D7997" w:rsidRDefault="00423520" w:rsidP="00423520">
            <w:pPr>
              <w:pStyle w:val="Tablesub-heading"/>
              <w:numPr>
                <w:ilvl w:val="0"/>
                <w:numId w:val="35"/>
              </w:numPr>
              <w:shd w:val="clear" w:color="auto" w:fill="FFFFFF"/>
              <w:rPr>
                <w:b w:val="0"/>
                <w:szCs w:val="22"/>
              </w:rPr>
            </w:pPr>
            <w:r w:rsidRPr="00175048">
              <w:rPr>
                <w:b w:val="0"/>
                <w:bCs/>
              </w:rPr>
              <w:t>P</w:t>
            </w:r>
            <w:r w:rsidRPr="00175048">
              <w:rPr>
                <w:b w:val="0"/>
                <w:bCs/>
                <w:szCs w:val="22"/>
              </w:rPr>
              <w:t>romotion</w:t>
            </w:r>
            <w:r w:rsidRPr="008D7997">
              <w:rPr>
                <w:b w:val="0"/>
                <w:szCs w:val="22"/>
              </w:rPr>
              <w:t xml:space="preserve"> and support of research and development, including development </w:t>
            </w:r>
            <w:r>
              <w:rPr>
                <w:b w:val="0"/>
                <w:szCs w:val="22"/>
              </w:rPr>
              <w:t xml:space="preserve">of </w:t>
            </w:r>
            <w:r w:rsidRPr="008D7997">
              <w:rPr>
                <w:b w:val="0"/>
                <w:szCs w:val="22"/>
              </w:rPr>
              <w:t>assistance for research projects</w:t>
            </w:r>
            <w:r>
              <w:rPr>
                <w:b w:val="0"/>
                <w:szCs w:val="22"/>
              </w:rPr>
              <w:t>.</w:t>
            </w:r>
          </w:p>
          <w:p w14:paraId="2CD030E2" w14:textId="77777777" w:rsidR="00423520" w:rsidRDefault="00423520" w:rsidP="00423520">
            <w:pPr>
              <w:pStyle w:val="Tablesub-heading"/>
              <w:numPr>
                <w:ilvl w:val="0"/>
                <w:numId w:val="35"/>
              </w:numPr>
              <w:shd w:val="clear" w:color="auto" w:fill="FFFFFF"/>
              <w:rPr>
                <w:b w:val="0"/>
                <w:szCs w:val="22"/>
              </w:rPr>
            </w:pPr>
            <w:r>
              <w:rPr>
                <w:b w:val="0"/>
                <w:szCs w:val="22"/>
              </w:rPr>
              <w:t>D</w:t>
            </w:r>
            <w:r w:rsidRPr="008D7997">
              <w:rPr>
                <w:b w:val="0"/>
                <w:szCs w:val="22"/>
              </w:rPr>
              <w:t>isseminating research and development findings and providing access to research data, including via the agency</w:t>
            </w:r>
            <w:r>
              <w:rPr>
                <w:b w:val="0"/>
                <w:szCs w:val="22"/>
              </w:rPr>
              <w:t xml:space="preserve"> w</w:t>
            </w:r>
            <w:r w:rsidRPr="008D7997">
              <w:rPr>
                <w:b w:val="0"/>
                <w:szCs w:val="22"/>
              </w:rPr>
              <w:t>ebsite</w:t>
            </w:r>
            <w:r>
              <w:rPr>
                <w:b w:val="0"/>
                <w:szCs w:val="22"/>
              </w:rPr>
              <w:t>.</w:t>
            </w:r>
          </w:p>
          <w:p w14:paraId="49F0143C" w14:textId="77777777" w:rsidR="00423520" w:rsidRPr="00F43781" w:rsidRDefault="00423520" w:rsidP="00423520">
            <w:pPr>
              <w:pStyle w:val="Tablesub-heading"/>
              <w:numPr>
                <w:ilvl w:val="0"/>
                <w:numId w:val="35"/>
              </w:numPr>
              <w:shd w:val="clear" w:color="auto" w:fill="FFFFFF"/>
              <w:rPr>
                <w:b w:val="0"/>
                <w:szCs w:val="22"/>
              </w:rPr>
            </w:pPr>
            <w:r>
              <w:rPr>
                <w:b w:val="0"/>
                <w:szCs w:val="22"/>
              </w:rPr>
              <w:t>Facilitate the development of research reports. Includes - statistics, raw data and information acquired from surveys and consultation process that has been analysed and reported upon.</w:t>
            </w:r>
          </w:p>
          <w:p w14:paraId="1A451C3D" w14:textId="77777777" w:rsidR="00423520" w:rsidRDefault="00423520" w:rsidP="00423520">
            <w:pPr>
              <w:pStyle w:val="Tablesub-heading"/>
              <w:numPr>
                <w:ilvl w:val="0"/>
                <w:numId w:val="35"/>
              </w:numPr>
              <w:shd w:val="clear" w:color="auto" w:fill="FFFFFF"/>
              <w:rPr>
                <w:b w:val="0"/>
                <w:szCs w:val="22"/>
              </w:rPr>
            </w:pPr>
            <w:r w:rsidRPr="00F43781">
              <w:rPr>
                <w:b w:val="0"/>
                <w:szCs w:val="22"/>
              </w:rPr>
              <w:t>Supports decision making of the agency.</w:t>
            </w:r>
          </w:p>
          <w:p w14:paraId="52947530" w14:textId="03AAF18C" w:rsidR="00423520" w:rsidRPr="004A453A" w:rsidRDefault="00423520" w:rsidP="002215E0">
            <w:pPr>
              <w:pStyle w:val="Tablesub-heading"/>
              <w:rPr>
                <w:b w:val="0"/>
                <w:szCs w:val="22"/>
              </w:rPr>
            </w:pPr>
            <w:r>
              <w:rPr>
                <w:b w:val="0"/>
                <w:szCs w:val="22"/>
              </w:rPr>
              <w:t xml:space="preserve"> </w:t>
            </w:r>
          </w:p>
          <w:p w14:paraId="24608EC0" w14:textId="77777777" w:rsidR="00423520" w:rsidRPr="00634D63" w:rsidRDefault="00423520" w:rsidP="002215E0">
            <w:pPr>
              <w:pStyle w:val="Heading2"/>
            </w:pPr>
            <w:r w:rsidRPr="00634D63">
              <w:t>Applicable legislation/standards:</w:t>
            </w:r>
          </w:p>
          <w:p w14:paraId="44DC62B9" w14:textId="77777777" w:rsidR="00423520" w:rsidRPr="00C66CC8" w:rsidRDefault="00423520" w:rsidP="00423520">
            <w:pPr>
              <w:pStyle w:val="Heading2"/>
              <w:rPr>
                <w:rFonts w:ascii="Arial" w:hAnsi="Arial" w:cs="Arial"/>
                <w:b w:val="0"/>
                <w:noProof/>
                <w:szCs w:val="22"/>
              </w:rPr>
            </w:pPr>
            <w:r w:rsidRPr="00C66CC8">
              <w:rPr>
                <w:rFonts w:ascii="Arial" w:hAnsi="Arial" w:cs="Arial"/>
                <w:b w:val="0"/>
                <w:noProof/>
                <w:szCs w:val="22"/>
              </w:rPr>
              <w:lastRenderedPageBreak/>
              <w:t xml:space="preserve">See the list of applicable legislation and standards for public records created, kept and managed by the Building and Construction </w:t>
            </w:r>
            <w:r>
              <w:rPr>
                <w:rFonts w:ascii="Arial" w:hAnsi="Arial" w:cs="Arial"/>
                <w:b w:val="0"/>
                <w:noProof/>
                <w:szCs w:val="22"/>
              </w:rPr>
              <w:t>sector</w:t>
            </w:r>
            <w:r w:rsidRPr="00C66CC8">
              <w:rPr>
                <w:rFonts w:ascii="Arial" w:hAnsi="Arial" w:cs="Arial"/>
                <w:b w:val="0"/>
                <w:noProof/>
                <w:szCs w:val="22"/>
              </w:rPr>
              <w:t xml:space="preserve"> located at the beginning of this appraisal log.</w:t>
            </w:r>
          </w:p>
          <w:p w14:paraId="00A9F76A" w14:textId="77777777" w:rsidR="00423520" w:rsidRPr="00634D63" w:rsidRDefault="00423520" w:rsidP="002215E0">
            <w:pPr>
              <w:pStyle w:val="Heading2"/>
            </w:pPr>
            <w:r w:rsidRPr="00634D63">
              <w:t xml:space="preserve">Comparison with other schedules' retention period: </w:t>
            </w:r>
          </w:p>
          <w:p w14:paraId="35C9B7C5" w14:textId="77777777" w:rsidR="00423520" w:rsidRDefault="00423520" w:rsidP="00423520">
            <w:pPr>
              <w:pStyle w:val="Tablesub-heading"/>
              <w:rPr>
                <w:b w:val="0"/>
                <w:noProof/>
                <w:szCs w:val="22"/>
              </w:rPr>
            </w:pPr>
            <w:r w:rsidRPr="007A54E1">
              <w:rPr>
                <w:b w:val="0"/>
                <w:i/>
                <w:iCs/>
                <w:noProof/>
                <w:szCs w:val="22"/>
              </w:rPr>
              <w:t>QDAN 742 v.2 Qld Racing Integrity Commission</w:t>
            </w:r>
            <w:r>
              <w:rPr>
                <w:b w:val="0"/>
                <w:noProof/>
                <w:szCs w:val="22"/>
              </w:rPr>
              <w:t xml:space="preserve"> (QRIC) 1.22.2 Research – Other – Retain for 10 years after action completed.</w:t>
            </w:r>
          </w:p>
          <w:p w14:paraId="1385582E" w14:textId="6B3741AB" w:rsidR="00423520" w:rsidRPr="004A453A" w:rsidRDefault="00423520" w:rsidP="002215E0">
            <w:pPr>
              <w:pStyle w:val="Tablesub-heading"/>
              <w:rPr>
                <w:b w:val="0"/>
                <w:szCs w:val="22"/>
              </w:rPr>
            </w:pPr>
            <w:r w:rsidRPr="006F1D11">
              <w:rPr>
                <w:b w:val="0"/>
                <w:noProof/>
                <w:szCs w:val="22"/>
              </w:rPr>
              <w:t xml:space="preserve">GRA-37, </w:t>
            </w:r>
            <w:r>
              <w:rPr>
                <w:b w:val="0"/>
                <w:noProof/>
                <w:szCs w:val="22"/>
              </w:rPr>
              <w:t xml:space="preserve">General Records Authority, </w:t>
            </w:r>
            <w:r w:rsidRPr="006F1D11">
              <w:rPr>
                <w:b w:val="0"/>
                <w:noProof/>
                <w:szCs w:val="22"/>
              </w:rPr>
              <w:t>6</w:t>
            </w:r>
            <w:r>
              <w:rPr>
                <w:b w:val="0"/>
                <w:noProof/>
                <w:szCs w:val="22"/>
              </w:rPr>
              <w:t xml:space="preserve">3003 - </w:t>
            </w:r>
            <w:r w:rsidRPr="006F1D11">
              <w:rPr>
                <w:b w:val="0"/>
                <w:noProof/>
                <w:szCs w:val="22"/>
              </w:rPr>
              <w:t xml:space="preserve">Research &amp; Development </w:t>
            </w:r>
            <w:r>
              <w:rPr>
                <w:b w:val="0"/>
                <w:noProof/>
                <w:szCs w:val="22"/>
              </w:rPr>
              <w:t xml:space="preserve">– retain for 7 years after last action – as </w:t>
            </w:r>
            <w:r w:rsidRPr="006F1D11">
              <w:rPr>
                <w:b w:val="0"/>
                <w:noProof/>
                <w:szCs w:val="22"/>
              </w:rPr>
              <w:t xml:space="preserve">issued </w:t>
            </w:r>
            <w:r>
              <w:rPr>
                <w:b w:val="0"/>
                <w:noProof/>
                <w:szCs w:val="22"/>
              </w:rPr>
              <w:t>by</w:t>
            </w:r>
            <w:r>
              <w:rPr>
                <w:b w:val="0"/>
                <w:szCs w:val="22"/>
              </w:rPr>
              <w:t xml:space="preserve"> </w:t>
            </w:r>
            <w:r w:rsidRPr="006F1D11">
              <w:rPr>
                <w:b w:val="0"/>
                <w:szCs w:val="22"/>
              </w:rPr>
              <w:t xml:space="preserve">the </w:t>
            </w:r>
            <w:r>
              <w:rPr>
                <w:b w:val="0"/>
                <w:szCs w:val="22"/>
              </w:rPr>
              <w:t>National Archives of Australia (</w:t>
            </w:r>
            <w:r w:rsidRPr="006F1D11">
              <w:rPr>
                <w:b w:val="0"/>
                <w:szCs w:val="22"/>
              </w:rPr>
              <w:t>NAA</w:t>
            </w:r>
            <w:r>
              <w:rPr>
                <w:b w:val="0"/>
                <w:szCs w:val="22"/>
              </w:rPr>
              <w:t>).</w:t>
            </w:r>
          </w:p>
          <w:p w14:paraId="2D180040" w14:textId="77777777" w:rsidR="00423520" w:rsidRPr="00634D63" w:rsidRDefault="00423520" w:rsidP="002215E0">
            <w:pPr>
              <w:pStyle w:val="Heading2"/>
            </w:pPr>
            <w:r w:rsidRPr="00634D63">
              <w:t>Previous schedule references:</w:t>
            </w:r>
          </w:p>
          <w:p w14:paraId="0CCE61E2" w14:textId="195800D3" w:rsidR="00423520" w:rsidRPr="004A453A" w:rsidRDefault="00423520" w:rsidP="002215E0">
            <w:pPr>
              <w:pStyle w:val="Tablesub-heading"/>
              <w:rPr>
                <w:b w:val="0"/>
                <w:szCs w:val="22"/>
              </w:rPr>
            </w:pPr>
            <w:r w:rsidRPr="00370029">
              <w:rPr>
                <w:rFonts w:cs="Arial"/>
                <w:b w:val="0"/>
                <w:i/>
                <w:iCs/>
                <w:noProof/>
                <w:szCs w:val="22"/>
              </w:rPr>
              <w:t>QDAN 185 v.2 Queensland Building and Construction Commission retention and disposal schedule</w:t>
            </w:r>
            <w:r>
              <w:rPr>
                <w:rFonts w:cs="Arial"/>
                <w:b w:val="0"/>
                <w:noProof/>
                <w:szCs w:val="22"/>
              </w:rPr>
              <w:t xml:space="preserve"> 1.4.2 Research records – retain for 12 years after legal advice received.</w:t>
            </w:r>
          </w:p>
        </w:tc>
      </w:tr>
    </w:tbl>
    <w:p w14:paraId="0AB62FC5" w14:textId="77777777" w:rsidR="00423520" w:rsidRDefault="00423520" w:rsidP="00F8629C"/>
    <w:sectPr w:rsidR="00423520" w:rsidSect="009D248E">
      <w:headerReference w:type="even" r:id="rId9"/>
      <w:footerReference w:type="default" r:id="rId10"/>
      <w:footerReference w:type="first" r:id="rId11"/>
      <w:pgSz w:w="16838" w:h="11906" w:orient="landscape" w:code="9"/>
      <w:pgMar w:top="992" w:right="1134"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06A5" w14:textId="77777777" w:rsidR="00485210" w:rsidRDefault="00485210" w:rsidP="003E5091">
      <w:r>
        <w:separator/>
      </w:r>
    </w:p>
  </w:endnote>
  <w:endnote w:type="continuationSeparator" w:id="0">
    <w:p w14:paraId="100E3D81" w14:textId="77777777" w:rsidR="00485210" w:rsidRDefault="00485210" w:rsidP="003E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EB05" w14:textId="1CAD5916" w:rsidR="00637A9E" w:rsidRPr="009D248E" w:rsidRDefault="009D248E" w:rsidP="00634D63">
    <w:pPr>
      <w:pStyle w:val="HeaderFooter"/>
    </w:pPr>
    <w:r w:rsidRPr="009D248E">
      <w:t>Queensland State Archives</w:t>
    </w:r>
    <w:r w:rsidRPr="009D248E">
      <w:tab/>
    </w:r>
    <w:r w:rsidR="00637A9E" w:rsidRPr="00F8629C">
      <w:t xml:space="preserve">Page </w:t>
    </w:r>
    <w:r w:rsidR="00637A9E" w:rsidRPr="00F8629C">
      <w:rPr>
        <w:rStyle w:val="PageNumber"/>
      </w:rPr>
      <w:fldChar w:fldCharType="begin"/>
    </w:r>
    <w:r w:rsidR="00637A9E" w:rsidRPr="00F8629C">
      <w:rPr>
        <w:rStyle w:val="PageNumber"/>
      </w:rPr>
      <w:instrText xml:space="preserve"> PAGE </w:instrText>
    </w:r>
    <w:r w:rsidR="00637A9E" w:rsidRPr="00F8629C">
      <w:rPr>
        <w:rStyle w:val="PageNumber"/>
      </w:rPr>
      <w:fldChar w:fldCharType="separate"/>
    </w:r>
    <w:r w:rsidR="00CC3BBA">
      <w:rPr>
        <w:rStyle w:val="PageNumber"/>
        <w:noProof/>
      </w:rPr>
      <w:t>3</w:t>
    </w:r>
    <w:r w:rsidR="00637A9E" w:rsidRPr="00F8629C">
      <w:rPr>
        <w:rStyle w:val="PageNumber"/>
      </w:rPr>
      <w:fldChar w:fldCharType="end"/>
    </w:r>
    <w:r w:rsidR="00637A9E" w:rsidRPr="00F8629C">
      <w:rPr>
        <w:rStyle w:val="PageNumber"/>
      </w:rPr>
      <w:t xml:space="preserve"> of </w:t>
    </w:r>
    <w:r w:rsidR="00637A9E" w:rsidRPr="00F8629C">
      <w:rPr>
        <w:rStyle w:val="PageNumber"/>
      </w:rPr>
      <w:fldChar w:fldCharType="begin"/>
    </w:r>
    <w:r w:rsidR="00637A9E" w:rsidRPr="00F8629C">
      <w:rPr>
        <w:rStyle w:val="PageNumber"/>
      </w:rPr>
      <w:instrText xml:space="preserve"> NUMPAGES </w:instrText>
    </w:r>
    <w:r w:rsidR="00637A9E" w:rsidRPr="00F8629C">
      <w:rPr>
        <w:rStyle w:val="PageNumber"/>
      </w:rPr>
      <w:fldChar w:fldCharType="separate"/>
    </w:r>
    <w:r w:rsidR="00CC3BBA">
      <w:rPr>
        <w:rStyle w:val="PageNumber"/>
        <w:noProof/>
      </w:rPr>
      <w:t>3</w:t>
    </w:r>
    <w:r w:rsidR="00637A9E" w:rsidRPr="00F8629C">
      <w:rPr>
        <w:rStyle w:val="PageNumber"/>
      </w:rPr>
      <w:fldChar w:fldCharType="end"/>
    </w:r>
    <w:r w:rsidR="00C3439D">
      <w:rPr>
        <w:noProof/>
        <w:lang w:eastAsia="en-AU"/>
      </w:rPr>
      <mc:AlternateContent>
        <mc:Choice Requires="wps">
          <w:drawing>
            <wp:anchor distT="0" distB="0" distL="114300" distR="114300" simplePos="0" relativeHeight="251656704" behindDoc="0" locked="0" layoutInCell="1" allowOverlap="1" wp14:anchorId="162A2EC6" wp14:editId="1144EFB9">
              <wp:simplePos x="0" y="0"/>
              <wp:positionH relativeFrom="page">
                <wp:posOffset>235585</wp:posOffset>
              </wp:positionH>
              <wp:positionV relativeFrom="page">
                <wp:posOffset>10027285</wp:posOffset>
              </wp:positionV>
              <wp:extent cx="7200265" cy="233045"/>
              <wp:effectExtent l="0" t="0" r="3175" b="0"/>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33045"/>
                      </a:xfrm>
                      <a:prstGeom prst="rect">
                        <a:avLst/>
                      </a:prstGeom>
                      <a:solidFill>
                        <a:srgbClr val="154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FF0A9" w14:textId="77777777" w:rsidR="00637A9E" w:rsidRPr="00F86D14" w:rsidRDefault="00637A9E" w:rsidP="002014F5">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sidR="00CC3BBA">
                            <w:rPr>
                              <w:rStyle w:val="PageNumber"/>
                              <w:noProof/>
                              <w:color w:val="FFFFFF"/>
                              <w:sz w:val="18"/>
                              <w:szCs w:val="18"/>
                            </w:rPr>
                            <w:t>3</w:t>
                          </w:r>
                          <w:r w:rsidRPr="00F86D14">
                            <w:rPr>
                              <w:rStyle w:val="PageNumber"/>
                              <w:color w:val="FFFFF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A2EC6" id="_x0000_t202" coordsize="21600,21600" o:spt="202" path="m,l,21600r21600,l21600,xe">
              <v:stroke joinstyle="miter"/>
              <v:path gradientshapeok="t" o:connecttype="rect"/>
            </v:shapetype>
            <v:shape id="Text Box 226" o:spid="_x0000_s1026" type="#_x0000_t202" style="position:absolute;left:0;text-align:left;margin-left:18.55pt;margin-top:789.55pt;width:566.95pt;height:1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" fillcolor="#15467a" stroked="f">
              <v:textbox>
                <w:txbxContent>
                  <w:p w14:paraId="22BFF0A9" w14:textId="77777777" w:rsidR="00637A9E" w:rsidRPr="00F86D14" w:rsidRDefault="00637A9E" w:rsidP="002014F5">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sidR="00CC3BBA">
                      <w:rPr>
                        <w:rStyle w:val="PageNumber"/>
                        <w:noProof/>
                        <w:color w:val="FFFFFF"/>
                        <w:sz w:val="18"/>
                        <w:szCs w:val="18"/>
                      </w:rPr>
                      <w:t>3</w:t>
                    </w:r>
                    <w:r w:rsidRPr="00F86D14">
                      <w:rPr>
                        <w:rStyle w:val="PageNumber"/>
                        <w:color w:val="FFFFFF"/>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6E6C" w14:textId="443D8A48" w:rsidR="009D248E" w:rsidRPr="009D248E" w:rsidRDefault="00C3439D" w:rsidP="003463FD">
    <w:pPr>
      <w:pStyle w:val="Footer"/>
      <w:ind w:left="-567"/>
      <w:rPr>
        <w:b/>
        <w:sz w:val="18"/>
        <w:szCs w:val="18"/>
      </w:rPr>
    </w:pPr>
    <w:r>
      <w:rPr>
        <w:b/>
        <w:noProof/>
        <w:sz w:val="18"/>
        <w:szCs w:val="18"/>
        <w:lang w:eastAsia="en-AU"/>
      </w:rPr>
      <w:drawing>
        <wp:anchor distT="0" distB="0" distL="114300" distR="114300" simplePos="0" relativeHeight="251657728" behindDoc="1" locked="0" layoutInCell="1" allowOverlap="1" wp14:anchorId="6B512331" wp14:editId="1D64EF50">
          <wp:simplePos x="0" y="0"/>
          <wp:positionH relativeFrom="page">
            <wp:posOffset>361315</wp:posOffset>
          </wp:positionH>
          <wp:positionV relativeFrom="page">
            <wp:posOffset>6582410</wp:posOffset>
          </wp:positionV>
          <wp:extent cx="9952355" cy="90360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r w:rsidR="009D248E" w:rsidRPr="009D248E">
      <w:rPr>
        <w:b/>
        <w:sz w:val="18"/>
        <w:szCs w:val="18"/>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11E0" w14:textId="77777777" w:rsidR="00485210" w:rsidRDefault="00485210" w:rsidP="003E5091">
      <w:r>
        <w:separator/>
      </w:r>
    </w:p>
  </w:footnote>
  <w:footnote w:type="continuationSeparator" w:id="0">
    <w:p w14:paraId="64F74CE1" w14:textId="77777777" w:rsidR="00485210" w:rsidRDefault="00485210" w:rsidP="003E5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DB19" w14:textId="10CD5E38" w:rsidR="00EE524F" w:rsidRDefault="00000000">
    <w:pPr>
      <w:pStyle w:val="Header"/>
    </w:pPr>
    <w:r>
      <w:rPr>
        <w:noProof/>
      </w:rPr>
      <w:pict w14:anchorId="561C2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6.7pt;height:202.6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C43"/>
    <w:multiLevelType w:val="multilevel"/>
    <w:tmpl w:val="75C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A26DA"/>
    <w:multiLevelType w:val="hybridMultilevel"/>
    <w:tmpl w:val="9B1CF3B4"/>
    <w:lvl w:ilvl="0" w:tplc="F152785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7B3F21"/>
    <w:multiLevelType w:val="multilevel"/>
    <w:tmpl w:val="3C10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35A87"/>
    <w:multiLevelType w:val="hybridMultilevel"/>
    <w:tmpl w:val="1F30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D5834"/>
    <w:multiLevelType w:val="hybridMultilevel"/>
    <w:tmpl w:val="1284D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EC1325"/>
    <w:multiLevelType w:val="hybridMultilevel"/>
    <w:tmpl w:val="FFC86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997F6E"/>
    <w:multiLevelType w:val="singleLevel"/>
    <w:tmpl w:val="0E0678B6"/>
    <w:lvl w:ilvl="0">
      <w:start w:val="1"/>
      <w:numFmt w:val="none"/>
      <w:pStyle w:val="Instruction"/>
      <w:lvlText w:val="Instruction."/>
      <w:lvlJc w:val="left"/>
      <w:rPr>
        <w:rFonts w:ascii="Arial" w:hAnsi="Arial" w:hint="default"/>
        <w:b w:val="0"/>
        <w:i/>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165962"/>
    <w:multiLevelType w:val="hybridMultilevel"/>
    <w:tmpl w:val="9E2A2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951EED"/>
    <w:multiLevelType w:val="hybridMultilevel"/>
    <w:tmpl w:val="1EF2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E4115"/>
    <w:multiLevelType w:val="hybridMultilevel"/>
    <w:tmpl w:val="BB6CC1DA"/>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360"/>
        </w:tabs>
        <w:ind w:left="360" w:hanging="360"/>
      </w:pPr>
      <w:rPr>
        <w:rFonts w:ascii="Symbol" w:hAnsi="Symbol" w:hint="default"/>
      </w:rPr>
    </w:lvl>
    <w:lvl w:ilvl="2" w:tplc="0C090001">
      <w:start w:val="1"/>
      <w:numFmt w:val="bullet"/>
      <w:lvlText w:val=""/>
      <w:lvlJc w:val="left"/>
      <w:pPr>
        <w:ind w:left="1080" w:hanging="360"/>
      </w:pPr>
      <w:rPr>
        <w:rFonts w:ascii="Symbol" w:hAnsi="Symbol" w:hint="default"/>
      </w:rPr>
    </w:lvl>
    <w:lvl w:ilvl="3" w:tplc="0C090003">
      <w:start w:val="1"/>
      <w:numFmt w:val="bullet"/>
      <w:lvlText w:val="o"/>
      <w:lvlJc w:val="left"/>
      <w:pPr>
        <w:tabs>
          <w:tab w:val="num" w:pos="1080"/>
        </w:tabs>
        <w:ind w:left="1080" w:hanging="360"/>
      </w:pPr>
      <w:rPr>
        <w:rFonts w:ascii="Courier New" w:hAnsi="Courier New" w:cs="Courier New" w:hint="default"/>
      </w:rPr>
    </w:lvl>
    <w:lvl w:ilvl="4" w:tplc="0C090005">
      <w:start w:val="1"/>
      <w:numFmt w:val="bullet"/>
      <w:lvlText w:val=""/>
      <w:lvlJc w:val="left"/>
      <w:pPr>
        <w:tabs>
          <w:tab w:val="num" w:pos="3240"/>
        </w:tabs>
        <w:ind w:left="3240" w:hanging="360"/>
      </w:pPr>
      <w:rPr>
        <w:rFonts w:ascii="Wingdings" w:hAnsi="Wingdings" w:hint="default"/>
      </w:r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AA1209A"/>
    <w:multiLevelType w:val="multilevel"/>
    <w:tmpl w:val="75C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A19C9"/>
    <w:multiLevelType w:val="hybridMultilevel"/>
    <w:tmpl w:val="D4BA65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A0B0272"/>
    <w:multiLevelType w:val="hybridMultilevel"/>
    <w:tmpl w:val="0B900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DC5EB5"/>
    <w:multiLevelType w:val="hybridMultilevel"/>
    <w:tmpl w:val="C1402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8B1215"/>
    <w:multiLevelType w:val="multilevel"/>
    <w:tmpl w:val="75C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1350C"/>
    <w:multiLevelType w:val="multilevel"/>
    <w:tmpl w:val="8CBE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94A63"/>
    <w:multiLevelType w:val="hybridMultilevel"/>
    <w:tmpl w:val="06F08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356D84"/>
    <w:multiLevelType w:val="hybridMultilevel"/>
    <w:tmpl w:val="1A8E18FE"/>
    <w:lvl w:ilvl="0" w:tplc="40402B02">
      <w:start w:val="1"/>
      <w:numFmt w:val="bullet"/>
      <w:pStyle w:val="Bulletedlist"/>
      <w:lvlText w:val=""/>
      <w:lvlJc w:val="left"/>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F7D71"/>
    <w:multiLevelType w:val="hybridMultilevel"/>
    <w:tmpl w:val="7CCE6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9C6287"/>
    <w:multiLevelType w:val="hybridMultilevel"/>
    <w:tmpl w:val="65E22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FA0411"/>
    <w:multiLevelType w:val="hybridMultilevel"/>
    <w:tmpl w:val="62E43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110BC4"/>
    <w:multiLevelType w:val="hybridMultilevel"/>
    <w:tmpl w:val="05748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2B5035"/>
    <w:multiLevelType w:val="hybridMultilevel"/>
    <w:tmpl w:val="9EE2D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6D3EBA"/>
    <w:multiLevelType w:val="hybridMultilevel"/>
    <w:tmpl w:val="71C05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774904"/>
    <w:multiLevelType w:val="hybridMultilevel"/>
    <w:tmpl w:val="D430C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6972BA"/>
    <w:multiLevelType w:val="hybridMultilevel"/>
    <w:tmpl w:val="2214E4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EB5176"/>
    <w:multiLevelType w:val="hybridMultilevel"/>
    <w:tmpl w:val="38DEF7D0"/>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pStyle w:val="Bullets2ndlevel"/>
      <w:lvlText w:val="–"/>
      <w:lvlJc w:val="left"/>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C05DD"/>
    <w:multiLevelType w:val="hybridMultilevel"/>
    <w:tmpl w:val="50F4F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B22DC2"/>
    <w:multiLevelType w:val="multilevel"/>
    <w:tmpl w:val="2C1A6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7404DA"/>
    <w:multiLevelType w:val="hybridMultilevel"/>
    <w:tmpl w:val="ABE04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8B7F1E"/>
    <w:multiLevelType w:val="hybridMultilevel"/>
    <w:tmpl w:val="E848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446EBDA4">
      <w:start w:val="1"/>
      <w:numFmt w:val="bullet"/>
      <w:lvlText w:val="–"/>
      <w:lvlJc w:val="left"/>
      <w:pPr>
        <w:tabs>
          <w:tab w:val="num" w:pos="1420"/>
        </w:tabs>
        <w:ind w:left="1420" w:hanging="340"/>
      </w:pPr>
      <w:rPr>
        <w:rFonts w:ascii="Arial" w:hAnsi="Arial" w:hint="default"/>
        <w:b w:val="0"/>
        <w:i w:val="0"/>
        <w:color w:val="D31145"/>
        <w:sz w:val="22"/>
        <w:szCs w:val="22"/>
      </w:rPr>
    </w:lvl>
    <w:lvl w:ilvl="2" w:tplc="256A3FE2">
      <w:start w:val="1"/>
      <w:numFmt w:val="bullet"/>
      <w:pStyle w:val="Bullets3rdlevel"/>
      <w:lvlText w:val="▪"/>
      <w:lvlJc w:val="left"/>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45A30"/>
    <w:multiLevelType w:val="multilevel"/>
    <w:tmpl w:val="431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C47DC4"/>
    <w:multiLevelType w:val="hybridMultilevel"/>
    <w:tmpl w:val="26D04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155D2"/>
    <w:multiLevelType w:val="hybridMultilevel"/>
    <w:tmpl w:val="25E0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25125F"/>
    <w:multiLevelType w:val="hybridMultilevel"/>
    <w:tmpl w:val="12EC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7425205">
    <w:abstractNumId w:val="17"/>
  </w:num>
  <w:num w:numId="2" w16cid:durableId="134376001">
    <w:abstractNumId w:val="26"/>
  </w:num>
  <w:num w:numId="3" w16cid:durableId="18288470">
    <w:abstractNumId w:val="31"/>
  </w:num>
  <w:num w:numId="4" w16cid:durableId="271087014">
    <w:abstractNumId w:val="6"/>
  </w:num>
  <w:num w:numId="5" w16cid:durableId="755129242">
    <w:abstractNumId w:val="1"/>
  </w:num>
  <w:num w:numId="6" w16cid:durableId="895970646">
    <w:abstractNumId w:val="29"/>
  </w:num>
  <w:num w:numId="7" w16cid:durableId="1449272701">
    <w:abstractNumId w:val="34"/>
  </w:num>
  <w:num w:numId="8" w16cid:durableId="2030525214">
    <w:abstractNumId w:val="20"/>
  </w:num>
  <w:num w:numId="9" w16cid:durableId="275337803">
    <w:abstractNumId w:val="5"/>
  </w:num>
  <w:num w:numId="10" w16cid:durableId="643387569">
    <w:abstractNumId w:val="18"/>
  </w:num>
  <w:num w:numId="11" w16cid:durableId="892543395">
    <w:abstractNumId w:val="8"/>
  </w:num>
  <w:num w:numId="12" w16cid:durableId="214515644">
    <w:abstractNumId w:val="9"/>
  </w:num>
  <w:num w:numId="13" w16cid:durableId="651563588">
    <w:abstractNumId w:val="25"/>
  </w:num>
  <w:num w:numId="14" w16cid:durableId="1879855827">
    <w:abstractNumId w:val="11"/>
  </w:num>
  <w:num w:numId="15" w16cid:durableId="1493906054">
    <w:abstractNumId w:val="24"/>
  </w:num>
  <w:num w:numId="16" w16cid:durableId="249890799">
    <w:abstractNumId w:val="4"/>
  </w:num>
  <w:num w:numId="17" w16cid:durableId="493422363">
    <w:abstractNumId w:val="13"/>
  </w:num>
  <w:num w:numId="18" w16cid:durableId="990445881">
    <w:abstractNumId w:val="2"/>
  </w:num>
  <w:num w:numId="19" w16cid:durableId="321739447">
    <w:abstractNumId w:val="28"/>
  </w:num>
  <w:num w:numId="20" w16cid:durableId="1166559090">
    <w:abstractNumId w:val="27"/>
  </w:num>
  <w:num w:numId="21" w16cid:durableId="1980527006">
    <w:abstractNumId w:val="33"/>
  </w:num>
  <w:num w:numId="22" w16cid:durableId="831874824">
    <w:abstractNumId w:val="3"/>
  </w:num>
  <w:num w:numId="23" w16cid:durableId="1593930671">
    <w:abstractNumId w:val="16"/>
  </w:num>
  <w:num w:numId="24" w16cid:durableId="240220346">
    <w:abstractNumId w:val="30"/>
  </w:num>
  <w:num w:numId="25" w16cid:durableId="1833714643">
    <w:abstractNumId w:val="7"/>
  </w:num>
  <w:num w:numId="26" w16cid:durableId="445463967">
    <w:abstractNumId w:val="32"/>
  </w:num>
  <w:num w:numId="27" w16cid:durableId="601569110">
    <w:abstractNumId w:val="21"/>
  </w:num>
  <w:num w:numId="28" w16cid:durableId="964773705">
    <w:abstractNumId w:val="0"/>
  </w:num>
  <w:num w:numId="29" w16cid:durableId="797726636">
    <w:abstractNumId w:val="35"/>
  </w:num>
  <w:num w:numId="30" w16cid:durableId="2073772338">
    <w:abstractNumId w:val="15"/>
  </w:num>
  <w:num w:numId="31" w16cid:durableId="1476483837">
    <w:abstractNumId w:val="22"/>
  </w:num>
  <w:num w:numId="32" w16cid:durableId="1866939481">
    <w:abstractNumId w:val="19"/>
  </w:num>
  <w:num w:numId="33" w16cid:durableId="1663193327">
    <w:abstractNumId w:val="14"/>
  </w:num>
  <w:num w:numId="34" w16cid:durableId="2051221210">
    <w:abstractNumId w:val="23"/>
  </w:num>
  <w:num w:numId="35" w16cid:durableId="1380737579">
    <w:abstractNumId w:val="10"/>
  </w:num>
  <w:num w:numId="36" w16cid:durableId="20919543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06C2"/>
    <w:rsid w:val="00004D60"/>
    <w:rsid w:val="00010913"/>
    <w:rsid w:val="00024307"/>
    <w:rsid w:val="00031198"/>
    <w:rsid w:val="00032A5A"/>
    <w:rsid w:val="00035639"/>
    <w:rsid w:val="00036C33"/>
    <w:rsid w:val="00042476"/>
    <w:rsid w:val="0006050C"/>
    <w:rsid w:val="00061977"/>
    <w:rsid w:val="00067BF0"/>
    <w:rsid w:val="00072DAC"/>
    <w:rsid w:val="00083F72"/>
    <w:rsid w:val="00086ADC"/>
    <w:rsid w:val="00086CC4"/>
    <w:rsid w:val="00090341"/>
    <w:rsid w:val="000911A6"/>
    <w:rsid w:val="000931E0"/>
    <w:rsid w:val="00096D0E"/>
    <w:rsid w:val="000A2B35"/>
    <w:rsid w:val="000A48A1"/>
    <w:rsid w:val="000B267D"/>
    <w:rsid w:val="000B4C3F"/>
    <w:rsid w:val="000B74D8"/>
    <w:rsid w:val="000C360D"/>
    <w:rsid w:val="000C39C1"/>
    <w:rsid w:val="000C4A7F"/>
    <w:rsid w:val="000D0990"/>
    <w:rsid w:val="000D10A4"/>
    <w:rsid w:val="000D2805"/>
    <w:rsid w:val="000D695F"/>
    <w:rsid w:val="000E17FB"/>
    <w:rsid w:val="000E553A"/>
    <w:rsid w:val="000E6432"/>
    <w:rsid w:val="000F2650"/>
    <w:rsid w:val="000F4024"/>
    <w:rsid w:val="000F5005"/>
    <w:rsid w:val="000F6D80"/>
    <w:rsid w:val="000F76A4"/>
    <w:rsid w:val="001022E1"/>
    <w:rsid w:val="0010312A"/>
    <w:rsid w:val="001037F2"/>
    <w:rsid w:val="00116D54"/>
    <w:rsid w:val="0012230A"/>
    <w:rsid w:val="001259D1"/>
    <w:rsid w:val="00126822"/>
    <w:rsid w:val="00127745"/>
    <w:rsid w:val="00127852"/>
    <w:rsid w:val="001453F7"/>
    <w:rsid w:val="00155154"/>
    <w:rsid w:val="0015526D"/>
    <w:rsid w:val="001562E1"/>
    <w:rsid w:val="001748D9"/>
    <w:rsid w:val="00176D6E"/>
    <w:rsid w:val="001779D4"/>
    <w:rsid w:val="00180E9E"/>
    <w:rsid w:val="001947AD"/>
    <w:rsid w:val="00196F90"/>
    <w:rsid w:val="001A01CA"/>
    <w:rsid w:val="001A19E5"/>
    <w:rsid w:val="001A574F"/>
    <w:rsid w:val="001A6AE7"/>
    <w:rsid w:val="001B21B9"/>
    <w:rsid w:val="001D6677"/>
    <w:rsid w:val="001D67B6"/>
    <w:rsid w:val="001D755A"/>
    <w:rsid w:val="001E27B1"/>
    <w:rsid w:val="001E3A3D"/>
    <w:rsid w:val="001E7913"/>
    <w:rsid w:val="001F1CED"/>
    <w:rsid w:val="001F24DC"/>
    <w:rsid w:val="002014F5"/>
    <w:rsid w:val="0021367D"/>
    <w:rsid w:val="002143B9"/>
    <w:rsid w:val="00227F05"/>
    <w:rsid w:val="0023370D"/>
    <w:rsid w:val="00243427"/>
    <w:rsid w:val="0025587A"/>
    <w:rsid w:val="002562D8"/>
    <w:rsid w:val="00262D32"/>
    <w:rsid w:val="00274788"/>
    <w:rsid w:val="00274BF7"/>
    <w:rsid w:val="00276983"/>
    <w:rsid w:val="00283221"/>
    <w:rsid w:val="002846B3"/>
    <w:rsid w:val="00290347"/>
    <w:rsid w:val="00290F44"/>
    <w:rsid w:val="00292479"/>
    <w:rsid w:val="002948A1"/>
    <w:rsid w:val="00294CD7"/>
    <w:rsid w:val="00297B6B"/>
    <w:rsid w:val="002A0ADA"/>
    <w:rsid w:val="002A1DDE"/>
    <w:rsid w:val="002A33F1"/>
    <w:rsid w:val="002A76EA"/>
    <w:rsid w:val="002A7B11"/>
    <w:rsid w:val="002B0317"/>
    <w:rsid w:val="002B1128"/>
    <w:rsid w:val="002B3E94"/>
    <w:rsid w:val="002B6BD4"/>
    <w:rsid w:val="002D2DA0"/>
    <w:rsid w:val="002D4525"/>
    <w:rsid w:val="002E51FA"/>
    <w:rsid w:val="002F1D6D"/>
    <w:rsid w:val="002F2A37"/>
    <w:rsid w:val="002F43B4"/>
    <w:rsid w:val="003028DF"/>
    <w:rsid w:val="00304DED"/>
    <w:rsid w:val="0031009E"/>
    <w:rsid w:val="00310474"/>
    <w:rsid w:val="00311882"/>
    <w:rsid w:val="00313B1F"/>
    <w:rsid w:val="0031619E"/>
    <w:rsid w:val="003169DE"/>
    <w:rsid w:val="00316A60"/>
    <w:rsid w:val="003221C7"/>
    <w:rsid w:val="00325793"/>
    <w:rsid w:val="00327809"/>
    <w:rsid w:val="003321E5"/>
    <w:rsid w:val="00334B89"/>
    <w:rsid w:val="003463FD"/>
    <w:rsid w:val="00353BFC"/>
    <w:rsid w:val="00354F64"/>
    <w:rsid w:val="0035581F"/>
    <w:rsid w:val="00355B1C"/>
    <w:rsid w:val="00356BD9"/>
    <w:rsid w:val="00357D70"/>
    <w:rsid w:val="0036184D"/>
    <w:rsid w:val="0036510D"/>
    <w:rsid w:val="00371C39"/>
    <w:rsid w:val="00373623"/>
    <w:rsid w:val="0037693F"/>
    <w:rsid w:val="00380784"/>
    <w:rsid w:val="0038251E"/>
    <w:rsid w:val="00384B0E"/>
    <w:rsid w:val="003978B3"/>
    <w:rsid w:val="003979AB"/>
    <w:rsid w:val="003A6AB6"/>
    <w:rsid w:val="003B0BA7"/>
    <w:rsid w:val="003B1FCF"/>
    <w:rsid w:val="003B4AC0"/>
    <w:rsid w:val="003B6B5D"/>
    <w:rsid w:val="003C2DB4"/>
    <w:rsid w:val="003C767B"/>
    <w:rsid w:val="003D4A66"/>
    <w:rsid w:val="003D5985"/>
    <w:rsid w:val="003D5F4A"/>
    <w:rsid w:val="003D70E0"/>
    <w:rsid w:val="003E566F"/>
    <w:rsid w:val="003E58E4"/>
    <w:rsid w:val="00401F31"/>
    <w:rsid w:val="00406CBE"/>
    <w:rsid w:val="00410D78"/>
    <w:rsid w:val="00411E4A"/>
    <w:rsid w:val="00413B0C"/>
    <w:rsid w:val="0041477C"/>
    <w:rsid w:val="00415033"/>
    <w:rsid w:val="00423520"/>
    <w:rsid w:val="004277E8"/>
    <w:rsid w:val="00430389"/>
    <w:rsid w:val="00430DE7"/>
    <w:rsid w:val="00430EE3"/>
    <w:rsid w:val="00434BF7"/>
    <w:rsid w:val="0043768F"/>
    <w:rsid w:val="00444C65"/>
    <w:rsid w:val="00446520"/>
    <w:rsid w:val="00453820"/>
    <w:rsid w:val="00453E95"/>
    <w:rsid w:val="004573B3"/>
    <w:rsid w:val="0046627C"/>
    <w:rsid w:val="004720BD"/>
    <w:rsid w:val="00472997"/>
    <w:rsid w:val="00472EB9"/>
    <w:rsid w:val="00473151"/>
    <w:rsid w:val="0047363C"/>
    <w:rsid w:val="00473908"/>
    <w:rsid w:val="00474DF0"/>
    <w:rsid w:val="00483405"/>
    <w:rsid w:val="00485210"/>
    <w:rsid w:val="004854AE"/>
    <w:rsid w:val="0049264F"/>
    <w:rsid w:val="00493F9D"/>
    <w:rsid w:val="004A1968"/>
    <w:rsid w:val="004A453A"/>
    <w:rsid w:val="004B1D4F"/>
    <w:rsid w:val="004C3870"/>
    <w:rsid w:val="004C6916"/>
    <w:rsid w:val="004D5E0B"/>
    <w:rsid w:val="004E165B"/>
    <w:rsid w:val="00500F64"/>
    <w:rsid w:val="00501A38"/>
    <w:rsid w:val="00502F5C"/>
    <w:rsid w:val="00503761"/>
    <w:rsid w:val="005056F7"/>
    <w:rsid w:val="00510293"/>
    <w:rsid w:val="00516832"/>
    <w:rsid w:val="0051778B"/>
    <w:rsid w:val="00521EDF"/>
    <w:rsid w:val="0052230D"/>
    <w:rsid w:val="00527A40"/>
    <w:rsid w:val="00531A6B"/>
    <w:rsid w:val="00532061"/>
    <w:rsid w:val="005363C1"/>
    <w:rsid w:val="0054796B"/>
    <w:rsid w:val="00547B86"/>
    <w:rsid w:val="00555307"/>
    <w:rsid w:val="0056166E"/>
    <w:rsid w:val="00570D11"/>
    <w:rsid w:val="00576764"/>
    <w:rsid w:val="0059418F"/>
    <w:rsid w:val="0059619E"/>
    <w:rsid w:val="0059702B"/>
    <w:rsid w:val="005A0F18"/>
    <w:rsid w:val="005A383F"/>
    <w:rsid w:val="005A3C47"/>
    <w:rsid w:val="005A4F19"/>
    <w:rsid w:val="005C3F70"/>
    <w:rsid w:val="005C7371"/>
    <w:rsid w:val="005D0964"/>
    <w:rsid w:val="005D48FC"/>
    <w:rsid w:val="005D5E7F"/>
    <w:rsid w:val="005E484C"/>
    <w:rsid w:val="005F199E"/>
    <w:rsid w:val="005F30B6"/>
    <w:rsid w:val="005F40A5"/>
    <w:rsid w:val="006014D6"/>
    <w:rsid w:val="00602923"/>
    <w:rsid w:val="00604220"/>
    <w:rsid w:val="00605EC1"/>
    <w:rsid w:val="006069E5"/>
    <w:rsid w:val="00611127"/>
    <w:rsid w:val="00617297"/>
    <w:rsid w:val="00620A92"/>
    <w:rsid w:val="00627C0B"/>
    <w:rsid w:val="00632953"/>
    <w:rsid w:val="00633BBB"/>
    <w:rsid w:val="00634D63"/>
    <w:rsid w:val="006360F9"/>
    <w:rsid w:val="00636B74"/>
    <w:rsid w:val="00637A9E"/>
    <w:rsid w:val="00640027"/>
    <w:rsid w:val="0064005F"/>
    <w:rsid w:val="006426DC"/>
    <w:rsid w:val="0065465D"/>
    <w:rsid w:val="00660B5B"/>
    <w:rsid w:val="00663E64"/>
    <w:rsid w:val="006714FD"/>
    <w:rsid w:val="0067251F"/>
    <w:rsid w:val="00675D66"/>
    <w:rsid w:val="00676982"/>
    <w:rsid w:val="00686669"/>
    <w:rsid w:val="00694273"/>
    <w:rsid w:val="00695624"/>
    <w:rsid w:val="006A2F10"/>
    <w:rsid w:val="006B520E"/>
    <w:rsid w:val="006C20FD"/>
    <w:rsid w:val="006C67E4"/>
    <w:rsid w:val="006D1A59"/>
    <w:rsid w:val="006D6694"/>
    <w:rsid w:val="006D7624"/>
    <w:rsid w:val="006E4AAB"/>
    <w:rsid w:val="006E6FCB"/>
    <w:rsid w:val="006F1268"/>
    <w:rsid w:val="006F3D4D"/>
    <w:rsid w:val="007013F3"/>
    <w:rsid w:val="007018FB"/>
    <w:rsid w:val="00730F65"/>
    <w:rsid w:val="007405DE"/>
    <w:rsid w:val="00742932"/>
    <w:rsid w:val="0074333E"/>
    <w:rsid w:val="00743577"/>
    <w:rsid w:val="00743D0F"/>
    <w:rsid w:val="00743FAF"/>
    <w:rsid w:val="007533AB"/>
    <w:rsid w:val="0075350F"/>
    <w:rsid w:val="007645D9"/>
    <w:rsid w:val="007728A2"/>
    <w:rsid w:val="00784361"/>
    <w:rsid w:val="00784872"/>
    <w:rsid w:val="007912D5"/>
    <w:rsid w:val="007922BA"/>
    <w:rsid w:val="007954F4"/>
    <w:rsid w:val="007A2AD1"/>
    <w:rsid w:val="007A66F7"/>
    <w:rsid w:val="007B02FB"/>
    <w:rsid w:val="007C2F69"/>
    <w:rsid w:val="007C456C"/>
    <w:rsid w:val="007C5CA3"/>
    <w:rsid w:val="007D7566"/>
    <w:rsid w:val="007E04E1"/>
    <w:rsid w:val="007E2765"/>
    <w:rsid w:val="007E3DB2"/>
    <w:rsid w:val="007F4D69"/>
    <w:rsid w:val="007F51EB"/>
    <w:rsid w:val="007F5D7D"/>
    <w:rsid w:val="007F7089"/>
    <w:rsid w:val="00804A7F"/>
    <w:rsid w:val="00810E79"/>
    <w:rsid w:val="0082548F"/>
    <w:rsid w:val="00827430"/>
    <w:rsid w:val="00827C7D"/>
    <w:rsid w:val="008314E4"/>
    <w:rsid w:val="008343D7"/>
    <w:rsid w:val="00835A01"/>
    <w:rsid w:val="0084000B"/>
    <w:rsid w:val="00847E18"/>
    <w:rsid w:val="008533B9"/>
    <w:rsid w:val="00853A89"/>
    <w:rsid w:val="00855E6F"/>
    <w:rsid w:val="008564A8"/>
    <w:rsid w:val="008654AC"/>
    <w:rsid w:val="00865BE8"/>
    <w:rsid w:val="008710B4"/>
    <w:rsid w:val="00880C0C"/>
    <w:rsid w:val="00881E11"/>
    <w:rsid w:val="00886AEB"/>
    <w:rsid w:val="008930C8"/>
    <w:rsid w:val="00897B3C"/>
    <w:rsid w:val="008A2CC0"/>
    <w:rsid w:val="008A36E5"/>
    <w:rsid w:val="008A45B9"/>
    <w:rsid w:val="008A4AFB"/>
    <w:rsid w:val="008B0B7D"/>
    <w:rsid w:val="008B29F1"/>
    <w:rsid w:val="008C0F4C"/>
    <w:rsid w:val="008D283A"/>
    <w:rsid w:val="008D4BBC"/>
    <w:rsid w:val="008E04FF"/>
    <w:rsid w:val="008E2B63"/>
    <w:rsid w:val="008F135E"/>
    <w:rsid w:val="008F1DCF"/>
    <w:rsid w:val="008F62C9"/>
    <w:rsid w:val="00914F1E"/>
    <w:rsid w:val="00917033"/>
    <w:rsid w:val="00917F5B"/>
    <w:rsid w:val="00923B52"/>
    <w:rsid w:val="00933FCB"/>
    <w:rsid w:val="009368F8"/>
    <w:rsid w:val="00936921"/>
    <w:rsid w:val="009369A5"/>
    <w:rsid w:val="0094052D"/>
    <w:rsid w:val="00941840"/>
    <w:rsid w:val="00947008"/>
    <w:rsid w:val="00953DDD"/>
    <w:rsid w:val="00955751"/>
    <w:rsid w:val="00965CFF"/>
    <w:rsid w:val="0096605B"/>
    <w:rsid w:val="00966099"/>
    <w:rsid w:val="00971E8A"/>
    <w:rsid w:val="00972826"/>
    <w:rsid w:val="00975EA2"/>
    <w:rsid w:val="00976F62"/>
    <w:rsid w:val="00977183"/>
    <w:rsid w:val="00982192"/>
    <w:rsid w:val="0098281F"/>
    <w:rsid w:val="009879FA"/>
    <w:rsid w:val="00992FBA"/>
    <w:rsid w:val="00993FD6"/>
    <w:rsid w:val="009A1FFC"/>
    <w:rsid w:val="009A33B0"/>
    <w:rsid w:val="009A3DB5"/>
    <w:rsid w:val="009B0C81"/>
    <w:rsid w:val="009B4075"/>
    <w:rsid w:val="009B4238"/>
    <w:rsid w:val="009C20BA"/>
    <w:rsid w:val="009C310E"/>
    <w:rsid w:val="009C4FEC"/>
    <w:rsid w:val="009D248E"/>
    <w:rsid w:val="009D3ED4"/>
    <w:rsid w:val="009D3FCB"/>
    <w:rsid w:val="009D670E"/>
    <w:rsid w:val="009E0882"/>
    <w:rsid w:val="009E22C4"/>
    <w:rsid w:val="009E3B47"/>
    <w:rsid w:val="009F043F"/>
    <w:rsid w:val="00A02616"/>
    <w:rsid w:val="00A1114C"/>
    <w:rsid w:val="00A11693"/>
    <w:rsid w:val="00A22EB0"/>
    <w:rsid w:val="00A25A56"/>
    <w:rsid w:val="00A426B1"/>
    <w:rsid w:val="00A456F5"/>
    <w:rsid w:val="00A462D7"/>
    <w:rsid w:val="00A46855"/>
    <w:rsid w:val="00A50619"/>
    <w:rsid w:val="00A51740"/>
    <w:rsid w:val="00A51B3E"/>
    <w:rsid w:val="00A53D81"/>
    <w:rsid w:val="00A54C0F"/>
    <w:rsid w:val="00A557C5"/>
    <w:rsid w:val="00A612CC"/>
    <w:rsid w:val="00A6372D"/>
    <w:rsid w:val="00A645B1"/>
    <w:rsid w:val="00A64D3A"/>
    <w:rsid w:val="00A7215E"/>
    <w:rsid w:val="00A7221E"/>
    <w:rsid w:val="00A73258"/>
    <w:rsid w:val="00A80AC9"/>
    <w:rsid w:val="00A85C66"/>
    <w:rsid w:val="00A86354"/>
    <w:rsid w:val="00A865C9"/>
    <w:rsid w:val="00A87A3C"/>
    <w:rsid w:val="00A93FEE"/>
    <w:rsid w:val="00A9405D"/>
    <w:rsid w:val="00A9695A"/>
    <w:rsid w:val="00A97F6B"/>
    <w:rsid w:val="00AA0C13"/>
    <w:rsid w:val="00AA1049"/>
    <w:rsid w:val="00AA2ED8"/>
    <w:rsid w:val="00AA37AE"/>
    <w:rsid w:val="00AB0E0C"/>
    <w:rsid w:val="00AB339F"/>
    <w:rsid w:val="00AB3AC7"/>
    <w:rsid w:val="00AB5FC8"/>
    <w:rsid w:val="00AC082D"/>
    <w:rsid w:val="00AC3065"/>
    <w:rsid w:val="00AC432E"/>
    <w:rsid w:val="00AC56BC"/>
    <w:rsid w:val="00AD0DD6"/>
    <w:rsid w:val="00AD1391"/>
    <w:rsid w:val="00AD3F33"/>
    <w:rsid w:val="00AD7A46"/>
    <w:rsid w:val="00B030ED"/>
    <w:rsid w:val="00B15270"/>
    <w:rsid w:val="00B16BBF"/>
    <w:rsid w:val="00B240D2"/>
    <w:rsid w:val="00B2654C"/>
    <w:rsid w:val="00B313E3"/>
    <w:rsid w:val="00B3326B"/>
    <w:rsid w:val="00B4129B"/>
    <w:rsid w:val="00B4591E"/>
    <w:rsid w:val="00B500B9"/>
    <w:rsid w:val="00B52852"/>
    <w:rsid w:val="00B53E2D"/>
    <w:rsid w:val="00B541A8"/>
    <w:rsid w:val="00B562F3"/>
    <w:rsid w:val="00B56BDC"/>
    <w:rsid w:val="00B60FA3"/>
    <w:rsid w:val="00B61A7B"/>
    <w:rsid w:val="00B6481A"/>
    <w:rsid w:val="00B83984"/>
    <w:rsid w:val="00B905AF"/>
    <w:rsid w:val="00B964A3"/>
    <w:rsid w:val="00B9701B"/>
    <w:rsid w:val="00BA22F0"/>
    <w:rsid w:val="00BA3530"/>
    <w:rsid w:val="00BB4610"/>
    <w:rsid w:val="00BB4AD6"/>
    <w:rsid w:val="00BB51CF"/>
    <w:rsid w:val="00BD1228"/>
    <w:rsid w:val="00BD29C2"/>
    <w:rsid w:val="00BD45BA"/>
    <w:rsid w:val="00BD772E"/>
    <w:rsid w:val="00BE0738"/>
    <w:rsid w:val="00BE07DE"/>
    <w:rsid w:val="00BE4B8C"/>
    <w:rsid w:val="00BE721B"/>
    <w:rsid w:val="00BF3B0D"/>
    <w:rsid w:val="00BF7BA7"/>
    <w:rsid w:val="00C03EB0"/>
    <w:rsid w:val="00C06A58"/>
    <w:rsid w:val="00C10A4F"/>
    <w:rsid w:val="00C15AD8"/>
    <w:rsid w:val="00C17F70"/>
    <w:rsid w:val="00C2369B"/>
    <w:rsid w:val="00C2502E"/>
    <w:rsid w:val="00C25EC0"/>
    <w:rsid w:val="00C33E70"/>
    <w:rsid w:val="00C3439D"/>
    <w:rsid w:val="00C3487A"/>
    <w:rsid w:val="00C440D1"/>
    <w:rsid w:val="00C44FB7"/>
    <w:rsid w:val="00C457EA"/>
    <w:rsid w:val="00C50379"/>
    <w:rsid w:val="00C50E6D"/>
    <w:rsid w:val="00C52A7C"/>
    <w:rsid w:val="00C52CD1"/>
    <w:rsid w:val="00C53308"/>
    <w:rsid w:val="00C66652"/>
    <w:rsid w:val="00C67285"/>
    <w:rsid w:val="00C6794C"/>
    <w:rsid w:val="00C80649"/>
    <w:rsid w:val="00C8170B"/>
    <w:rsid w:val="00C82142"/>
    <w:rsid w:val="00C86901"/>
    <w:rsid w:val="00C87DF4"/>
    <w:rsid w:val="00C927EF"/>
    <w:rsid w:val="00CA3A3A"/>
    <w:rsid w:val="00CA6BB9"/>
    <w:rsid w:val="00CB7476"/>
    <w:rsid w:val="00CC3BBA"/>
    <w:rsid w:val="00CC7E48"/>
    <w:rsid w:val="00CE018B"/>
    <w:rsid w:val="00CE380D"/>
    <w:rsid w:val="00CE3C34"/>
    <w:rsid w:val="00CE5434"/>
    <w:rsid w:val="00CE6024"/>
    <w:rsid w:val="00CE63EE"/>
    <w:rsid w:val="00CF1687"/>
    <w:rsid w:val="00CF1C95"/>
    <w:rsid w:val="00CF3968"/>
    <w:rsid w:val="00CF69D4"/>
    <w:rsid w:val="00D026BA"/>
    <w:rsid w:val="00D03750"/>
    <w:rsid w:val="00D220C5"/>
    <w:rsid w:val="00D24E62"/>
    <w:rsid w:val="00D26460"/>
    <w:rsid w:val="00D26C64"/>
    <w:rsid w:val="00D30EF2"/>
    <w:rsid w:val="00D34390"/>
    <w:rsid w:val="00D37E9E"/>
    <w:rsid w:val="00D43640"/>
    <w:rsid w:val="00D45E14"/>
    <w:rsid w:val="00D51357"/>
    <w:rsid w:val="00D51C6E"/>
    <w:rsid w:val="00D62223"/>
    <w:rsid w:val="00D631EA"/>
    <w:rsid w:val="00D666BA"/>
    <w:rsid w:val="00D66894"/>
    <w:rsid w:val="00D75F33"/>
    <w:rsid w:val="00D80C34"/>
    <w:rsid w:val="00D91184"/>
    <w:rsid w:val="00DA2E41"/>
    <w:rsid w:val="00DA4234"/>
    <w:rsid w:val="00DA4DF2"/>
    <w:rsid w:val="00DA6027"/>
    <w:rsid w:val="00DC32F5"/>
    <w:rsid w:val="00DC4639"/>
    <w:rsid w:val="00DD07C3"/>
    <w:rsid w:val="00DD0C6F"/>
    <w:rsid w:val="00DD0D9F"/>
    <w:rsid w:val="00DD5D83"/>
    <w:rsid w:val="00DE3B41"/>
    <w:rsid w:val="00DF085C"/>
    <w:rsid w:val="00DF101A"/>
    <w:rsid w:val="00DF23CE"/>
    <w:rsid w:val="00DF3DB9"/>
    <w:rsid w:val="00E02C13"/>
    <w:rsid w:val="00E035D4"/>
    <w:rsid w:val="00E06163"/>
    <w:rsid w:val="00E103F9"/>
    <w:rsid w:val="00E143D4"/>
    <w:rsid w:val="00E1582B"/>
    <w:rsid w:val="00E16E70"/>
    <w:rsid w:val="00E24FAE"/>
    <w:rsid w:val="00E255EE"/>
    <w:rsid w:val="00E2580B"/>
    <w:rsid w:val="00E34396"/>
    <w:rsid w:val="00E35904"/>
    <w:rsid w:val="00E37754"/>
    <w:rsid w:val="00E45E9F"/>
    <w:rsid w:val="00E469EE"/>
    <w:rsid w:val="00E5206F"/>
    <w:rsid w:val="00E55AFD"/>
    <w:rsid w:val="00E621C1"/>
    <w:rsid w:val="00E64752"/>
    <w:rsid w:val="00E76ECD"/>
    <w:rsid w:val="00E82F20"/>
    <w:rsid w:val="00E86D79"/>
    <w:rsid w:val="00E87637"/>
    <w:rsid w:val="00E919CA"/>
    <w:rsid w:val="00EA3DDE"/>
    <w:rsid w:val="00EA680A"/>
    <w:rsid w:val="00EA7FB8"/>
    <w:rsid w:val="00EB2C97"/>
    <w:rsid w:val="00EB2F82"/>
    <w:rsid w:val="00EB36FF"/>
    <w:rsid w:val="00EB4E67"/>
    <w:rsid w:val="00EC1EA9"/>
    <w:rsid w:val="00ED22EA"/>
    <w:rsid w:val="00ED2A23"/>
    <w:rsid w:val="00EE3A67"/>
    <w:rsid w:val="00EE524F"/>
    <w:rsid w:val="00EE67EB"/>
    <w:rsid w:val="00F01510"/>
    <w:rsid w:val="00F11ABB"/>
    <w:rsid w:val="00F11F05"/>
    <w:rsid w:val="00F17A24"/>
    <w:rsid w:val="00F21209"/>
    <w:rsid w:val="00F22520"/>
    <w:rsid w:val="00F3124F"/>
    <w:rsid w:val="00F36991"/>
    <w:rsid w:val="00F4146B"/>
    <w:rsid w:val="00F46F62"/>
    <w:rsid w:val="00F47879"/>
    <w:rsid w:val="00F51301"/>
    <w:rsid w:val="00F561EB"/>
    <w:rsid w:val="00F61EC9"/>
    <w:rsid w:val="00F71C0A"/>
    <w:rsid w:val="00F73145"/>
    <w:rsid w:val="00F83CA2"/>
    <w:rsid w:val="00F8629C"/>
    <w:rsid w:val="00F869B8"/>
    <w:rsid w:val="00F90035"/>
    <w:rsid w:val="00F9056A"/>
    <w:rsid w:val="00F9307D"/>
    <w:rsid w:val="00FA10F1"/>
    <w:rsid w:val="00FA16C6"/>
    <w:rsid w:val="00FA2901"/>
    <w:rsid w:val="00FA3A67"/>
    <w:rsid w:val="00FB68DE"/>
    <w:rsid w:val="00FC21BD"/>
    <w:rsid w:val="00FC387E"/>
    <w:rsid w:val="00FE099D"/>
    <w:rsid w:val="00FE1630"/>
    <w:rsid w:val="00FE1C26"/>
    <w:rsid w:val="00FE28CC"/>
    <w:rsid w:val="00FE4FD4"/>
    <w:rsid w:val="00FF0079"/>
    <w:rsid w:val="00FF0156"/>
    <w:rsid w:val="00FF6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DDD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84D"/>
    <w:rPr>
      <w:rFonts w:ascii="Arial" w:hAnsi="Arial"/>
      <w:sz w:val="22"/>
      <w:szCs w:val="24"/>
      <w:lang w:eastAsia="en-US"/>
    </w:rPr>
  </w:style>
  <w:style w:type="paragraph" w:styleId="Heading1">
    <w:name w:val="heading 1"/>
    <w:aliases w:val="Heading 1 Function title"/>
    <w:basedOn w:val="Tablesub-heading"/>
    <w:next w:val="Normal"/>
    <w:qFormat/>
    <w:rsid w:val="00634D63"/>
    <w:pPr>
      <w:outlineLvl w:val="0"/>
    </w:pPr>
    <w:rPr>
      <w:rFonts w:ascii="Arial Bold" w:hAnsi="Arial Bold"/>
      <w:caps/>
    </w:rPr>
  </w:style>
  <w:style w:type="paragraph" w:styleId="Heading2">
    <w:name w:val="heading 2"/>
    <w:aliases w:val="Heading 2 Normal heading,H2 Activity"/>
    <w:basedOn w:val="Heading1"/>
    <w:next w:val="Normal"/>
    <w:link w:val="Heading2Char"/>
    <w:qFormat/>
    <w:rsid w:val="00634D63"/>
    <w:pPr>
      <w:outlineLvl w:val="1"/>
    </w:pPr>
    <w:rPr>
      <w:caps w:val="0"/>
    </w:rPr>
  </w:style>
  <w:style w:type="paragraph" w:styleId="Heading3">
    <w:name w:val="heading 3"/>
    <w:aliases w:val="Heading 3 Record class title"/>
    <w:basedOn w:val="Heading2"/>
    <w:next w:val="Normal"/>
    <w:qFormat/>
    <w:rsid w:val="00634D63"/>
    <w:pPr>
      <w:outlineLvl w:val="2"/>
    </w:pPr>
    <w:rPr>
      <w:i/>
    </w:rPr>
  </w:style>
  <w:style w:type="paragraph" w:styleId="Heading4">
    <w:name w:val="heading 4"/>
    <w:basedOn w:val="Normal"/>
    <w:next w:val="Normal"/>
    <w:qFormat/>
    <w:rsid w:val="000C360D"/>
    <w:pPr>
      <w:autoSpaceDE w:val="0"/>
      <w:autoSpaceDN w:val="0"/>
      <w:adjustRightInd w:val="0"/>
      <w:spacing w:after="120"/>
      <w:outlineLvl w:val="3"/>
    </w:pPr>
    <w:rPr>
      <w:i/>
      <w:iCs/>
      <w:szCs w:val="20"/>
      <w:lang w:eastAsia="en-AU"/>
    </w:rPr>
  </w:style>
  <w:style w:type="paragraph" w:styleId="Heading5">
    <w:name w:val="heading 5"/>
    <w:basedOn w:val="Normal"/>
    <w:next w:val="Normal"/>
    <w:qFormat/>
    <w:rsid w:val="00804A7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1">
    <w:name w:val="Title Page Heading 1"/>
    <w:basedOn w:val="Normal"/>
    <w:rsid w:val="003C2DB4"/>
    <w:pPr>
      <w:spacing w:after="60"/>
    </w:pPr>
    <w:rPr>
      <w:b/>
      <w:color w:val="FFFFFF"/>
      <w:sz w:val="80"/>
    </w:rPr>
  </w:style>
  <w:style w:type="paragraph" w:customStyle="1" w:styleId="TitlePageSubtitle">
    <w:name w:val="Title Page Subtitle"/>
    <w:basedOn w:val="Normal"/>
    <w:rsid w:val="003C2DB4"/>
    <w:pPr>
      <w:spacing w:after="60"/>
    </w:pPr>
    <w:rPr>
      <w:color w:val="FFFFFF"/>
      <w:sz w:val="40"/>
    </w:rPr>
  </w:style>
  <w:style w:type="paragraph" w:customStyle="1" w:styleId="TitlePageOptionalTextLine">
    <w:name w:val="Title Page Optional Text Line"/>
    <w:basedOn w:val="Normal"/>
    <w:link w:val="TitlePageOptionalTextLineChar"/>
    <w:rsid w:val="003C2DB4"/>
    <w:rPr>
      <w:color w:val="FFFFFF"/>
      <w:sz w:val="30"/>
    </w:rPr>
  </w:style>
  <w:style w:type="table" w:styleId="TableGrid">
    <w:name w:val="Table Grid"/>
    <w:basedOn w:val="TableNormal"/>
    <w:rsid w:val="003C2DB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360D"/>
    <w:pPr>
      <w:tabs>
        <w:tab w:val="center" w:pos="4153"/>
        <w:tab w:val="right" w:pos="8306"/>
      </w:tabs>
    </w:pPr>
  </w:style>
  <w:style w:type="paragraph" w:styleId="Footer">
    <w:name w:val="footer"/>
    <w:basedOn w:val="Normal"/>
    <w:link w:val="FooterChar"/>
    <w:rsid w:val="000C360D"/>
    <w:pPr>
      <w:tabs>
        <w:tab w:val="center" w:pos="4153"/>
        <w:tab w:val="right" w:pos="8306"/>
      </w:tabs>
    </w:pPr>
  </w:style>
  <w:style w:type="paragraph" w:customStyle="1" w:styleId="Bulletedlist">
    <w:name w:val="Bulleted list"/>
    <w:basedOn w:val="Normal"/>
    <w:rsid w:val="000C360D"/>
    <w:pPr>
      <w:numPr>
        <w:numId w:val="1"/>
      </w:numPr>
    </w:pPr>
    <w:rPr>
      <w:rFonts w:eastAsia="Times"/>
      <w:szCs w:val="20"/>
      <w:lang w:eastAsia="en-AU"/>
    </w:rPr>
  </w:style>
  <w:style w:type="paragraph" w:customStyle="1" w:styleId="References">
    <w:name w:val="References"/>
    <w:basedOn w:val="Normal"/>
    <w:rsid w:val="000C360D"/>
    <w:pPr>
      <w:autoSpaceDE w:val="0"/>
      <w:autoSpaceDN w:val="0"/>
      <w:adjustRightInd w:val="0"/>
    </w:pPr>
    <w:rPr>
      <w:sz w:val="18"/>
      <w:szCs w:val="20"/>
      <w:lang w:eastAsia="en-AU"/>
    </w:rPr>
  </w:style>
  <w:style w:type="paragraph" w:customStyle="1" w:styleId="Bullets2ndlevel">
    <w:name w:val="Bullets 2nd level"/>
    <w:basedOn w:val="Bulletedlist"/>
    <w:rsid w:val="000C360D"/>
    <w:pPr>
      <w:numPr>
        <w:ilvl w:val="1"/>
        <w:numId w:val="2"/>
      </w:numPr>
      <w:tabs>
        <w:tab w:val="num" w:pos="709"/>
      </w:tabs>
      <w:autoSpaceDE w:val="0"/>
      <w:autoSpaceDN w:val="0"/>
      <w:adjustRightInd w:val="0"/>
      <w:ind w:left="709"/>
    </w:pPr>
    <w:rPr>
      <w:rFonts w:eastAsia="Times New Roman"/>
      <w:szCs w:val="22"/>
    </w:rPr>
  </w:style>
  <w:style w:type="paragraph" w:customStyle="1" w:styleId="Bullets3rdlevel">
    <w:name w:val="Bullets 3rd level"/>
    <w:basedOn w:val="Bulletedlist"/>
    <w:rsid w:val="000C360D"/>
    <w:pPr>
      <w:numPr>
        <w:ilvl w:val="2"/>
        <w:numId w:val="3"/>
      </w:numPr>
      <w:tabs>
        <w:tab w:val="left" w:pos="1134"/>
        <w:tab w:val="num" w:pos="1276"/>
      </w:tabs>
      <w:autoSpaceDE w:val="0"/>
      <w:autoSpaceDN w:val="0"/>
      <w:adjustRightInd w:val="0"/>
      <w:ind w:left="1134"/>
    </w:pPr>
    <w:rPr>
      <w:rFonts w:eastAsia="Times New Roman"/>
      <w:szCs w:val="22"/>
    </w:rPr>
  </w:style>
  <w:style w:type="paragraph" w:customStyle="1" w:styleId="Tableheading">
    <w:name w:val="Table heading"/>
    <w:basedOn w:val="Normal"/>
    <w:rsid w:val="000C360D"/>
    <w:pPr>
      <w:spacing w:before="120" w:after="120"/>
    </w:pPr>
    <w:rPr>
      <w:b/>
      <w:color w:val="FFFFFF"/>
      <w:sz w:val="28"/>
      <w:szCs w:val="28"/>
      <w:lang w:eastAsia="en-AU"/>
    </w:rPr>
  </w:style>
  <w:style w:type="paragraph" w:customStyle="1" w:styleId="Tablesub-heading">
    <w:name w:val="Table sub-heading"/>
    <w:basedOn w:val="Normal"/>
    <w:link w:val="Tablesub-headingChar"/>
    <w:rsid w:val="000C360D"/>
    <w:pPr>
      <w:spacing w:before="120" w:after="120"/>
    </w:pPr>
    <w:rPr>
      <w:b/>
      <w:lang w:eastAsia="en-AU"/>
    </w:rPr>
  </w:style>
  <w:style w:type="character" w:styleId="PageNumber">
    <w:name w:val="page number"/>
    <w:basedOn w:val="DefaultParagraphFont"/>
    <w:rsid w:val="002014F5"/>
  </w:style>
  <w:style w:type="character" w:styleId="Hyperlink">
    <w:name w:val="Hyperlink"/>
    <w:rsid w:val="005D48FC"/>
    <w:rPr>
      <w:color w:val="0000FF"/>
      <w:u w:val="single"/>
    </w:rPr>
  </w:style>
  <w:style w:type="paragraph" w:styleId="FootnoteText">
    <w:name w:val="footnote text"/>
    <w:basedOn w:val="Normal"/>
    <w:semiHidden/>
    <w:rsid w:val="005D48FC"/>
    <w:rPr>
      <w:rFonts w:ascii="Times New Roman" w:hAnsi="Times New Roman"/>
      <w:sz w:val="20"/>
      <w:szCs w:val="20"/>
    </w:rPr>
  </w:style>
  <w:style w:type="character" w:styleId="FootnoteReference">
    <w:name w:val="footnote reference"/>
    <w:semiHidden/>
    <w:rsid w:val="005D48FC"/>
    <w:rPr>
      <w:vertAlign w:val="superscript"/>
    </w:rPr>
  </w:style>
  <w:style w:type="paragraph" w:styleId="TOC1">
    <w:name w:val="toc 1"/>
    <w:basedOn w:val="Normal"/>
    <w:next w:val="Normal"/>
    <w:autoRedefine/>
    <w:semiHidden/>
    <w:rsid w:val="00A46855"/>
    <w:pPr>
      <w:tabs>
        <w:tab w:val="right" w:leader="dot" w:pos="10194"/>
      </w:tabs>
      <w:spacing w:before="120"/>
    </w:pPr>
  </w:style>
  <w:style w:type="paragraph" w:styleId="TOC2">
    <w:name w:val="toc 2"/>
    <w:basedOn w:val="Normal"/>
    <w:next w:val="Normal"/>
    <w:autoRedefine/>
    <w:semiHidden/>
    <w:rsid w:val="00993FD6"/>
    <w:pPr>
      <w:ind w:left="220"/>
    </w:pPr>
  </w:style>
  <w:style w:type="paragraph" w:customStyle="1" w:styleId="Instruction">
    <w:name w:val="Instruction"/>
    <w:basedOn w:val="BodyText"/>
    <w:rsid w:val="00640027"/>
    <w:pPr>
      <w:numPr>
        <w:numId w:val="4"/>
      </w:numPr>
      <w:spacing w:before="240" w:after="0"/>
    </w:pPr>
    <w:rPr>
      <w:rFonts w:ascii="Times New Roman" w:hAnsi="Times New Roman"/>
      <w:noProof/>
      <w:vanish/>
      <w:color w:val="008000"/>
      <w:sz w:val="24"/>
      <w:szCs w:val="20"/>
    </w:rPr>
  </w:style>
  <w:style w:type="paragraph" w:styleId="ListBullet">
    <w:name w:val="List Bullet"/>
    <w:basedOn w:val="BodyText"/>
    <w:rsid w:val="00640027"/>
    <w:pPr>
      <w:numPr>
        <w:numId w:val="5"/>
      </w:numPr>
      <w:tabs>
        <w:tab w:val="clear" w:pos="360"/>
        <w:tab w:val="num" w:pos="450"/>
      </w:tabs>
      <w:spacing w:before="60" w:after="0"/>
      <w:ind w:left="432"/>
    </w:pPr>
    <w:rPr>
      <w:rFonts w:ascii="Times New Roman" w:hAnsi="Times New Roman"/>
      <w:sz w:val="24"/>
      <w:lang w:eastAsia="en-AU"/>
    </w:rPr>
  </w:style>
  <w:style w:type="paragraph" w:styleId="BodyText">
    <w:name w:val="Body Text"/>
    <w:basedOn w:val="Normal"/>
    <w:rsid w:val="00640027"/>
    <w:pPr>
      <w:spacing w:after="120"/>
    </w:pPr>
  </w:style>
  <w:style w:type="character" w:styleId="CommentReference">
    <w:name w:val="annotation reference"/>
    <w:semiHidden/>
    <w:rsid w:val="005A0F18"/>
    <w:rPr>
      <w:sz w:val="16"/>
      <w:szCs w:val="16"/>
    </w:rPr>
  </w:style>
  <w:style w:type="paragraph" w:styleId="CommentText">
    <w:name w:val="annotation text"/>
    <w:basedOn w:val="Normal"/>
    <w:semiHidden/>
    <w:rsid w:val="005A0F18"/>
    <w:rPr>
      <w:sz w:val="20"/>
      <w:szCs w:val="20"/>
    </w:rPr>
  </w:style>
  <w:style w:type="paragraph" w:styleId="CommentSubject">
    <w:name w:val="annotation subject"/>
    <w:basedOn w:val="CommentText"/>
    <w:next w:val="CommentText"/>
    <w:semiHidden/>
    <w:rsid w:val="005A0F18"/>
    <w:rPr>
      <w:b/>
      <w:bCs/>
    </w:rPr>
  </w:style>
  <w:style w:type="paragraph" w:styleId="BalloonText">
    <w:name w:val="Balloon Text"/>
    <w:basedOn w:val="Normal"/>
    <w:semiHidden/>
    <w:rsid w:val="005A0F18"/>
    <w:rPr>
      <w:rFonts w:ascii="Tahoma" w:hAnsi="Tahoma" w:cs="Tahoma"/>
      <w:sz w:val="16"/>
      <w:szCs w:val="16"/>
    </w:rPr>
  </w:style>
  <w:style w:type="paragraph" w:styleId="TOC8">
    <w:name w:val="toc 8"/>
    <w:basedOn w:val="Normal"/>
    <w:next w:val="Normal"/>
    <w:autoRedefine/>
    <w:semiHidden/>
    <w:rsid w:val="00804A7F"/>
    <w:pPr>
      <w:ind w:left="1540"/>
    </w:pPr>
  </w:style>
  <w:style w:type="paragraph" w:customStyle="1" w:styleId="Heading30">
    <w:name w:val="Heading3"/>
    <w:basedOn w:val="Normal"/>
    <w:rsid w:val="00334B89"/>
    <w:rPr>
      <w:b/>
      <w:bCs/>
      <w:szCs w:val="22"/>
    </w:rPr>
  </w:style>
  <w:style w:type="paragraph" w:customStyle="1" w:styleId="Titlepageheading">
    <w:name w:val="Title page heading"/>
    <w:basedOn w:val="TitlePageSubtitle"/>
    <w:next w:val="TitlePageSubtitle"/>
    <w:rsid w:val="00176D6E"/>
    <w:pPr>
      <w:pBdr>
        <w:bottom w:val="single" w:sz="4" w:space="1" w:color="5F5F5F"/>
      </w:pBdr>
      <w:spacing w:before="2400" w:after="240" w:line="264" w:lineRule="auto"/>
    </w:pPr>
    <w:rPr>
      <w:rFonts w:cs="Arial"/>
      <w:color w:val="4D4D4D"/>
      <w:sz w:val="72"/>
    </w:rPr>
  </w:style>
  <w:style w:type="character" w:customStyle="1" w:styleId="TitlePageOptionalTextLineChar">
    <w:name w:val="Title Page Optional Text Line Char"/>
    <w:link w:val="TitlePageOptionalTextLine"/>
    <w:rsid w:val="00176D6E"/>
    <w:rPr>
      <w:rFonts w:ascii="Arial" w:hAnsi="Arial"/>
      <w:color w:val="FFFFFF"/>
      <w:sz w:val="30"/>
      <w:szCs w:val="24"/>
      <w:lang w:val="en-AU" w:eastAsia="en-US" w:bidi="ar-SA"/>
    </w:rPr>
  </w:style>
  <w:style w:type="paragraph" w:customStyle="1" w:styleId="Header-landscape">
    <w:name w:val="Header-landscape"/>
    <w:basedOn w:val="Header"/>
    <w:rsid w:val="00176D6E"/>
    <w:pPr>
      <w:pBdr>
        <w:top w:val="single" w:sz="4" w:space="4" w:color="808080"/>
        <w:bottom w:val="single" w:sz="4" w:space="4" w:color="808080"/>
      </w:pBdr>
      <w:tabs>
        <w:tab w:val="clear" w:pos="4153"/>
        <w:tab w:val="clear" w:pos="8306"/>
        <w:tab w:val="right" w:pos="14572"/>
      </w:tabs>
      <w:ind w:left="-737" w:right="-737"/>
    </w:pPr>
    <w:rPr>
      <w:sz w:val="18"/>
    </w:rPr>
  </w:style>
  <w:style w:type="paragraph" w:customStyle="1" w:styleId="Footer-landscape">
    <w:name w:val="Footer-landscape"/>
    <w:basedOn w:val="Footer"/>
    <w:link w:val="Footer-landscapeChar"/>
    <w:rsid w:val="00176D6E"/>
    <w:pPr>
      <w:pBdr>
        <w:top w:val="single" w:sz="4" w:space="4" w:color="808080"/>
      </w:pBdr>
      <w:tabs>
        <w:tab w:val="clear" w:pos="4153"/>
        <w:tab w:val="clear" w:pos="8306"/>
        <w:tab w:val="right" w:pos="14572"/>
      </w:tabs>
      <w:ind w:left="-737" w:right="-737"/>
    </w:pPr>
    <w:rPr>
      <w:sz w:val="18"/>
    </w:rPr>
  </w:style>
  <w:style w:type="paragraph" w:styleId="Title">
    <w:name w:val="Title"/>
    <w:basedOn w:val="Titlepageheading"/>
    <w:next w:val="Normal"/>
    <w:link w:val="TitleChar"/>
    <w:qFormat/>
    <w:rsid w:val="00634D63"/>
    <w:pPr>
      <w:pBdr>
        <w:bottom w:val="none" w:sz="0" w:space="0" w:color="auto"/>
      </w:pBdr>
      <w:spacing w:before="1200"/>
    </w:pPr>
    <w:rPr>
      <w:b/>
      <w:color w:val="auto"/>
    </w:rPr>
  </w:style>
  <w:style w:type="character" w:customStyle="1" w:styleId="TitleChar">
    <w:name w:val="Title Char"/>
    <w:link w:val="Title"/>
    <w:rsid w:val="00634D63"/>
    <w:rPr>
      <w:rFonts w:ascii="Arial" w:hAnsi="Arial" w:cs="Arial"/>
      <w:b/>
      <w:sz w:val="72"/>
      <w:szCs w:val="24"/>
      <w:lang w:eastAsia="en-US"/>
    </w:rPr>
  </w:style>
  <w:style w:type="paragraph" w:customStyle="1" w:styleId="Scopenote">
    <w:name w:val="Scope note"/>
    <w:basedOn w:val="Tablesub-heading"/>
    <w:link w:val="ScopenoteChar"/>
    <w:qFormat/>
    <w:rsid w:val="00634D63"/>
    <w:rPr>
      <w:b w:val="0"/>
      <w:i/>
    </w:rPr>
  </w:style>
  <w:style w:type="paragraph" w:customStyle="1" w:styleId="HeaderFooter">
    <w:name w:val="Header Footer"/>
    <w:basedOn w:val="Footer-landscape"/>
    <w:link w:val="HeaderFooterChar"/>
    <w:qFormat/>
    <w:rsid w:val="00634D63"/>
    <w:pPr>
      <w:pBdr>
        <w:top w:val="none" w:sz="0" w:space="0" w:color="auto"/>
      </w:pBdr>
      <w:tabs>
        <w:tab w:val="clear" w:pos="14572"/>
        <w:tab w:val="right" w:pos="15026"/>
      </w:tabs>
      <w:ind w:right="-456"/>
      <w:jc w:val="right"/>
    </w:pPr>
    <w:rPr>
      <w:b/>
    </w:rPr>
  </w:style>
  <w:style w:type="character" w:customStyle="1" w:styleId="Tablesub-headingChar">
    <w:name w:val="Table sub-heading Char"/>
    <w:link w:val="Tablesub-heading"/>
    <w:rsid w:val="00634D63"/>
    <w:rPr>
      <w:rFonts w:ascii="Arial" w:hAnsi="Arial"/>
      <w:b/>
      <w:sz w:val="22"/>
      <w:szCs w:val="24"/>
    </w:rPr>
  </w:style>
  <w:style w:type="character" w:customStyle="1" w:styleId="ScopenoteChar">
    <w:name w:val="Scope note Char"/>
    <w:link w:val="Scopenote"/>
    <w:rsid w:val="00634D63"/>
    <w:rPr>
      <w:rFonts w:ascii="Arial" w:hAnsi="Arial"/>
      <w:b w:val="0"/>
      <w:i/>
      <w:sz w:val="22"/>
      <w:szCs w:val="24"/>
    </w:rPr>
  </w:style>
  <w:style w:type="character" w:customStyle="1" w:styleId="Heading2Char">
    <w:name w:val="Heading 2 Char"/>
    <w:aliases w:val="Heading 2 Normal heading Char,H2 Activity Char"/>
    <w:link w:val="Heading2"/>
    <w:rsid w:val="00274788"/>
    <w:rPr>
      <w:rFonts w:ascii="Arial Bold" w:hAnsi="Arial Bold"/>
      <w:b/>
      <w:sz w:val="22"/>
      <w:szCs w:val="24"/>
    </w:rPr>
  </w:style>
  <w:style w:type="character" w:customStyle="1" w:styleId="FooterChar">
    <w:name w:val="Footer Char"/>
    <w:link w:val="Footer"/>
    <w:rsid w:val="00634D63"/>
    <w:rPr>
      <w:rFonts w:ascii="Arial" w:hAnsi="Arial"/>
      <w:sz w:val="22"/>
      <w:szCs w:val="24"/>
      <w:lang w:eastAsia="en-US"/>
    </w:rPr>
  </w:style>
  <w:style w:type="character" w:customStyle="1" w:styleId="Footer-landscapeChar">
    <w:name w:val="Footer-landscape Char"/>
    <w:link w:val="Footer-landscape"/>
    <w:rsid w:val="00634D63"/>
    <w:rPr>
      <w:rFonts w:ascii="Arial" w:hAnsi="Arial"/>
      <w:sz w:val="18"/>
      <w:szCs w:val="24"/>
      <w:lang w:eastAsia="en-US"/>
    </w:rPr>
  </w:style>
  <w:style w:type="character" w:customStyle="1" w:styleId="HeaderFooterChar">
    <w:name w:val="Header Footer Char"/>
    <w:link w:val="HeaderFooter"/>
    <w:rsid w:val="00634D63"/>
    <w:rPr>
      <w:rFonts w:ascii="Arial" w:hAnsi="Arial"/>
      <w:b/>
      <w:sz w:val="18"/>
      <w:szCs w:val="24"/>
      <w:lang w:eastAsia="en-US"/>
    </w:rPr>
  </w:style>
  <w:style w:type="paragraph" w:styleId="ListParagraph">
    <w:name w:val="List Paragraph"/>
    <w:basedOn w:val="Normal"/>
    <w:uiPriority w:val="34"/>
    <w:qFormat/>
    <w:rsid w:val="00B030ED"/>
    <w:pPr>
      <w:spacing w:before="60" w:after="60"/>
      <w:ind w:left="720"/>
      <w:contextualSpacing/>
    </w:pPr>
  </w:style>
  <w:style w:type="paragraph" w:styleId="NormalWeb">
    <w:name w:val="Normal (Web)"/>
    <w:basedOn w:val="Normal"/>
    <w:uiPriority w:val="99"/>
    <w:unhideWhenUsed/>
    <w:rsid w:val="00A462D7"/>
    <w:pPr>
      <w:spacing w:before="100" w:beforeAutospacing="1" w:after="100" w:afterAutospacing="1"/>
    </w:pPr>
    <w:rPr>
      <w:rFonts w:ascii="Times New Roman" w:hAnsi="Times New Roman"/>
      <w:sz w:val="24"/>
      <w:lang w:eastAsia="en-AU"/>
    </w:rPr>
  </w:style>
  <w:style w:type="paragraph" w:styleId="Revision">
    <w:name w:val="Revision"/>
    <w:hidden/>
    <w:uiPriority w:val="99"/>
    <w:semiHidden/>
    <w:rsid w:val="00C3439D"/>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12B9279F-CD2B-4D08-9750-F1F65F6347EF}">
  <ds:schemaRefs>
    <ds:schemaRef ds:uri="http://schemas.openxmlformats.org/officeDocument/2006/bibliography"/>
  </ds:schemaRefs>
</ds:datastoreItem>
</file>

<file path=customXml/itemProps2.xml><?xml version="1.0" encoding="utf-8"?>
<ds:datastoreItem xmlns:ds="http://schemas.openxmlformats.org/officeDocument/2006/customXml" ds:itemID="{14CC7B4B-976C-4566-B7DF-42EAED93412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14510</Words>
  <Characters>82707</Characters>
  <DocSecurity>0</DocSecurity>
  <Lines>689</Lines>
  <Paragraphs>194</Paragraphs>
  <ScaleCrop>false</ScaleCrop>
  <HeadingPairs>
    <vt:vector size="2" baseType="variant">
      <vt:variant>
        <vt:lpstr>Title</vt:lpstr>
      </vt:variant>
      <vt:variant>
        <vt:i4>1</vt:i4>
      </vt:variant>
    </vt:vector>
  </HeadingPairs>
  <TitlesOfParts>
    <vt:vector size="1" baseType="lpstr">
      <vt:lpstr>Appraisal log template</vt:lpstr>
    </vt:vector>
  </TitlesOfParts>
  <Company/>
  <LinksUpToDate>false</LinksUpToDate>
  <CharactersWithSpaces>97023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Building and Construction Commission retention and disposal schedule - appraisal log</dc:title>
  <dc:subject>appraisal log</dc:subject>
  <dc:creator/>
  <cp:keywords>Queensland Building and Construction Commission; QBCC; appraisal log; Queensland State Archives; QSA</cp:keywords>
  <cp:lastModifiedBy/>
  <dcterms:created xsi:type="dcterms:W3CDTF">2023-12-19T04:24:00Z</dcterms:created>
  <dcterms:modified xsi:type="dcterms:W3CDTF">2023-12-19T04:24:00Z</dcterms:modified>
</cp:coreProperties>
</file>