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7368" w14:textId="77777777" w:rsidR="00FB3A56" w:rsidRDefault="00FB3A56" w:rsidP="00527DEE">
      <w:pPr>
        <w:pStyle w:val="Title"/>
      </w:pPr>
      <w:bookmarkStart w:id="0" w:name="_Toc139025495"/>
      <w:bookmarkStart w:id="1" w:name="_Toc139025705"/>
      <w:bookmarkStart w:id="2" w:name="_Toc139025776"/>
      <w:bookmarkStart w:id="3" w:name="_Toc314475552"/>
      <w:r>
        <w:t xml:space="preserve">QUEENSLAND BUILDING AND CONSTRUCTION COMMISSION </w:t>
      </w:r>
    </w:p>
    <w:p w14:paraId="7E73B75D" w14:textId="6F60D64E" w:rsidR="00527DEE" w:rsidRDefault="00527DEE" w:rsidP="00527DEE">
      <w:pPr>
        <w:pStyle w:val="Title"/>
      </w:pPr>
      <w:r w:rsidRPr="00261EDB">
        <w:t xml:space="preserve">RETENTION AND </w:t>
      </w:r>
      <w:r w:rsidRPr="000447D8">
        <w:t>DISPOSAL SCHEDULE</w:t>
      </w:r>
      <w:bookmarkEnd w:id="0"/>
      <w:bookmarkEnd w:id="1"/>
      <w:bookmarkEnd w:id="2"/>
    </w:p>
    <w:p w14:paraId="69ABED8A" w14:textId="1D7B8891" w:rsidR="00103D0A" w:rsidRPr="00746863" w:rsidRDefault="00103D0A" w:rsidP="00103D0A">
      <w:pPr>
        <w:spacing w:line="264" w:lineRule="auto"/>
        <w:jc w:val="center"/>
        <w:rPr>
          <w:sz w:val="56"/>
          <w:szCs w:val="56"/>
          <w:lang w:eastAsia="en-AU"/>
        </w:rPr>
      </w:pPr>
      <w:r w:rsidRPr="00746863">
        <w:rPr>
          <w:sz w:val="56"/>
          <w:szCs w:val="56"/>
          <w:lang w:eastAsia="en-AU"/>
        </w:rPr>
        <w:t>Authorised</w:t>
      </w:r>
      <w:r>
        <w:rPr>
          <w:sz w:val="56"/>
          <w:szCs w:val="56"/>
          <w:lang w:eastAsia="en-AU"/>
        </w:rPr>
        <w:t xml:space="preserve"> </w:t>
      </w:r>
      <w:r w:rsidR="00912862">
        <w:rPr>
          <w:sz w:val="56"/>
          <w:szCs w:val="56"/>
          <w:lang w:eastAsia="en-AU"/>
        </w:rPr>
        <w:t>15 December 2023</w:t>
      </w:r>
    </w:p>
    <w:p w14:paraId="03C4BC8D" w14:textId="71037952" w:rsidR="00103D0A" w:rsidRDefault="00103D0A" w:rsidP="00103D0A">
      <w:pPr>
        <w:jc w:val="center"/>
        <w:rPr>
          <w:lang w:eastAsia="en-AU"/>
        </w:rPr>
      </w:pPr>
    </w:p>
    <w:p w14:paraId="2D523388" w14:textId="77777777" w:rsidR="008D65C2" w:rsidRDefault="008D65C2" w:rsidP="00103D0A">
      <w:pPr>
        <w:jc w:val="center"/>
        <w:rPr>
          <w:lang w:eastAsia="en-AU"/>
        </w:rPr>
      </w:pPr>
    </w:p>
    <w:p w14:paraId="2D82128A" w14:textId="4A284ABB" w:rsidR="00103D0A" w:rsidRPr="00540F6D" w:rsidRDefault="00103D0A" w:rsidP="006B607A">
      <w:pPr>
        <w:jc w:val="both"/>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054286">
        <w:rPr>
          <w:sz w:val="36"/>
          <w:szCs w:val="36"/>
          <w:lang w:eastAsia="en-AU"/>
        </w:rPr>
        <w:t xml:space="preserve">records created by the </w:t>
      </w:r>
      <w:r w:rsidR="00486A97" w:rsidRPr="00486A97">
        <w:rPr>
          <w:sz w:val="36"/>
          <w:szCs w:val="36"/>
          <w:lang w:eastAsia="en-AU"/>
        </w:rPr>
        <w:t>Queensland Building and Construction Commission</w:t>
      </w:r>
      <w:r w:rsidR="001D4C3B">
        <w:rPr>
          <w:sz w:val="36"/>
          <w:szCs w:val="36"/>
          <w:lang w:eastAsia="en-AU"/>
        </w:rPr>
        <w:t xml:space="preserve"> (QBCC)</w:t>
      </w:r>
      <w:r>
        <w:rPr>
          <w:sz w:val="36"/>
          <w:szCs w:val="36"/>
          <w:lang w:eastAsia="en-AU"/>
        </w:rPr>
        <w:t>.</w:t>
      </w:r>
    </w:p>
    <w:p w14:paraId="720DFD24" w14:textId="77777777" w:rsidR="00103D0A" w:rsidRDefault="00103D0A" w:rsidP="00103D0A">
      <w:pPr>
        <w:jc w:val="center"/>
        <w:rPr>
          <w:rFonts w:cs="Arial"/>
          <w:szCs w:val="22"/>
          <w:lang w:eastAsia="en-AU"/>
        </w:rPr>
      </w:pPr>
    </w:p>
    <w:p w14:paraId="1DB53315" w14:textId="77777777" w:rsidR="00103D0A" w:rsidRDefault="00103D0A" w:rsidP="00103D0A">
      <w:pPr>
        <w:jc w:val="center"/>
        <w:rPr>
          <w:rFonts w:cs="Arial"/>
          <w:szCs w:val="22"/>
          <w:lang w:eastAsia="en-AU"/>
        </w:rPr>
      </w:pPr>
    </w:p>
    <w:p w14:paraId="4B7580C6" w14:textId="77777777" w:rsidR="00103D0A" w:rsidRDefault="00103D0A" w:rsidP="00103D0A">
      <w:pPr>
        <w:jc w:val="center"/>
        <w:rPr>
          <w:rFonts w:cs="Arial"/>
          <w:szCs w:val="22"/>
          <w:lang w:eastAsia="en-AU"/>
        </w:rPr>
      </w:pPr>
    </w:p>
    <w:p w14:paraId="75DA0517" w14:textId="0C891716" w:rsidR="00103D0A" w:rsidRPr="00C25F1D" w:rsidRDefault="00103D0A" w:rsidP="00103D0A">
      <w:pPr>
        <w:jc w:val="center"/>
        <w:rPr>
          <w:rFonts w:cs="Arial"/>
          <w:szCs w:val="22"/>
          <w:lang w:eastAsia="en-AU"/>
        </w:rPr>
      </w:pPr>
      <w:r w:rsidRPr="00C25F1D">
        <w:rPr>
          <w:rFonts w:cs="Arial"/>
          <w:szCs w:val="22"/>
          <w:lang w:eastAsia="en-AU"/>
        </w:rPr>
        <w:t>Where printed, this reproduction is only accurate at the time of printing.</w:t>
      </w:r>
    </w:p>
    <w:p w14:paraId="48024967" w14:textId="3DD701E0" w:rsidR="00103D0A" w:rsidRPr="00C25F1D" w:rsidRDefault="00103D0A" w:rsidP="00103D0A">
      <w:pPr>
        <w:jc w:val="center"/>
        <w:rPr>
          <w:rFonts w:cs="Arial"/>
          <w:szCs w:val="22"/>
          <w:lang w:eastAsia="en-AU"/>
        </w:rPr>
      </w:pPr>
      <w:r>
        <w:rPr>
          <w:szCs w:val="22"/>
          <w:lang w:eastAsia="en-AU"/>
        </w:rPr>
        <w:t xml:space="preserve">Please refer to the </w:t>
      </w:r>
      <w:hyperlink r:id="rId12" w:history="1">
        <w:r w:rsidRPr="00C25F1D">
          <w:rPr>
            <w:rStyle w:val="Hyperlink"/>
            <w:szCs w:val="22"/>
            <w:lang w:eastAsia="en-AU"/>
          </w:rPr>
          <w:t>Queensland Government (For Government) website</w:t>
        </w:r>
      </w:hyperlink>
      <w:r w:rsidRPr="00C25F1D">
        <w:rPr>
          <w:szCs w:val="22"/>
          <w:lang w:eastAsia="en-AU"/>
        </w:rPr>
        <w:t xml:space="preserve"> for the current, authorised version.</w:t>
      </w:r>
    </w:p>
    <w:p w14:paraId="1AC6CC9C" w14:textId="77777777" w:rsidR="00103D0A" w:rsidRPr="00261EDB" w:rsidRDefault="00103D0A" w:rsidP="008F3DDA">
      <w:pPr>
        <w:pStyle w:val="Heading4"/>
      </w:pPr>
      <w:bookmarkStart w:id="4" w:name="_Toc314475554"/>
      <w:bookmarkEnd w:id="3"/>
      <w:r>
        <w:br w:type="page"/>
      </w:r>
      <w:r w:rsidRPr="00261EDB">
        <w:lastRenderedPageBreak/>
        <w:t>Using this schedule</w:t>
      </w:r>
    </w:p>
    <w:p w14:paraId="57A44E7E" w14:textId="334DD380" w:rsidR="00103D0A" w:rsidRDefault="00103D0A" w:rsidP="00103D0A">
      <w:r>
        <w:t xml:space="preserve">The </w:t>
      </w:r>
      <w:r w:rsidR="00D16C5D">
        <w:fldChar w:fldCharType="begin">
          <w:ffData>
            <w:name w:val="Text38"/>
            <w:enabled/>
            <w:calcOnExit w:val="0"/>
            <w:textInput>
              <w:default w:val="Queensland Building and Construction Commission"/>
            </w:textInput>
          </w:ffData>
        </w:fldChar>
      </w:r>
      <w:r w:rsidR="00D16C5D">
        <w:instrText xml:space="preserve"> FORMTEXT </w:instrText>
      </w:r>
      <w:r w:rsidR="00D16C5D">
        <w:fldChar w:fldCharType="separate"/>
      </w:r>
      <w:r w:rsidR="00D16C5D">
        <w:rPr>
          <w:noProof/>
        </w:rPr>
        <w:t>Queensland Building and Construction Commission</w:t>
      </w:r>
      <w:r w:rsidR="00D16C5D">
        <w:fldChar w:fldCharType="end"/>
      </w:r>
      <w:r>
        <w:t xml:space="preserve"> retention and disposal schedule </w:t>
      </w:r>
      <w:r w:rsidRPr="00FB3A56">
        <w:t>(schedule)</w:t>
      </w:r>
      <w:r>
        <w:t xml:space="preserve"> </w:t>
      </w:r>
      <w:r w:rsidRPr="008D4B3E">
        <w:t xml:space="preserve">authorises the disposal of </w:t>
      </w:r>
      <w:r>
        <w:t>public records which can include data and information</w:t>
      </w:r>
      <w:r w:rsidR="00D16C5D">
        <w:t>, created</w:t>
      </w:r>
      <w:r w:rsidRPr="008D4B3E">
        <w:t xml:space="preserve"> </w:t>
      </w:r>
      <w:r>
        <w:t xml:space="preserve">or received </w:t>
      </w:r>
      <w:r w:rsidRPr="008D4B3E">
        <w:t xml:space="preserve">by </w:t>
      </w:r>
      <w:r w:rsidR="00D16C5D">
        <w:fldChar w:fldCharType="begin">
          <w:ffData>
            <w:name w:val="Text40"/>
            <w:enabled/>
            <w:calcOnExit w:val="0"/>
            <w:textInput>
              <w:default w:val="Queensland Building and Construction Commission"/>
            </w:textInput>
          </w:ffData>
        </w:fldChar>
      </w:r>
      <w:r w:rsidR="00D16C5D">
        <w:instrText xml:space="preserve"> FORMTEXT </w:instrText>
      </w:r>
      <w:r w:rsidR="00D16C5D">
        <w:fldChar w:fldCharType="separate"/>
      </w:r>
      <w:r w:rsidR="00D16C5D">
        <w:rPr>
          <w:noProof/>
        </w:rPr>
        <w:t>Queensland Building and Construction Commission</w:t>
      </w:r>
      <w:r w:rsidR="00D16C5D">
        <w:fldChar w:fldCharType="end"/>
      </w:r>
      <w:r w:rsidRPr="008D4B3E">
        <w:t xml:space="preserve">. </w:t>
      </w:r>
      <w:r>
        <w:t>The Schedule</w:t>
      </w:r>
      <w:r w:rsidRPr="008D4B3E">
        <w:t xml:space="preserve"> applies to</w:t>
      </w:r>
      <w:r w:rsidRPr="00D96034">
        <w:t xml:space="preserve"> </w:t>
      </w:r>
      <w:r>
        <w:t xml:space="preserve">public </w:t>
      </w:r>
      <w:r w:rsidRPr="00D96034">
        <w:t xml:space="preserve">records created in any format, unless otherwise specified in the </w:t>
      </w:r>
      <w:r>
        <w:t>disposal authorisation</w:t>
      </w:r>
      <w:r w:rsidRPr="00D96034">
        <w:t xml:space="preserve"> description. </w:t>
      </w:r>
    </w:p>
    <w:p w14:paraId="55641F19" w14:textId="77777777" w:rsidR="00103D0A" w:rsidRDefault="00103D0A" w:rsidP="00103D0A">
      <w:r w:rsidRPr="008D4B3E">
        <w:t xml:space="preserve">The </w:t>
      </w:r>
      <w:r>
        <w:t>Schedule</w:t>
      </w:r>
      <w:r>
        <w:rPr>
          <w:rFonts w:cs="Arial"/>
        </w:rPr>
        <w:t xml:space="preserve"> can</w:t>
      </w:r>
      <w:r w:rsidRPr="008D4B3E">
        <w:t xml:space="preserve"> be used in conjunction with </w:t>
      </w:r>
      <w:r>
        <w:t xml:space="preserve">the </w:t>
      </w:r>
      <w:hyperlink r:id="rId13" w:history="1">
        <w:r w:rsidRPr="00303A49">
          <w:rPr>
            <w:rStyle w:val="Hyperlink"/>
            <w:szCs w:val="22"/>
          </w:rPr>
          <w:t>General retention and disposal schedule</w:t>
        </w:r>
      </w:hyperlink>
      <w:r>
        <w:t xml:space="preserve"> (GRDS)</w:t>
      </w:r>
      <w:r w:rsidRPr="0074729A">
        <w:t xml:space="preserve"> and the </w:t>
      </w:r>
      <w:hyperlink r:id="rId14" w:history="1">
        <w:r w:rsidRPr="001B1C37">
          <w:rPr>
            <w:rStyle w:val="Hyperlink"/>
          </w:rPr>
          <w:t>General retention and disposal schedule – Lite</w:t>
        </w:r>
      </w:hyperlink>
      <w:r w:rsidRPr="0074729A">
        <w:t xml:space="preserve"> (GRDS Lite)</w:t>
      </w:r>
      <w:r>
        <w:t>. Disposal authorisations</w:t>
      </w:r>
      <w:r w:rsidRPr="008D4B3E">
        <w:t xml:space="preserve"> in the Common </w:t>
      </w:r>
      <w:r>
        <w:t>A</w:t>
      </w:r>
      <w:r w:rsidRPr="008D4B3E">
        <w:t>ctivities</w:t>
      </w:r>
      <w:r>
        <w:t xml:space="preserve"> section of the GRDS and the GRDS Lite may</w:t>
      </w:r>
      <w:r w:rsidRPr="00DC4374">
        <w:t xml:space="preserve"> be applied to any function </w:t>
      </w:r>
      <w:r>
        <w:t>undertaken by</w:t>
      </w:r>
      <w:r w:rsidRPr="00DC4374">
        <w:t xml:space="preserve"> </w:t>
      </w:r>
      <w:r>
        <w:t xml:space="preserve">a </w:t>
      </w:r>
      <w:r w:rsidRPr="00E86400">
        <w:t>public authority</w:t>
      </w:r>
      <w:r w:rsidRPr="00DC4374">
        <w:t xml:space="preserve">, provided </w:t>
      </w:r>
      <w:r>
        <w:t>the minimum retention period</w:t>
      </w:r>
      <w:r w:rsidRPr="00DC4374">
        <w:t xml:space="preserve"> meets </w:t>
      </w:r>
      <w:r>
        <w:t xml:space="preserve">all </w:t>
      </w:r>
      <w:r w:rsidRPr="00DC4374">
        <w:t xml:space="preserve">of the </w:t>
      </w:r>
      <w:r>
        <w:t xml:space="preserve">public authority’s </w:t>
      </w:r>
      <w:r w:rsidRPr="00DC4374">
        <w:t>specific regulatory requirements</w:t>
      </w:r>
      <w:r>
        <w:t>.</w:t>
      </w:r>
      <w:r w:rsidRPr="00DC4374">
        <w:t xml:space="preserve"> </w:t>
      </w:r>
    </w:p>
    <w:p w14:paraId="7D09EE6D" w14:textId="77777777" w:rsidR="00103D0A" w:rsidRDefault="00103D0A" w:rsidP="00103D0A">
      <w:pPr>
        <w:ind w:right="-170"/>
        <w:rPr>
          <w:szCs w:val="22"/>
        </w:rPr>
      </w:pPr>
      <w:r>
        <w:rPr>
          <w:szCs w:val="22"/>
        </w:rPr>
        <w:t xml:space="preserve">Any </w:t>
      </w:r>
      <w:r w:rsidRPr="00DC4374">
        <w:rPr>
          <w:szCs w:val="22"/>
        </w:rPr>
        <w:t>references to repealed legislation may be taken as a reference to current legislation if the context permits</w:t>
      </w:r>
      <w:r>
        <w:rPr>
          <w:szCs w:val="22"/>
        </w:rPr>
        <w:t>.</w:t>
      </w:r>
    </w:p>
    <w:p w14:paraId="010CBE78" w14:textId="205C18B7" w:rsidR="00103D0A" w:rsidRPr="00610371" w:rsidRDefault="00103D0A" w:rsidP="00103D0A">
      <w:pPr>
        <w:ind w:right="-170"/>
        <w:rPr>
          <w:iCs/>
          <w:szCs w:val="22"/>
        </w:rPr>
      </w:pPr>
      <w:bookmarkStart w:id="5" w:name="_Hlk61349063"/>
      <w:r w:rsidRPr="00610371">
        <w:rPr>
          <w:iCs/>
          <w:szCs w:val="22"/>
        </w:rPr>
        <w:t xml:space="preserve">The </w:t>
      </w:r>
      <w:r w:rsidR="00D16C5D">
        <w:rPr>
          <w:szCs w:val="22"/>
        </w:rPr>
        <w:fldChar w:fldCharType="begin">
          <w:ffData>
            <w:name w:val=""/>
            <w:enabled/>
            <w:calcOnExit w:val="0"/>
            <w:textInput>
              <w:default w:val="Queensland Building and Construction Commission"/>
            </w:textInput>
          </w:ffData>
        </w:fldChar>
      </w:r>
      <w:r w:rsidR="00D16C5D">
        <w:rPr>
          <w:szCs w:val="22"/>
        </w:rPr>
        <w:instrText xml:space="preserve"> FORMTEXT </w:instrText>
      </w:r>
      <w:r w:rsidR="00D16C5D">
        <w:rPr>
          <w:szCs w:val="22"/>
        </w:rPr>
      </w:r>
      <w:r w:rsidR="00D16C5D">
        <w:rPr>
          <w:szCs w:val="22"/>
        </w:rPr>
        <w:fldChar w:fldCharType="separate"/>
      </w:r>
      <w:r w:rsidR="00D16C5D">
        <w:rPr>
          <w:noProof/>
          <w:szCs w:val="22"/>
        </w:rPr>
        <w:t>Queensland Building and Construction Commission</w:t>
      </w:r>
      <w:r w:rsidR="00D16C5D">
        <w:rPr>
          <w:szCs w:val="22"/>
        </w:rPr>
        <w:fldChar w:fldCharType="end"/>
      </w:r>
      <w:r w:rsidRPr="00610371">
        <w:rPr>
          <w:iCs/>
          <w:szCs w:val="22"/>
        </w:rPr>
        <w:t xml:space="preserve"> is </w:t>
      </w:r>
      <w:r w:rsidRPr="006A6CF5">
        <w:rPr>
          <w:iCs/>
          <w:szCs w:val="22"/>
        </w:rPr>
        <w:t>responsible</w:t>
      </w:r>
      <w:r w:rsidRPr="00552F9F">
        <w:rPr>
          <w:i/>
          <w:szCs w:val="22"/>
        </w:rPr>
        <w:t xml:space="preserve"> </w:t>
      </w:r>
      <w:r w:rsidRPr="00610371">
        <w:rPr>
          <w:iCs/>
          <w:szCs w:val="22"/>
        </w:rPr>
        <w:t xml:space="preserve">for the </w:t>
      </w:r>
      <w:r>
        <w:rPr>
          <w:szCs w:val="22"/>
        </w:rPr>
        <w:t>schedule</w:t>
      </w:r>
      <w:r w:rsidRPr="00552F9F">
        <w:rPr>
          <w:i/>
          <w:iCs/>
          <w:szCs w:val="22"/>
        </w:rPr>
        <w:t>.</w:t>
      </w:r>
      <w:r w:rsidRPr="00610371">
        <w:rPr>
          <w:iCs/>
          <w:szCs w:val="22"/>
        </w:rPr>
        <w:t xml:space="preserve"> </w:t>
      </w:r>
      <w:bookmarkEnd w:id="5"/>
      <w:r>
        <w:rPr>
          <w:iCs/>
          <w:szCs w:val="22"/>
        </w:rPr>
        <w:t>I</w:t>
      </w:r>
      <w:r w:rsidRPr="00610371">
        <w:rPr>
          <w:iCs/>
          <w:szCs w:val="22"/>
        </w:rPr>
        <w:t xml:space="preserve">n the event of an administrative change, or the transfer of a function from one public authority to another, this schedule will continue to apply to the </w:t>
      </w:r>
      <w:r>
        <w:rPr>
          <w:iCs/>
          <w:szCs w:val="22"/>
        </w:rPr>
        <w:t xml:space="preserve">public </w:t>
      </w:r>
      <w:r w:rsidRPr="00610371">
        <w:rPr>
          <w:iCs/>
          <w:szCs w:val="22"/>
        </w:rPr>
        <w:t xml:space="preserve">records </w:t>
      </w:r>
      <w:r>
        <w:rPr>
          <w:iCs/>
          <w:szCs w:val="22"/>
        </w:rPr>
        <w:t xml:space="preserve">described </w:t>
      </w:r>
      <w:r w:rsidRPr="00610371">
        <w:rPr>
          <w:iCs/>
          <w:szCs w:val="22"/>
        </w:rPr>
        <w:t xml:space="preserve">by the schedule. For further advice on </w:t>
      </w:r>
      <w:r>
        <w:rPr>
          <w:iCs/>
          <w:szCs w:val="22"/>
        </w:rPr>
        <w:t>authorised</w:t>
      </w:r>
      <w:r w:rsidRPr="00610371">
        <w:rPr>
          <w:iCs/>
          <w:szCs w:val="22"/>
        </w:rPr>
        <w:t xml:space="preserve"> retention and disposal schedules following administrative change, please contact Queensland State Archives on (07) 3037 </w:t>
      </w:r>
      <w:r w:rsidRPr="00C56E7A">
        <w:rPr>
          <w:iCs/>
          <w:szCs w:val="22"/>
        </w:rPr>
        <w:t>6777</w:t>
      </w:r>
      <w:r>
        <w:rPr>
          <w:iCs/>
          <w:szCs w:val="22"/>
        </w:rPr>
        <w:t xml:space="preserve"> </w:t>
      </w:r>
      <w:r w:rsidRPr="00610371">
        <w:rPr>
          <w:iCs/>
          <w:szCs w:val="22"/>
        </w:rPr>
        <w:t xml:space="preserve">or </w:t>
      </w:r>
      <w:r>
        <w:rPr>
          <w:iCs/>
          <w:szCs w:val="22"/>
        </w:rPr>
        <w:t xml:space="preserve">via the </w:t>
      </w:r>
      <w:hyperlink r:id="rId15" w:history="1">
        <w:r w:rsidRPr="00552F9F">
          <w:rPr>
            <w:rStyle w:val="Hyperlink"/>
            <w:iCs/>
            <w:szCs w:val="22"/>
          </w:rPr>
          <w:t>Queensland Government (For Government) website</w:t>
        </w:r>
      </w:hyperlink>
      <w:r>
        <w:rPr>
          <w:iCs/>
          <w:szCs w:val="22"/>
        </w:rPr>
        <w:t>.</w:t>
      </w:r>
    </w:p>
    <w:p w14:paraId="60F3A03D" w14:textId="77777777" w:rsidR="00103D0A" w:rsidRDefault="00103D0A" w:rsidP="00103D0A">
      <w:r>
        <w:rPr>
          <w:szCs w:val="22"/>
        </w:rPr>
        <w:t xml:space="preserve">Repealed Retention and Disposal schedules must not be used to dispose of public records.  Repealed schedule/s </w:t>
      </w:r>
      <w:r w:rsidRPr="004977CE">
        <w:t xml:space="preserve">include: </w:t>
      </w:r>
    </w:p>
    <w:p w14:paraId="64D255C4" w14:textId="0E6DE20E" w:rsidR="00054286" w:rsidRPr="00054286" w:rsidRDefault="00054286" w:rsidP="008D19B9">
      <w:pPr>
        <w:pStyle w:val="ListBullet"/>
        <w:numPr>
          <w:ilvl w:val="0"/>
          <w:numId w:val="4"/>
        </w:numPr>
        <w:rPr>
          <w:bCs/>
        </w:rPr>
      </w:pPr>
      <w:r w:rsidRPr="006A5229">
        <w:rPr>
          <w:bCs/>
        </w:rPr>
        <w:t>QDAN 673 v.1</w:t>
      </w:r>
      <w:r w:rsidR="0035017D">
        <w:rPr>
          <w:bCs/>
        </w:rPr>
        <w:t xml:space="preserve"> - </w:t>
      </w:r>
      <w:r w:rsidRPr="00054286">
        <w:rPr>
          <w:bCs/>
        </w:rPr>
        <w:t>Building and Construction Industry Payments Agency Retention and Disposal Schedule</w:t>
      </w:r>
      <w:r>
        <w:rPr>
          <w:bCs/>
        </w:rPr>
        <w:t xml:space="preserve"> – Issued October 2011</w:t>
      </w:r>
    </w:p>
    <w:p w14:paraId="5FFBD502" w14:textId="597AB9F6" w:rsidR="00054286" w:rsidRPr="00D5449F" w:rsidRDefault="00054286" w:rsidP="008D19B9">
      <w:pPr>
        <w:pStyle w:val="ListBullet"/>
        <w:numPr>
          <w:ilvl w:val="0"/>
          <w:numId w:val="4"/>
        </w:numPr>
        <w:rPr>
          <w:b/>
        </w:rPr>
      </w:pPr>
      <w:r>
        <w:t>QDAN 185 v.2</w:t>
      </w:r>
      <w:r w:rsidR="0035017D">
        <w:t xml:space="preserve"> - </w:t>
      </w:r>
      <w:r w:rsidRPr="00054286">
        <w:t>Queensland Building and Construction Commission Retention and Disposal Schedule</w:t>
      </w:r>
      <w:r>
        <w:t xml:space="preserve"> – Issued October 2011</w:t>
      </w:r>
    </w:p>
    <w:p w14:paraId="13D30FDF" w14:textId="77777777" w:rsidR="00103D0A" w:rsidRDefault="00103D0A" w:rsidP="008F3DDA">
      <w:pPr>
        <w:pStyle w:val="Heading4"/>
      </w:pPr>
      <w:r w:rsidRPr="007E4E35">
        <w:t>Records relating to vulnerable persons</w:t>
      </w:r>
    </w:p>
    <w:p w14:paraId="231488CC" w14:textId="363F6B3B" w:rsidR="00103D0A" w:rsidRDefault="00103D0A" w:rsidP="00103D0A">
      <w:pPr>
        <w:rPr>
          <w:szCs w:val="22"/>
        </w:rPr>
      </w:pPr>
      <w:r w:rsidRPr="007E4E35">
        <w:rPr>
          <w:szCs w:val="22"/>
        </w:rPr>
        <w:t xml:space="preserve">While using this schedule, </w:t>
      </w:r>
      <w:r w:rsidR="00D16C5D">
        <w:rPr>
          <w:szCs w:val="22"/>
        </w:rPr>
        <w:fldChar w:fldCharType="begin">
          <w:ffData>
            <w:name w:val=""/>
            <w:enabled/>
            <w:calcOnExit w:val="0"/>
            <w:textInput>
              <w:default w:val="Queensland Building and Construction Commission"/>
            </w:textInput>
          </w:ffData>
        </w:fldChar>
      </w:r>
      <w:r w:rsidR="00D16C5D">
        <w:rPr>
          <w:szCs w:val="22"/>
        </w:rPr>
        <w:instrText xml:space="preserve"> FORMTEXT </w:instrText>
      </w:r>
      <w:r w:rsidR="00D16C5D">
        <w:rPr>
          <w:szCs w:val="22"/>
        </w:rPr>
      </w:r>
      <w:r w:rsidR="00D16C5D">
        <w:rPr>
          <w:szCs w:val="22"/>
        </w:rPr>
        <w:fldChar w:fldCharType="separate"/>
      </w:r>
      <w:r w:rsidR="00D16C5D">
        <w:rPr>
          <w:noProof/>
          <w:szCs w:val="22"/>
        </w:rPr>
        <w:t>Queensland Building and Construction Commission</w:t>
      </w:r>
      <w:r w:rsidR="00D16C5D">
        <w:rPr>
          <w:szCs w:val="22"/>
        </w:rPr>
        <w:fldChar w:fldCharType="end"/>
      </w:r>
      <w:r w:rsidRPr="007E4E35">
        <w:rPr>
          <w:szCs w:val="22"/>
        </w:rPr>
        <w:t xml:space="preserve"> needs to carefully consider </w:t>
      </w:r>
      <w:r>
        <w:rPr>
          <w:szCs w:val="22"/>
        </w:rPr>
        <w:t xml:space="preserve">public </w:t>
      </w:r>
      <w:r w:rsidRPr="007E4E35">
        <w:rPr>
          <w:szCs w:val="22"/>
        </w:rPr>
        <w:t xml:space="preserve">records relevant to the proactive protection of vulnerable persons. </w:t>
      </w:r>
      <w:r>
        <w:rPr>
          <w:szCs w:val="22"/>
        </w:rPr>
        <w:t xml:space="preserve">Public records relevant to the proactive protection of the rights and entitlements of vulnerable persons are covered by disposal authorisations under </w:t>
      </w:r>
      <w:r w:rsidRPr="007E4E35">
        <w:rPr>
          <w:szCs w:val="22"/>
        </w:rPr>
        <w:t>COMMON ACTIVITIES – PROACTIVE PROTECTION OF VULNERABLE PERSONS</w:t>
      </w:r>
      <w:r w:rsidR="00824935">
        <w:rPr>
          <w:szCs w:val="22"/>
        </w:rPr>
        <w:t xml:space="preserve"> </w:t>
      </w:r>
      <w:r w:rsidRPr="007E4E35">
        <w:rPr>
          <w:szCs w:val="22"/>
        </w:rPr>
        <w:t>-</w:t>
      </w:r>
      <w:r w:rsidR="00824935">
        <w:rPr>
          <w:szCs w:val="22"/>
        </w:rPr>
        <w:t xml:space="preserve"> </w:t>
      </w:r>
      <w:r w:rsidRPr="007E4E35">
        <w:rPr>
          <w:szCs w:val="22"/>
        </w:rPr>
        <w:t>RELEVANT RECORDS</w:t>
      </w:r>
      <w:r w:rsidRPr="007E4E35" w:rsidDel="006C16EE">
        <w:rPr>
          <w:szCs w:val="22"/>
        </w:rPr>
        <w:t xml:space="preserve"> </w:t>
      </w:r>
      <w:r w:rsidRPr="007E4E35">
        <w:rPr>
          <w:szCs w:val="22"/>
        </w:rPr>
        <w:t xml:space="preserve"> </w:t>
      </w:r>
      <w:r>
        <w:rPr>
          <w:szCs w:val="22"/>
        </w:rPr>
        <w:t xml:space="preserve">in the </w:t>
      </w:r>
      <w:hyperlink r:id="rId16" w:history="1">
        <w:r w:rsidRPr="007E4E35">
          <w:rPr>
            <w:rStyle w:val="Hyperlink"/>
            <w:szCs w:val="22"/>
          </w:rPr>
          <w:t>GRDS</w:t>
        </w:r>
      </w:hyperlink>
      <w:r>
        <w:rPr>
          <w:szCs w:val="22"/>
        </w:rPr>
        <w:t>. T</w:t>
      </w:r>
      <w:r w:rsidRPr="007E4E35">
        <w:rPr>
          <w:szCs w:val="22"/>
        </w:rPr>
        <w:t xml:space="preserve">he </w:t>
      </w:r>
      <w:hyperlink r:id="rId17" w:history="1">
        <w:r w:rsidRPr="007E4E35">
          <w:rPr>
            <w:rStyle w:val="Hyperlink"/>
            <w:szCs w:val="22"/>
          </w:rPr>
          <w:t>Guideline on creating and keeping records for the proactive protection of vulnerable persons</w:t>
        </w:r>
      </w:hyperlink>
      <w:r>
        <w:rPr>
          <w:szCs w:val="22"/>
        </w:rPr>
        <w:t xml:space="preserve"> provides assistance</w:t>
      </w:r>
      <w:r w:rsidRPr="007E4E35">
        <w:rPr>
          <w:szCs w:val="22"/>
        </w:rPr>
        <w:t xml:space="preserve"> </w:t>
      </w:r>
      <w:r w:rsidR="00AA1CD5">
        <w:rPr>
          <w:szCs w:val="22"/>
        </w:rPr>
        <w:t>in</w:t>
      </w:r>
      <w:r w:rsidR="00AA1CD5" w:rsidRPr="007E4E35">
        <w:rPr>
          <w:szCs w:val="22"/>
        </w:rPr>
        <w:t xml:space="preserve"> </w:t>
      </w:r>
      <w:r w:rsidRPr="007E4E35">
        <w:rPr>
          <w:szCs w:val="22"/>
        </w:rPr>
        <w:t xml:space="preserve">identifying and managing </w:t>
      </w:r>
      <w:r>
        <w:rPr>
          <w:szCs w:val="22"/>
        </w:rPr>
        <w:t xml:space="preserve">public </w:t>
      </w:r>
      <w:r w:rsidRPr="007E4E35">
        <w:rPr>
          <w:szCs w:val="22"/>
        </w:rPr>
        <w:t>records</w:t>
      </w:r>
      <w:r>
        <w:rPr>
          <w:szCs w:val="22"/>
        </w:rPr>
        <w:t xml:space="preserve"> related to vulnerable persons</w:t>
      </w:r>
      <w:r w:rsidRPr="007E4E35">
        <w:rPr>
          <w:szCs w:val="22"/>
        </w:rPr>
        <w:t xml:space="preserve">. </w:t>
      </w:r>
    </w:p>
    <w:p w14:paraId="65D0C915" w14:textId="77777777" w:rsidR="00103D0A" w:rsidRPr="007E4E35" w:rsidRDefault="00103D0A" w:rsidP="00103D0A">
      <w:pPr>
        <w:rPr>
          <w:szCs w:val="22"/>
        </w:rPr>
      </w:pPr>
      <w:bookmarkStart w:id="6" w:name="_Hlk62729909"/>
      <w:r>
        <w:rPr>
          <w:szCs w:val="22"/>
        </w:rPr>
        <w:t>If</w:t>
      </w:r>
      <w:r w:rsidRPr="007E4E35">
        <w:rPr>
          <w:szCs w:val="22"/>
        </w:rPr>
        <w:t xml:space="preserve"> there is an inconsistency in disposal </w:t>
      </w:r>
      <w:r>
        <w:rPr>
          <w:szCs w:val="22"/>
        </w:rPr>
        <w:t>authorisation</w:t>
      </w:r>
      <w:r w:rsidRPr="007E4E35">
        <w:rPr>
          <w:szCs w:val="22"/>
        </w:rPr>
        <w:t xml:space="preserve"> between </w:t>
      </w:r>
      <w:r w:rsidRPr="00CB0735">
        <w:rPr>
          <w:szCs w:val="22"/>
        </w:rPr>
        <w:t>the public records related to vulnerable persons detailed in the GRDS</w:t>
      </w:r>
      <w:r w:rsidRPr="007E4E35">
        <w:rPr>
          <w:szCs w:val="22"/>
        </w:rPr>
        <w:t xml:space="preserve"> and </w:t>
      </w:r>
      <w:r>
        <w:rPr>
          <w:szCs w:val="22"/>
        </w:rPr>
        <w:t xml:space="preserve">this schedule, </w:t>
      </w:r>
      <w:r w:rsidRPr="007E4E35">
        <w:rPr>
          <w:szCs w:val="22"/>
        </w:rPr>
        <w:t xml:space="preserve">the disposal authorisation with the longest </w:t>
      </w:r>
      <w:r>
        <w:rPr>
          <w:szCs w:val="22"/>
        </w:rPr>
        <w:t xml:space="preserve">minimum </w:t>
      </w:r>
      <w:r w:rsidRPr="007E4E35">
        <w:rPr>
          <w:szCs w:val="22"/>
        </w:rPr>
        <w:t xml:space="preserve">retention period </w:t>
      </w:r>
      <w:r>
        <w:rPr>
          <w:szCs w:val="22"/>
        </w:rPr>
        <w:t xml:space="preserve">is </w:t>
      </w:r>
      <w:r w:rsidRPr="007E4E35">
        <w:rPr>
          <w:szCs w:val="22"/>
        </w:rPr>
        <w:t>applied</w:t>
      </w:r>
      <w:bookmarkEnd w:id="6"/>
      <w:r w:rsidRPr="007E4E35">
        <w:rPr>
          <w:szCs w:val="22"/>
        </w:rPr>
        <w:t xml:space="preserve">.  </w:t>
      </w:r>
    </w:p>
    <w:p w14:paraId="15BF15B4" w14:textId="77777777" w:rsidR="00103D0A" w:rsidRPr="00261EDB" w:rsidRDefault="00103D0A" w:rsidP="008F3DDA">
      <w:pPr>
        <w:pStyle w:val="Heading4"/>
      </w:pPr>
      <w:bookmarkStart w:id="7" w:name="_Toc314475555"/>
      <w:bookmarkEnd w:id="4"/>
      <w:r w:rsidRPr="00261EDB">
        <w:t>When this schedule should not be used</w:t>
      </w:r>
    </w:p>
    <w:p w14:paraId="5EB06385" w14:textId="40382FA3" w:rsidR="00103D0A" w:rsidRPr="00DC4374" w:rsidRDefault="00103D0A" w:rsidP="00103D0A">
      <w:pPr>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Pr>
          <w:szCs w:val="22"/>
        </w:rPr>
        <w:t xml:space="preserve">if </w:t>
      </w:r>
      <w:r w:rsidRPr="00DC4374">
        <w:rPr>
          <w:i/>
          <w:szCs w:val="22"/>
        </w:rPr>
        <w:t xml:space="preserve">‘a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public authorities </w:t>
      </w:r>
      <w:r w:rsidRPr="00DC4374">
        <w:rPr>
          <w:szCs w:val="22"/>
        </w:rPr>
        <w:t xml:space="preserve">to ensure </w:t>
      </w:r>
      <w:r>
        <w:rPr>
          <w:szCs w:val="22"/>
        </w:rPr>
        <w:t xml:space="preserve">public records are not disposed of </w:t>
      </w:r>
      <w:r w:rsidRPr="00DC4374">
        <w:rPr>
          <w:szCs w:val="22"/>
        </w:rPr>
        <w:t xml:space="preserve">which may be needed in evidence </w:t>
      </w:r>
      <w:r>
        <w:rPr>
          <w:szCs w:val="22"/>
        </w:rPr>
        <w:t>for</w:t>
      </w:r>
      <w:r w:rsidRPr="00DC4374">
        <w:rPr>
          <w:szCs w:val="22"/>
        </w:rPr>
        <w:t xml:space="preserve"> a judicial proceeding, including any legal action or a Commission of Inquiry</w:t>
      </w:r>
      <w:r>
        <w:rPr>
          <w:szCs w:val="22"/>
        </w:rPr>
        <w:t xml:space="preserve">. </w:t>
      </w:r>
      <w:r w:rsidRPr="00DC4374">
        <w:rPr>
          <w:szCs w:val="22"/>
        </w:rPr>
        <w:t xml:space="preserve"> Internal processes should be implemented to meet this obligation</w:t>
      </w:r>
      <w:r>
        <w:rPr>
          <w:szCs w:val="22"/>
        </w:rPr>
        <w:t>,</w:t>
      </w:r>
      <w:r w:rsidRPr="00DC4374">
        <w:rPr>
          <w:szCs w:val="22"/>
        </w:rPr>
        <w:t xml:space="preserve"> which </w:t>
      </w:r>
      <w:r w:rsidR="00080095">
        <w:rPr>
          <w:szCs w:val="22"/>
        </w:rPr>
        <w:t>include</w:t>
      </w:r>
      <w:r w:rsidRPr="00DC4374">
        <w:rPr>
          <w:szCs w:val="22"/>
        </w:rPr>
        <w:t xml:space="preserve"> consultation with your legal or Right to Information area</w:t>
      </w:r>
      <w:r>
        <w:rPr>
          <w:szCs w:val="22"/>
        </w:rPr>
        <w:t>.</w:t>
      </w:r>
      <w:r w:rsidRPr="00DC4374">
        <w:rPr>
          <w:szCs w:val="22"/>
        </w:rPr>
        <w:t xml:space="preserve"> </w:t>
      </w:r>
    </w:p>
    <w:p w14:paraId="2FE6C9F2" w14:textId="77777777" w:rsidR="00103D0A" w:rsidRPr="00327FF3" w:rsidRDefault="00103D0A" w:rsidP="008F3DDA">
      <w:pPr>
        <w:pStyle w:val="Heading4"/>
      </w:pPr>
      <w:r w:rsidRPr="00327FF3">
        <w:t>Schedule layout</w:t>
      </w:r>
    </w:p>
    <w:p w14:paraId="43DE2095" w14:textId="77777777" w:rsidR="00103D0A" w:rsidRPr="00370C0E" w:rsidRDefault="00103D0A" w:rsidP="00103D0A">
      <w:r>
        <w:t xml:space="preserve">Each disposal authorisation has been allocated a unique number to aid with the disposal of public records. Further implementation information is available on the </w:t>
      </w:r>
      <w:hyperlink r:id="rId18" w:history="1">
        <w:r w:rsidRPr="00241EE1">
          <w:rPr>
            <w:rStyle w:val="Hyperlink"/>
          </w:rPr>
          <w:t>Queensland Government (For Government) website</w:t>
        </w:r>
      </w:hyperlink>
      <w:r w:rsidRPr="00303A49">
        <w:t>.</w:t>
      </w:r>
      <w:bookmarkEnd w:id="7"/>
      <w:r>
        <w:t xml:space="preserve"> </w:t>
      </w:r>
    </w:p>
    <w:p w14:paraId="53EB5494" w14:textId="458E9EB9" w:rsidR="00103D0A" w:rsidRPr="00327FF3" w:rsidRDefault="00103D0A" w:rsidP="008F3DDA">
      <w:pPr>
        <w:pStyle w:val="Heading4"/>
      </w:pPr>
      <w:r>
        <w:br w:type="page"/>
      </w:r>
      <w:r w:rsidRPr="00327FF3">
        <w:lastRenderedPageBreak/>
        <w:t xml:space="preserve">Disposal </w:t>
      </w:r>
    </w:p>
    <w:p w14:paraId="06189B7E" w14:textId="77777777" w:rsidR="00103D0A" w:rsidRDefault="00103D0A" w:rsidP="00103D0A">
      <w:r>
        <w:t xml:space="preserve">This schedule provides authorisation by the State Archivist for the disposal of public records as required under the </w:t>
      </w:r>
      <w:r w:rsidRPr="00B71A1F">
        <w:rPr>
          <w:i/>
          <w:iCs/>
        </w:rPr>
        <w:t>Public Records Act 2002.</w:t>
      </w:r>
      <w:r>
        <w:t xml:space="preserve"> No further notification of the disposal of public records by your public authority to Queensland State Archives is required.  </w:t>
      </w:r>
      <w:r w:rsidRPr="003C7C3C">
        <w:t xml:space="preserve">Approval from </w:t>
      </w:r>
      <w:r>
        <w:t>the</w:t>
      </w:r>
      <w:r w:rsidRPr="003C7C3C">
        <w:t xml:space="preserve"> E</w:t>
      </w:r>
      <w:r>
        <w:t xml:space="preserve">xecutive </w:t>
      </w:r>
      <w:r w:rsidRPr="003C7C3C">
        <w:t>O</w:t>
      </w:r>
      <w:r>
        <w:t>fficer</w:t>
      </w:r>
      <w:r w:rsidRPr="003C7C3C">
        <w:t xml:space="preserve"> or authorised delegate </w:t>
      </w:r>
      <w:r>
        <w:t xml:space="preserve">of your public authority </w:t>
      </w:r>
      <w:r w:rsidRPr="003C7C3C">
        <w:t xml:space="preserve">is required prior to </w:t>
      </w:r>
      <w:r>
        <w:t xml:space="preserve">the </w:t>
      </w:r>
      <w:r w:rsidRPr="003C7C3C">
        <w:t>disposal</w:t>
      </w:r>
      <w:r>
        <w:t xml:space="preserve"> of public records</w:t>
      </w:r>
      <w:r w:rsidRPr="003C7C3C">
        <w:t>.</w:t>
      </w:r>
      <w:r>
        <w:t xml:space="preserve"> Disposal</w:t>
      </w:r>
      <w:r w:rsidRPr="003C7C3C">
        <w:t xml:space="preserve"> must </w:t>
      </w:r>
      <w:r>
        <w:t xml:space="preserve">also </w:t>
      </w:r>
      <w:r w:rsidRPr="003C7C3C">
        <w:t>be appropriately documented in accordance with</w:t>
      </w:r>
      <w:r w:rsidRPr="00777DD1">
        <w:rPr>
          <w:i/>
        </w:rPr>
        <w:t xml:space="preserve"> </w:t>
      </w:r>
      <w:r w:rsidRPr="00D2717C">
        <w:t>the</w:t>
      </w:r>
      <w:r>
        <w:rPr>
          <w:i/>
        </w:rPr>
        <w:t xml:space="preserve"> </w:t>
      </w:r>
      <w:hyperlink r:id="rId19" w:history="1">
        <w:r w:rsidRPr="00D2717C">
          <w:rPr>
            <w:rStyle w:val="Hyperlink"/>
            <w:i/>
          </w:rPr>
          <w:t>Records Governance Policy</w:t>
        </w:r>
      </w:hyperlink>
      <w:r w:rsidRPr="003C7C3C">
        <w:t xml:space="preserve">. </w:t>
      </w:r>
    </w:p>
    <w:p w14:paraId="7911EF8F" w14:textId="77777777" w:rsidR="00103D0A" w:rsidRDefault="00103D0A" w:rsidP="00103D0A">
      <w:r>
        <w:t>A</w:t>
      </w:r>
      <w:r w:rsidRPr="00DC4374">
        <w:t xml:space="preserve">ny disposal </w:t>
      </w:r>
      <w:r>
        <w:t xml:space="preserve">of public records </w:t>
      </w:r>
      <w:r w:rsidRPr="00DC4374">
        <w:t xml:space="preserve">without authorisation from the State Archivist may be a breach of the </w:t>
      </w:r>
      <w:r w:rsidRPr="00DC4374">
        <w:rPr>
          <w:i/>
          <w:iCs/>
        </w:rPr>
        <w:t>Public Records Act 2002 (s.13).</w:t>
      </w:r>
    </w:p>
    <w:p w14:paraId="40204965" w14:textId="77777777" w:rsidR="00103D0A" w:rsidRPr="00327FF3" w:rsidRDefault="00103D0A" w:rsidP="008F3DDA">
      <w:pPr>
        <w:pStyle w:val="Heading4"/>
      </w:pPr>
      <w:r>
        <w:t>Further information</w:t>
      </w:r>
    </w:p>
    <w:p w14:paraId="31AC78B1" w14:textId="77777777" w:rsidR="00103D0A" w:rsidRPr="00241EE1" w:rsidRDefault="00103D0A" w:rsidP="00103D0A">
      <w:r w:rsidRPr="00DC4374">
        <w:rPr>
          <w:szCs w:val="22"/>
        </w:rPr>
        <w:t xml:space="preserve">More information on implementing schedules is available on the </w:t>
      </w:r>
      <w:hyperlink r:id="rId20" w:history="1">
        <w:r w:rsidRPr="00241EE1">
          <w:rPr>
            <w:rStyle w:val="Hyperlink"/>
          </w:rPr>
          <w:t>Queensland Government (For Government) website</w:t>
        </w:r>
      </w:hyperlink>
      <w:r w:rsidRPr="00303A49">
        <w:t>.</w:t>
      </w:r>
      <w:r>
        <w:t xml:space="preserve"> </w:t>
      </w:r>
      <w:r w:rsidRPr="00DC4374">
        <w:rPr>
          <w:szCs w:val="22"/>
        </w:rPr>
        <w:t xml:space="preserve">Any enquiries about this schedule or recordkeeping should be directed in the first instance to your </w:t>
      </w:r>
      <w:r>
        <w:rPr>
          <w:szCs w:val="22"/>
        </w:rPr>
        <w:t>R</w:t>
      </w:r>
      <w:r w:rsidRPr="00DC4374">
        <w:rPr>
          <w:szCs w:val="22"/>
        </w:rPr>
        <w:t xml:space="preserve">ecords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6777 or via the</w:t>
      </w:r>
      <w:r>
        <w:t xml:space="preserve"> </w:t>
      </w:r>
      <w:hyperlink r:id="rId21" w:history="1">
        <w:r w:rsidRPr="00241EE1">
          <w:rPr>
            <w:rStyle w:val="Hyperlink"/>
          </w:rPr>
          <w:t>Queensland Government (For Government) website</w:t>
        </w:r>
      </w:hyperlink>
      <w:r w:rsidRPr="00DC4374">
        <w:rPr>
          <w:szCs w:val="22"/>
        </w:rPr>
        <w:t xml:space="preserve">. </w:t>
      </w:r>
    </w:p>
    <w:p w14:paraId="409EDF57" w14:textId="77777777" w:rsidR="00103D0A" w:rsidRDefault="00103D0A" w:rsidP="00103D0A">
      <w:pPr>
        <w:tabs>
          <w:tab w:val="left" w:pos="8647"/>
        </w:tabs>
      </w:pPr>
    </w:p>
    <w:p w14:paraId="29EAD98F" w14:textId="350DDCDF" w:rsidR="00103D0A" w:rsidRPr="00327FF3" w:rsidRDefault="00103D0A" w:rsidP="00103D0A">
      <w:pPr>
        <w:tabs>
          <w:tab w:val="left" w:pos="8505"/>
        </w:tabs>
        <w:rPr>
          <w:b/>
          <w:sz w:val="28"/>
        </w:rPr>
      </w:pPr>
      <w:r w:rsidRPr="00327FF3">
        <w:rPr>
          <w:b/>
          <w:sz w:val="28"/>
        </w:rPr>
        <w:t xml:space="preserve">Approved by State Archivist: </w:t>
      </w:r>
      <w:r w:rsidR="00945D1A">
        <w:rPr>
          <w:b/>
          <w:sz w:val="28"/>
        </w:rPr>
        <w:t>Louise Howard</w:t>
      </w:r>
      <w:r w:rsidRPr="00327FF3">
        <w:rPr>
          <w:b/>
          <w:sz w:val="28"/>
        </w:rPr>
        <w:tab/>
        <w:t>Date:</w:t>
      </w:r>
      <w:r w:rsidR="00945D1A">
        <w:rPr>
          <w:b/>
          <w:sz w:val="28"/>
        </w:rPr>
        <w:t>15/12/2023</w:t>
      </w:r>
    </w:p>
    <w:p w14:paraId="31A90B55" w14:textId="77777777" w:rsidR="00103D0A" w:rsidRPr="006A7BB9" w:rsidRDefault="00103D0A" w:rsidP="00103D0A"/>
    <w:p w14:paraId="2BD4485A" w14:textId="299A5DB3" w:rsidR="00530F3B" w:rsidRDefault="00530F3B" w:rsidP="00530F3B">
      <w:pPr>
        <w:pageBreakBefore/>
        <w:rPr>
          <w:rFonts w:cs="Arial"/>
          <w:b/>
          <w:bCs/>
          <w:sz w:val="28"/>
          <w:szCs w:val="28"/>
        </w:rPr>
      </w:pPr>
      <w:r w:rsidRPr="00900872">
        <w:rPr>
          <w:rFonts w:cs="Arial"/>
          <w:b/>
          <w:bCs/>
          <w:sz w:val="32"/>
          <w:szCs w:val="32"/>
        </w:rPr>
        <w:lastRenderedPageBreak/>
        <w:t>Contents</w:t>
      </w:r>
    </w:p>
    <w:p w14:paraId="09E85F98" w14:textId="77777777" w:rsidR="00530F3B" w:rsidRDefault="00530F3B" w:rsidP="00B03116">
      <w:pPr>
        <w:jc w:val="right"/>
        <w:rPr>
          <w:rFonts w:cs="Arial"/>
          <w:bCs/>
          <w:sz w:val="24"/>
        </w:rPr>
      </w:pPr>
    </w:p>
    <w:p w14:paraId="7F89755D" w14:textId="334FABAA" w:rsidR="008F3DDA" w:rsidRDefault="00530F3B" w:rsidP="00D37DAD">
      <w:pPr>
        <w:pStyle w:val="TOC1"/>
        <w:rPr>
          <w:rFonts w:asciiTheme="minorHAnsi" w:eastAsiaTheme="minorEastAsia" w:hAnsiTheme="minorHAnsi" w:cstheme="minorBidi"/>
          <w:noProof/>
          <w:kern w:val="2"/>
          <w:szCs w:val="22"/>
          <w:lang w:eastAsia="en-AU"/>
          <w14:ligatures w14:val="standardContextual"/>
        </w:rPr>
      </w:pPr>
      <w:r w:rsidRPr="00AF35DF">
        <w:rPr>
          <w:rStyle w:val="Hyperlink"/>
          <w:noProof/>
        </w:rPr>
        <w:fldChar w:fldCharType="begin"/>
      </w:r>
      <w:r w:rsidRPr="00AF35DF">
        <w:rPr>
          <w:rStyle w:val="Hyperlink"/>
          <w:noProof/>
        </w:rPr>
        <w:instrText xml:space="preserve"> TOC \o "1-1" \h \z \u </w:instrText>
      </w:r>
      <w:r w:rsidRPr="00AF35DF">
        <w:rPr>
          <w:rStyle w:val="Hyperlink"/>
          <w:noProof/>
        </w:rPr>
        <w:fldChar w:fldCharType="separate"/>
      </w:r>
      <w:hyperlink w:anchor="_Toc139025777" w:history="1">
        <w:r w:rsidR="008F3DDA" w:rsidRPr="00425AE0">
          <w:rPr>
            <w:rStyle w:val="Hyperlink"/>
            <w:noProof/>
          </w:rPr>
          <w:t>1. REGULATORY COMPLIANCE, STANDARDS, ENFORCEMENT AND RESOLUTION</w:t>
        </w:r>
        <w:r w:rsidR="008F3DDA">
          <w:rPr>
            <w:noProof/>
            <w:webHidden/>
          </w:rPr>
          <w:tab/>
        </w:r>
        <w:r w:rsidR="008F3DDA">
          <w:rPr>
            <w:noProof/>
            <w:webHidden/>
          </w:rPr>
          <w:fldChar w:fldCharType="begin"/>
        </w:r>
        <w:r w:rsidR="008F3DDA">
          <w:rPr>
            <w:noProof/>
            <w:webHidden/>
          </w:rPr>
          <w:instrText xml:space="preserve"> PAGEREF _Toc139025777 \h </w:instrText>
        </w:r>
        <w:r w:rsidR="008F3DDA">
          <w:rPr>
            <w:noProof/>
            <w:webHidden/>
          </w:rPr>
        </w:r>
        <w:r w:rsidR="008F3DDA">
          <w:rPr>
            <w:noProof/>
            <w:webHidden/>
          </w:rPr>
          <w:fldChar w:fldCharType="separate"/>
        </w:r>
        <w:r w:rsidR="00EE4C6A">
          <w:rPr>
            <w:noProof/>
            <w:webHidden/>
          </w:rPr>
          <w:t>5</w:t>
        </w:r>
        <w:r w:rsidR="008F3DDA">
          <w:rPr>
            <w:noProof/>
            <w:webHidden/>
          </w:rPr>
          <w:fldChar w:fldCharType="end"/>
        </w:r>
      </w:hyperlink>
    </w:p>
    <w:p w14:paraId="57686765" w14:textId="6409B7FF" w:rsidR="008F3DDA" w:rsidRDefault="00000000" w:rsidP="00D37DAD">
      <w:pPr>
        <w:pStyle w:val="TOC1"/>
        <w:rPr>
          <w:rFonts w:asciiTheme="minorHAnsi" w:eastAsiaTheme="minorEastAsia" w:hAnsiTheme="minorHAnsi" w:cstheme="minorBidi"/>
          <w:noProof/>
          <w:kern w:val="2"/>
          <w:szCs w:val="22"/>
          <w:lang w:eastAsia="en-AU"/>
          <w14:ligatures w14:val="standardContextual"/>
        </w:rPr>
      </w:pPr>
      <w:hyperlink w:anchor="_Toc139025778" w:history="1">
        <w:r w:rsidR="008F3DDA" w:rsidRPr="00425AE0">
          <w:rPr>
            <w:rStyle w:val="Hyperlink"/>
            <w:noProof/>
          </w:rPr>
          <w:t>2. INSURANCE SCHEME MANAGEMENT</w:t>
        </w:r>
        <w:r w:rsidR="008F3DDA">
          <w:rPr>
            <w:noProof/>
            <w:webHidden/>
          </w:rPr>
          <w:tab/>
        </w:r>
        <w:r w:rsidR="008F3DDA">
          <w:rPr>
            <w:noProof/>
            <w:webHidden/>
          </w:rPr>
          <w:fldChar w:fldCharType="begin"/>
        </w:r>
        <w:r w:rsidR="008F3DDA">
          <w:rPr>
            <w:noProof/>
            <w:webHidden/>
          </w:rPr>
          <w:instrText xml:space="preserve"> PAGEREF _Toc139025778 \h </w:instrText>
        </w:r>
        <w:r w:rsidR="008F3DDA">
          <w:rPr>
            <w:noProof/>
            <w:webHidden/>
          </w:rPr>
        </w:r>
        <w:r>
          <w:rPr>
            <w:noProof/>
            <w:webHidden/>
          </w:rPr>
          <w:fldChar w:fldCharType="separate"/>
        </w:r>
        <w:r w:rsidR="008F3DDA">
          <w:rPr>
            <w:noProof/>
            <w:webHidden/>
          </w:rPr>
          <w:fldChar w:fldCharType="end"/>
        </w:r>
      </w:hyperlink>
      <w:r w:rsidR="00D37DAD">
        <w:rPr>
          <w:noProof/>
        </w:rPr>
        <w:t>17</w:t>
      </w:r>
    </w:p>
    <w:p w14:paraId="5B537C36" w14:textId="63E4936B" w:rsidR="008F3DDA" w:rsidRDefault="00000000" w:rsidP="00D37DAD">
      <w:pPr>
        <w:pStyle w:val="TOC1"/>
        <w:rPr>
          <w:rFonts w:asciiTheme="minorHAnsi" w:eastAsiaTheme="minorEastAsia" w:hAnsiTheme="minorHAnsi" w:cstheme="minorBidi"/>
          <w:noProof/>
          <w:kern w:val="2"/>
          <w:szCs w:val="22"/>
          <w:lang w:eastAsia="en-AU"/>
          <w14:ligatures w14:val="standardContextual"/>
        </w:rPr>
      </w:pPr>
      <w:hyperlink w:anchor="_Toc139025779" w:history="1">
        <w:r w:rsidR="008F3DDA" w:rsidRPr="00425AE0">
          <w:rPr>
            <w:rStyle w:val="Hyperlink"/>
            <w:noProof/>
          </w:rPr>
          <w:t>3. ADJUDICATION</w:t>
        </w:r>
        <w:r w:rsidR="008F3DDA">
          <w:rPr>
            <w:noProof/>
            <w:webHidden/>
          </w:rPr>
          <w:tab/>
        </w:r>
        <w:r w:rsidR="00D37DAD">
          <w:rPr>
            <w:noProof/>
            <w:webHidden/>
          </w:rPr>
          <w:t>19</w:t>
        </w:r>
      </w:hyperlink>
    </w:p>
    <w:p w14:paraId="2CD0FA63" w14:textId="52F84B48" w:rsidR="008F3DDA" w:rsidRDefault="00000000" w:rsidP="00D37DAD">
      <w:pPr>
        <w:pStyle w:val="TOC1"/>
        <w:rPr>
          <w:rFonts w:asciiTheme="minorHAnsi" w:eastAsiaTheme="minorEastAsia" w:hAnsiTheme="minorHAnsi" w:cstheme="minorBidi"/>
          <w:noProof/>
          <w:kern w:val="2"/>
          <w:szCs w:val="22"/>
          <w:lang w:eastAsia="en-AU"/>
          <w14:ligatures w14:val="standardContextual"/>
        </w:rPr>
      </w:pPr>
      <w:hyperlink w:anchor="_Toc139025780" w:history="1">
        <w:r w:rsidR="008F3DDA" w:rsidRPr="00425AE0">
          <w:rPr>
            <w:rStyle w:val="Hyperlink"/>
            <w:noProof/>
          </w:rPr>
          <w:t>4. PROJECT TRUST ACCOUNTS</w:t>
        </w:r>
        <w:r w:rsidR="008F3DDA">
          <w:rPr>
            <w:noProof/>
            <w:webHidden/>
          </w:rPr>
          <w:tab/>
        </w:r>
        <w:r w:rsidR="00D37DAD">
          <w:rPr>
            <w:noProof/>
            <w:webHidden/>
          </w:rPr>
          <w:t>21</w:t>
        </w:r>
      </w:hyperlink>
    </w:p>
    <w:p w14:paraId="6822687A" w14:textId="1A6CFA13" w:rsidR="008F3DDA" w:rsidRDefault="00000000" w:rsidP="00D37DAD">
      <w:pPr>
        <w:pStyle w:val="TOC1"/>
        <w:rPr>
          <w:rFonts w:asciiTheme="minorHAnsi" w:eastAsiaTheme="minorEastAsia" w:hAnsiTheme="minorHAnsi" w:cstheme="minorBidi"/>
          <w:noProof/>
          <w:kern w:val="2"/>
          <w:szCs w:val="22"/>
          <w:lang w:eastAsia="en-AU"/>
          <w14:ligatures w14:val="standardContextual"/>
        </w:rPr>
      </w:pPr>
      <w:hyperlink w:anchor="_Toc139025781" w:history="1">
        <w:r w:rsidR="008F3DDA" w:rsidRPr="00425AE0">
          <w:rPr>
            <w:rStyle w:val="Hyperlink"/>
            <w:noProof/>
          </w:rPr>
          <w:t>5. SAFER BUILDINGS</w:t>
        </w:r>
        <w:r w:rsidR="008F3DDA">
          <w:rPr>
            <w:noProof/>
            <w:webHidden/>
          </w:rPr>
          <w:tab/>
        </w:r>
        <w:r w:rsidR="00D37DAD">
          <w:rPr>
            <w:noProof/>
            <w:webHidden/>
          </w:rPr>
          <w:t>22</w:t>
        </w:r>
      </w:hyperlink>
    </w:p>
    <w:p w14:paraId="0B0EF939" w14:textId="61C27A79" w:rsidR="008F3DDA" w:rsidRDefault="00000000" w:rsidP="00D37DAD">
      <w:pPr>
        <w:pStyle w:val="TOC1"/>
        <w:rPr>
          <w:rFonts w:asciiTheme="minorHAnsi" w:eastAsiaTheme="minorEastAsia" w:hAnsiTheme="minorHAnsi" w:cstheme="minorBidi"/>
          <w:noProof/>
          <w:kern w:val="2"/>
          <w:szCs w:val="22"/>
          <w:lang w:eastAsia="en-AU"/>
          <w14:ligatures w14:val="standardContextual"/>
        </w:rPr>
      </w:pPr>
      <w:hyperlink w:anchor="_Toc139025782" w:history="1">
        <w:r w:rsidR="008F3DDA" w:rsidRPr="00425AE0">
          <w:rPr>
            <w:rStyle w:val="Hyperlink"/>
            <w:noProof/>
          </w:rPr>
          <w:t>6. COMMON ACTIVITIES</w:t>
        </w:r>
        <w:r w:rsidR="008F3DDA">
          <w:rPr>
            <w:noProof/>
            <w:webHidden/>
          </w:rPr>
          <w:tab/>
        </w:r>
        <w:r w:rsidR="00D37DAD">
          <w:rPr>
            <w:noProof/>
            <w:webHidden/>
          </w:rPr>
          <w:t>24</w:t>
        </w:r>
      </w:hyperlink>
    </w:p>
    <w:p w14:paraId="2AD0AB05" w14:textId="587BBE92" w:rsidR="006A7BB9" w:rsidRPr="004977CE" w:rsidRDefault="00530F3B" w:rsidP="00530F3B">
      <w:pPr>
        <w:pStyle w:val="Heading1"/>
      </w:pPr>
      <w:r w:rsidRPr="00AF35DF">
        <w:rPr>
          <w:rStyle w:val="Hyperlink"/>
          <w:noProof/>
        </w:rPr>
        <w:fldChar w:fldCharType="end"/>
      </w:r>
    </w:p>
    <w:p w14:paraId="223DB7C2" w14:textId="5E259EE4" w:rsidR="006A7BB9" w:rsidRPr="00280672" w:rsidRDefault="006A7BB9" w:rsidP="0047627B">
      <w:pPr>
        <w:pStyle w:val="Heading1"/>
        <w:rPr>
          <w:sz w:val="28"/>
          <w:szCs w:val="28"/>
        </w:rPr>
      </w:pPr>
      <w:r w:rsidRPr="004977CE">
        <w:br w:type="page"/>
      </w:r>
      <w:r w:rsidR="000E3E48">
        <w:rPr>
          <w:rStyle w:val="Heading2Char"/>
          <w:b/>
          <w:sz w:val="28"/>
          <w:szCs w:val="28"/>
          <w:lang w:eastAsia="en-AU"/>
        </w:rPr>
        <w:lastRenderedPageBreak/>
        <w:fldChar w:fldCharType="begin">
          <w:ffData>
            <w:name w:val=""/>
            <w:enabled/>
            <w:calcOnExit w:val="0"/>
            <w:textInput>
              <w:default w:val="1. REGULATORY COMPLIANCE, STANDARDS, ENFORCEMENT AND RESOLUTION"/>
              <w:format w:val="UPPERCASE"/>
            </w:textInput>
          </w:ffData>
        </w:fldChar>
      </w:r>
      <w:r w:rsidR="000E3E48">
        <w:rPr>
          <w:rStyle w:val="Heading2Char"/>
          <w:b/>
          <w:sz w:val="28"/>
          <w:szCs w:val="28"/>
          <w:lang w:eastAsia="en-AU"/>
        </w:rPr>
        <w:instrText xml:space="preserve"> FORMTEXT </w:instrText>
      </w:r>
      <w:r w:rsidR="000E3E48">
        <w:rPr>
          <w:rStyle w:val="Heading2Char"/>
          <w:b/>
          <w:sz w:val="28"/>
          <w:szCs w:val="28"/>
          <w:lang w:eastAsia="en-AU"/>
        </w:rPr>
      </w:r>
      <w:r w:rsidR="000E3E48">
        <w:rPr>
          <w:rStyle w:val="Heading2Char"/>
          <w:b/>
          <w:sz w:val="28"/>
          <w:szCs w:val="28"/>
          <w:lang w:eastAsia="en-AU"/>
        </w:rPr>
        <w:fldChar w:fldCharType="separate"/>
      </w:r>
      <w:bookmarkStart w:id="8" w:name="_Toc139025777"/>
      <w:r w:rsidR="000E3E48">
        <w:rPr>
          <w:rStyle w:val="Heading2Char"/>
          <w:b/>
          <w:noProof/>
          <w:sz w:val="28"/>
          <w:szCs w:val="28"/>
          <w:lang w:eastAsia="en-AU"/>
        </w:rPr>
        <w:t>1. REGULATORY COMPLIANCE, STANDARDS, ENFORCEMENT AND RESOLUTION</w:t>
      </w:r>
      <w:bookmarkEnd w:id="8"/>
      <w:r w:rsidR="000E3E48">
        <w:rPr>
          <w:rStyle w:val="Heading2Char"/>
          <w:b/>
          <w:sz w:val="28"/>
          <w:szCs w:val="28"/>
          <w:lang w:eastAsia="en-AU"/>
        </w:rPr>
        <w:fldChar w:fldCharType="end"/>
      </w:r>
    </w:p>
    <w:p w14:paraId="5EF10DE8" w14:textId="761D8EED" w:rsidR="007321BE" w:rsidRDefault="00B53210" w:rsidP="00261EDB">
      <w:pPr>
        <w:pStyle w:val="ScopeNote"/>
      </w:pPr>
      <w:r>
        <w:t xml:space="preserve">The core functions for ensuring appropriate standards of conduct for building and </w:t>
      </w:r>
      <w:r w:rsidR="005F5C0C">
        <w:t>construction industry participants</w:t>
      </w:r>
      <w:r>
        <w:t>. This is achieved through educating and advising building industry stakeholders</w:t>
      </w:r>
      <w:r w:rsidR="005F5C0C">
        <w:t xml:space="preserve"> and practitioners</w:t>
      </w:r>
      <w:r>
        <w:t>, mon</w:t>
      </w:r>
      <w:r w:rsidR="003377CF">
        <w:t>itoring compliance with legislation and regulatory codes, undertaking investigations and taking legal action where required.</w:t>
      </w:r>
    </w:p>
    <w:tbl>
      <w:tblPr>
        <w:tblW w:w="500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28" w:type="dxa"/>
          <w:right w:w="113" w:type="dxa"/>
        </w:tblCellMar>
        <w:tblLook w:val="01E0" w:firstRow="1" w:lastRow="1" w:firstColumn="1" w:lastColumn="1" w:noHBand="0" w:noVBand="0"/>
      </w:tblPr>
      <w:tblGrid>
        <w:gridCol w:w="1542"/>
        <w:gridCol w:w="9219"/>
        <w:gridCol w:w="2728"/>
        <w:gridCol w:w="1664"/>
      </w:tblGrid>
      <w:tr w:rsidR="00261EDB" w:rsidRPr="004977CE" w14:paraId="70B6E081" w14:textId="77777777" w:rsidTr="006911D1">
        <w:trPr>
          <w:tblHeader/>
        </w:trPr>
        <w:tc>
          <w:tcPr>
            <w:tcW w:w="509" w:type="pct"/>
            <w:shd w:val="clear" w:color="auto" w:fill="FFFFFF"/>
          </w:tcPr>
          <w:p w14:paraId="43798F6D" w14:textId="77777777" w:rsidR="00261EDB" w:rsidRPr="004D14B4" w:rsidRDefault="00261EDB" w:rsidP="00327FF3">
            <w:pPr>
              <w:pStyle w:val="Tabletext"/>
              <w:spacing w:before="60" w:after="60"/>
              <w:jc w:val="center"/>
              <w:rPr>
                <w:b/>
              </w:rPr>
            </w:pPr>
            <w:r>
              <w:rPr>
                <w:b/>
              </w:rPr>
              <w:t>Disposal Authorisation</w:t>
            </w:r>
          </w:p>
        </w:tc>
        <w:tc>
          <w:tcPr>
            <w:tcW w:w="3042" w:type="pct"/>
            <w:shd w:val="clear" w:color="auto" w:fill="FFFFFF"/>
          </w:tcPr>
          <w:p w14:paraId="298025A9" w14:textId="77777777" w:rsidR="00261EDB" w:rsidRPr="004D14B4" w:rsidRDefault="00261EDB" w:rsidP="00327FF3">
            <w:pPr>
              <w:pStyle w:val="Tabletext"/>
              <w:spacing w:before="60" w:after="60"/>
              <w:jc w:val="center"/>
              <w:rPr>
                <w:b/>
              </w:rPr>
            </w:pPr>
            <w:r w:rsidRPr="004D14B4">
              <w:rPr>
                <w:b/>
              </w:rPr>
              <w:t>Description of records</w:t>
            </w:r>
          </w:p>
        </w:tc>
        <w:tc>
          <w:tcPr>
            <w:tcW w:w="900" w:type="pct"/>
            <w:shd w:val="clear" w:color="auto" w:fill="FFFFFF"/>
          </w:tcPr>
          <w:p w14:paraId="34318ECD" w14:textId="77777777" w:rsidR="00261EDB" w:rsidRPr="004D14B4" w:rsidRDefault="00261EDB" w:rsidP="00327FF3">
            <w:pPr>
              <w:pStyle w:val="Tabletext"/>
              <w:spacing w:before="60" w:after="60"/>
              <w:jc w:val="center"/>
              <w:rPr>
                <w:b/>
              </w:rPr>
            </w:pPr>
            <w:r>
              <w:rPr>
                <w:b/>
              </w:rPr>
              <w:t>Retention period &amp; trigger</w:t>
            </w:r>
          </w:p>
        </w:tc>
        <w:tc>
          <w:tcPr>
            <w:tcW w:w="549" w:type="pct"/>
            <w:shd w:val="clear" w:color="auto" w:fill="FFFFFF"/>
          </w:tcPr>
          <w:p w14:paraId="6C40101C" w14:textId="77777777" w:rsidR="00261EDB" w:rsidRDefault="00261EDB" w:rsidP="00327FF3">
            <w:pPr>
              <w:pStyle w:val="Tabletext"/>
              <w:spacing w:before="60" w:after="60"/>
              <w:jc w:val="center"/>
              <w:rPr>
                <w:b/>
              </w:rPr>
            </w:pPr>
            <w:r>
              <w:rPr>
                <w:b/>
              </w:rPr>
              <w:t>Date authorised</w:t>
            </w:r>
          </w:p>
        </w:tc>
      </w:tr>
      <w:tr w:rsidR="00261EDB" w:rsidRPr="004D14B4" w14:paraId="1446F597" w14:textId="77777777" w:rsidTr="006911D1">
        <w:tblPrEx>
          <w:tblCellMar>
            <w:top w:w="57" w:type="dxa"/>
            <w:left w:w="119" w:type="dxa"/>
            <w:right w:w="119" w:type="dxa"/>
          </w:tblCellMar>
        </w:tblPrEx>
        <w:tc>
          <w:tcPr>
            <w:tcW w:w="5000" w:type="pct"/>
            <w:gridSpan w:val="4"/>
            <w:shd w:val="clear" w:color="auto" w:fill="auto"/>
          </w:tcPr>
          <w:p w14:paraId="32CFA914" w14:textId="6E2FE215" w:rsidR="00261EDB" w:rsidRPr="00CB5D3E" w:rsidRDefault="00AB0F1F" w:rsidP="008F3DDA">
            <w:pPr>
              <w:pStyle w:val="Heading2"/>
            </w:pPr>
            <w:r>
              <w:fldChar w:fldCharType="begin">
                <w:ffData>
                  <w:name w:val="Text8"/>
                  <w:enabled/>
                  <w:calcOnExit w:val="0"/>
                  <w:textInput>
                    <w:default w:val="RESOLUTION MANAGEMENT"/>
                    <w:format w:val="UPPERCASE"/>
                  </w:textInput>
                </w:ffData>
              </w:fldChar>
            </w:r>
            <w:bookmarkStart w:id="9" w:name="Text8"/>
            <w:r>
              <w:instrText xml:space="preserve"> FORMTEXT </w:instrText>
            </w:r>
            <w:r>
              <w:fldChar w:fldCharType="separate"/>
            </w:r>
            <w:r>
              <w:t>RESOLUTION MANAGEMENT</w:t>
            </w:r>
            <w:r>
              <w:fldChar w:fldCharType="end"/>
            </w:r>
            <w:bookmarkEnd w:id="9"/>
          </w:p>
          <w:p w14:paraId="6396339D" w14:textId="109F5A2A" w:rsidR="00261EDB" w:rsidRDefault="00AB0F1F" w:rsidP="00E42E64">
            <w:pPr>
              <w:pStyle w:val="ScopeNote"/>
            </w:pPr>
            <w:r>
              <w:t xml:space="preserve">The </w:t>
            </w:r>
            <w:r w:rsidR="00ED3EAC">
              <w:t xml:space="preserve">activities associated with the </w:t>
            </w:r>
            <w:r>
              <w:t xml:space="preserve">management of </w:t>
            </w:r>
            <w:r w:rsidR="00E7043F">
              <w:t>d</w:t>
            </w:r>
            <w:r>
              <w:t xml:space="preserve">efective </w:t>
            </w:r>
            <w:r w:rsidR="00E42E64">
              <w:t xml:space="preserve">or incomplete </w:t>
            </w:r>
            <w:r w:rsidR="00E7043F">
              <w:t>b</w:t>
            </w:r>
            <w:r w:rsidR="00B36DF9">
              <w:t xml:space="preserve">uilding </w:t>
            </w:r>
            <w:r w:rsidR="00E42E64">
              <w:t xml:space="preserve">work. </w:t>
            </w:r>
            <w:r>
              <w:t>Includes</w:t>
            </w:r>
            <w:r w:rsidR="007A64FC">
              <w:t xml:space="preserve">: </w:t>
            </w:r>
            <w:r>
              <w:t xml:space="preserve">mediating and negotiating to resolve </w:t>
            </w:r>
            <w:r w:rsidR="001D03DD">
              <w:t>dispute</w:t>
            </w:r>
            <w:r w:rsidR="00924F9B">
              <w:t>s</w:t>
            </w:r>
            <w:r w:rsidR="00D01479">
              <w:t xml:space="preserve">, </w:t>
            </w:r>
            <w:r>
              <w:t xml:space="preserve">assessing </w:t>
            </w:r>
            <w:r w:rsidR="00D01479">
              <w:t xml:space="preserve">matters </w:t>
            </w:r>
            <w:r>
              <w:t xml:space="preserve">and investigating </w:t>
            </w:r>
            <w:r w:rsidR="00E7043F">
              <w:t>case</w:t>
            </w:r>
            <w:r w:rsidR="0077603A">
              <w:t xml:space="preserve"> matter</w:t>
            </w:r>
            <w:r w:rsidR="00E7043F">
              <w:t>s</w:t>
            </w:r>
            <w:r w:rsidR="00941CC4">
              <w:t>.</w:t>
            </w:r>
          </w:p>
        </w:tc>
      </w:tr>
      <w:tr w:rsidR="00AB0F1F" w:rsidRPr="004D14B4" w14:paraId="54191442" w14:textId="77777777" w:rsidTr="006911D1">
        <w:tblPrEx>
          <w:tblCellMar>
            <w:top w:w="57" w:type="dxa"/>
            <w:left w:w="119" w:type="dxa"/>
            <w:right w:w="119" w:type="dxa"/>
          </w:tblCellMar>
        </w:tblPrEx>
        <w:tc>
          <w:tcPr>
            <w:tcW w:w="509" w:type="pct"/>
            <w:shd w:val="clear" w:color="auto" w:fill="auto"/>
          </w:tcPr>
          <w:p w14:paraId="355BC047" w14:textId="0C410883" w:rsidR="00AB0F1F" w:rsidRDefault="00635739" w:rsidP="00903E26">
            <w:pPr>
              <w:pStyle w:val="Tabletext"/>
              <w:spacing w:before="60" w:after="60"/>
              <w:rPr>
                <w:sz w:val="22"/>
                <w:szCs w:val="22"/>
              </w:rPr>
            </w:pPr>
            <w:r>
              <w:rPr>
                <w:sz w:val="22"/>
                <w:szCs w:val="22"/>
              </w:rPr>
              <w:t>2762</w:t>
            </w:r>
          </w:p>
          <w:p w14:paraId="1DBE95F3" w14:textId="77777777" w:rsidR="00EA5752" w:rsidRDefault="00EA5752" w:rsidP="00903E26">
            <w:pPr>
              <w:pStyle w:val="Tabletext"/>
              <w:spacing w:before="60" w:after="60"/>
              <w:rPr>
                <w:sz w:val="22"/>
                <w:szCs w:val="22"/>
              </w:rPr>
            </w:pPr>
          </w:p>
          <w:p w14:paraId="64895E5F" w14:textId="77777777" w:rsidR="00EA5752" w:rsidRDefault="00EA5752" w:rsidP="00903E26">
            <w:pPr>
              <w:pStyle w:val="Tabletext"/>
              <w:spacing w:before="60" w:after="60"/>
              <w:rPr>
                <w:sz w:val="22"/>
                <w:szCs w:val="22"/>
              </w:rPr>
            </w:pPr>
          </w:p>
          <w:p w14:paraId="1F95F717" w14:textId="77777777" w:rsidR="00EA5752" w:rsidRDefault="00EA5752" w:rsidP="00903E26">
            <w:pPr>
              <w:pStyle w:val="Tabletext"/>
              <w:spacing w:before="60" w:after="60"/>
              <w:rPr>
                <w:sz w:val="22"/>
                <w:szCs w:val="22"/>
              </w:rPr>
            </w:pPr>
          </w:p>
          <w:p w14:paraId="4954AAA2" w14:textId="1D5FB09A" w:rsidR="00EA5752" w:rsidRPr="004D14B4" w:rsidRDefault="00EA5752" w:rsidP="002C17AD">
            <w:pPr>
              <w:pStyle w:val="Tabletext"/>
              <w:spacing w:before="60" w:after="60"/>
              <w:rPr>
                <w:sz w:val="22"/>
                <w:szCs w:val="22"/>
              </w:rPr>
            </w:pPr>
          </w:p>
        </w:tc>
        <w:bookmarkStart w:id="10" w:name="ResolutionCaseFiles"/>
        <w:tc>
          <w:tcPr>
            <w:tcW w:w="3042" w:type="pct"/>
            <w:shd w:val="clear" w:color="auto" w:fill="auto"/>
          </w:tcPr>
          <w:p w14:paraId="5022D5F4" w14:textId="1CA456D5" w:rsidR="00AB0F1F" w:rsidRPr="00261EDB" w:rsidRDefault="00E42E64" w:rsidP="008F3DDA">
            <w:pPr>
              <w:pStyle w:val="Heading3"/>
            </w:pPr>
            <w:r>
              <w:fldChar w:fldCharType="begin">
                <w:ffData>
                  <w:name w:val=""/>
                  <w:enabled/>
                  <w:calcOnExit w:val="0"/>
                  <w:textInput>
                    <w:default w:val="Resolution Case Files"/>
                  </w:textInput>
                </w:ffData>
              </w:fldChar>
            </w:r>
            <w:r>
              <w:instrText xml:space="preserve"> FORMTEXT </w:instrText>
            </w:r>
            <w:r>
              <w:fldChar w:fldCharType="separate"/>
            </w:r>
            <w:r>
              <w:t>Resolution Case Files</w:t>
            </w:r>
            <w:r>
              <w:fldChar w:fldCharType="end"/>
            </w:r>
            <w:bookmarkEnd w:id="10"/>
          </w:p>
          <w:p w14:paraId="6376C7F5" w14:textId="4B612850" w:rsidR="00AB0F1F" w:rsidRPr="00E42E64" w:rsidRDefault="00941CC4" w:rsidP="00B34081">
            <w:pPr>
              <w:rPr>
                <w:rFonts w:cs="Arial"/>
                <w:szCs w:val="22"/>
                <w:lang w:eastAsia="en-AU"/>
              </w:rPr>
            </w:pPr>
            <w:r w:rsidRPr="00E42E64">
              <w:rPr>
                <w:rFonts w:cs="Arial"/>
                <w:szCs w:val="22"/>
                <w:lang w:eastAsia="en-AU"/>
              </w:rPr>
              <w:t>Records rela</w:t>
            </w:r>
            <w:r w:rsidR="00137FDE" w:rsidRPr="00E42E64">
              <w:rPr>
                <w:rFonts w:cs="Arial"/>
                <w:szCs w:val="22"/>
                <w:lang w:eastAsia="en-AU"/>
              </w:rPr>
              <w:t xml:space="preserve">ting to </w:t>
            </w:r>
            <w:r w:rsidR="00E42E64" w:rsidRPr="00E42E64">
              <w:rPr>
                <w:rFonts w:cs="Arial"/>
                <w:szCs w:val="22"/>
                <w:lang w:eastAsia="en-AU"/>
              </w:rPr>
              <w:t xml:space="preserve">assessing and investigating complaints concerning </w:t>
            </w:r>
            <w:r w:rsidR="005965FE">
              <w:rPr>
                <w:rFonts w:cs="Arial"/>
                <w:szCs w:val="22"/>
                <w:lang w:eastAsia="en-AU"/>
              </w:rPr>
              <w:t xml:space="preserve">residential </w:t>
            </w:r>
            <w:r w:rsidR="00E42E64" w:rsidRPr="00E42E64">
              <w:rPr>
                <w:rFonts w:cs="Arial"/>
                <w:szCs w:val="22"/>
                <w:lang w:eastAsia="en-AU"/>
              </w:rPr>
              <w:t>building works</w:t>
            </w:r>
            <w:r w:rsidR="005965FE">
              <w:rPr>
                <w:rFonts w:cs="Arial"/>
                <w:szCs w:val="22"/>
                <w:lang w:eastAsia="en-AU"/>
              </w:rPr>
              <w:t xml:space="preserve"> </w:t>
            </w:r>
            <w:r w:rsidR="00E42E64" w:rsidRPr="00E42E64">
              <w:rPr>
                <w:rFonts w:cs="Arial"/>
                <w:szCs w:val="22"/>
                <w:lang w:eastAsia="en-AU"/>
              </w:rPr>
              <w:t xml:space="preserve">that </w:t>
            </w:r>
            <w:r w:rsidR="005D48F3">
              <w:rPr>
                <w:rFonts w:cs="Arial"/>
                <w:szCs w:val="22"/>
                <w:lang w:eastAsia="en-AU"/>
              </w:rPr>
              <w:t>are</w:t>
            </w:r>
            <w:r w:rsidR="005D48F3" w:rsidRPr="00E42E64">
              <w:rPr>
                <w:rFonts w:cs="Arial"/>
                <w:szCs w:val="22"/>
                <w:lang w:eastAsia="en-AU"/>
              </w:rPr>
              <w:t xml:space="preserve"> </w:t>
            </w:r>
            <w:r w:rsidR="00E42E64" w:rsidRPr="00E42E64">
              <w:rPr>
                <w:rFonts w:cs="Arial"/>
                <w:szCs w:val="22"/>
                <w:lang w:eastAsia="en-AU"/>
              </w:rPr>
              <w:t>defective or not completed</w:t>
            </w:r>
            <w:r w:rsidR="00B34081" w:rsidRPr="00E42E64">
              <w:rPr>
                <w:rFonts w:cs="Arial"/>
                <w:szCs w:val="22"/>
                <w:lang w:eastAsia="en-AU"/>
              </w:rPr>
              <w:t xml:space="preserve">. </w:t>
            </w:r>
            <w:r w:rsidR="00137FDE" w:rsidRPr="00E42E64">
              <w:rPr>
                <w:rFonts w:cs="Arial"/>
                <w:szCs w:val="22"/>
                <w:lang w:eastAsia="en-AU"/>
              </w:rPr>
              <w:t xml:space="preserve"> </w:t>
            </w:r>
            <w:r w:rsidR="00C02A2E" w:rsidRPr="00E42E64">
              <w:rPr>
                <w:rFonts w:cs="Arial"/>
                <w:szCs w:val="22"/>
                <w:lang w:eastAsia="en-AU"/>
              </w:rPr>
              <w:t>I</w:t>
            </w:r>
            <w:r w:rsidRPr="00E42E64">
              <w:rPr>
                <w:rFonts w:cs="Arial"/>
                <w:szCs w:val="22"/>
                <w:lang w:eastAsia="en-AU"/>
              </w:rPr>
              <w:t>ncludes matters relating to unlicensed builders.</w:t>
            </w:r>
          </w:p>
          <w:p w14:paraId="2896DE50" w14:textId="74BCFD41" w:rsidR="00AB0F1F" w:rsidRDefault="004E018E" w:rsidP="00022C65">
            <w:pPr>
              <w:spacing w:line="276" w:lineRule="auto"/>
            </w:pPr>
            <w:r>
              <w:t>Records may include, but are not limited to:</w:t>
            </w:r>
            <w:r w:rsidR="00AB0F1F">
              <w:t xml:space="preserve"> </w:t>
            </w:r>
          </w:p>
          <w:p w14:paraId="0136D132" w14:textId="77777777" w:rsidR="009E4291" w:rsidRDefault="009E4291" w:rsidP="008D19B9">
            <w:pPr>
              <w:pStyle w:val="ListParagraph"/>
              <w:numPr>
                <w:ilvl w:val="0"/>
                <w:numId w:val="4"/>
              </w:numPr>
            </w:pPr>
            <w:r>
              <w:t>Early Dispute Resolution (EDR)</w:t>
            </w:r>
          </w:p>
          <w:p w14:paraId="7CAFAB63" w14:textId="3348FEBD" w:rsidR="00D50CA3" w:rsidRDefault="00D50CA3" w:rsidP="008D19B9">
            <w:pPr>
              <w:pStyle w:val="ListParagraph"/>
              <w:numPr>
                <w:ilvl w:val="0"/>
                <w:numId w:val="4"/>
              </w:numPr>
            </w:pPr>
            <w:r>
              <w:t xml:space="preserve">Submissions, Applications, Complaints, </w:t>
            </w:r>
            <w:r w:rsidR="00C02A2E">
              <w:t xml:space="preserve">Defects &amp; </w:t>
            </w:r>
            <w:r>
              <w:t xml:space="preserve">Issues etc. </w:t>
            </w:r>
          </w:p>
          <w:p w14:paraId="0AFBBD7F" w14:textId="47E44C88" w:rsidR="00941CC4" w:rsidRDefault="00941CC4" w:rsidP="008D19B9">
            <w:pPr>
              <w:pStyle w:val="ListParagraph"/>
              <w:numPr>
                <w:ilvl w:val="0"/>
                <w:numId w:val="4"/>
              </w:numPr>
            </w:pPr>
            <w:r>
              <w:t>Assessments</w:t>
            </w:r>
            <w:r w:rsidR="007734F0">
              <w:t xml:space="preserve">, Investigations, Advice </w:t>
            </w:r>
            <w:r w:rsidR="00D50CA3">
              <w:t>and Inspection</w:t>
            </w:r>
            <w:r w:rsidR="00E7043F">
              <w:t xml:space="preserve"> Report</w:t>
            </w:r>
            <w:r w:rsidR="00D50CA3">
              <w:t>s</w:t>
            </w:r>
          </w:p>
          <w:p w14:paraId="30D8385A" w14:textId="0C1716BC" w:rsidR="00D50CA3" w:rsidRDefault="00D50CA3" w:rsidP="008D19B9">
            <w:pPr>
              <w:pStyle w:val="ListParagraph"/>
              <w:numPr>
                <w:ilvl w:val="0"/>
                <w:numId w:val="4"/>
              </w:numPr>
            </w:pPr>
            <w:r>
              <w:t xml:space="preserve">Supporting </w:t>
            </w:r>
            <w:r w:rsidR="002475D8">
              <w:t>e</w:t>
            </w:r>
            <w:r>
              <w:t>vidence</w:t>
            </w:r>
            <w:r w:rsidR="00F63252">
              <w:t xml:space="preserve"> and</w:t>
            </w:r>
            <w:r>
              <w:t xml:space="preserve"> </w:t>
            </w:r>
            <w:r w:rsidR="009F7FE6" w:rsidRPr="00002EE1">
              <w:t>research</w:t>
            </w:r>
          </w:p>
          <w:p w14:paraId="176CD6F4" w14:textId="77777777" w:rsidR="00941CC4" w:rsidRDefault="00941CC4" w:rsidP="008D19B9">
            <w:pPr>
              <w:pStyle w:val="ListParagraph"/>
              <w:numPr>
                <w:ilvl w:val="0"/>
                <w:numId w:val="4"/>
              </w:numPr>
            </w:pPr>
            <w:r>
              <w:t>Direction</w:t>
            </w:r>
            <w:r w:rsidR="00D50CA3">
              <w:t xml:space="preserve"> Notice</w:t>
            </w:r>
            <w:r>
              <w:t xml:space="preserve">s </w:t>
            </w:r>
            <w:r w:rsidR="00E7043F">
              <w:t xml:space="preserve">for Rectification Work </w:t>
            </w:r>
            <w:r w:rsidR="003C15DD">
              <w:t xml:space="preserve">and/or </w:t>
            </w:r>
            <w:r w:rsidR="00653527">
              <w:t>Cost Recovery</w:t>
            </w:r>
          </w:p>
          <w:p w14:paraId="1A496D2B" w14:textId="6975FE61" w:rsidR="006F747F" w:rsidRDefault="007C0AAF" w:rsidP="008D19B9">
            <w:pPr>
              <w:pStyle w:val="ListParagraph"/>
              <w:numPr>
                <w:ilvl w:val="0"/>
                <w:numId w:val="4"/>
              </w:numPr>
            </w:pPr>
            <w:r>
              <w:t>Builders’ Diaries and Provision of Expert Advice</w:t>
            </w:r>
          </w:p>
          <w:p w14:paraId="6EACCCBE" w14:textId="45517F31" w:rsidR="005965FE" w:rsidRDefault="005965FE" w:rsidP="008D19B9">
            <w:pPr>
              <w:pStyle w:val="ListParagraph"/>
              <w:numPr>
                <w:ilvl w:val="0"/>
                <w:numId w:val="4"/>
              </w:numPr>
            </w:pPr>
            <w:r>
              <w:t xml:space="preserve">Legacy records </w:t>
            </w:r>
            <w:r w:rsidR="005020C0">
              <w:t xml:space="preserve">pertaining </w:t>
            </w:r>
            <w:r>
              <w:t>to the former Queensland Building Tribunal (QBT), including Order of the</w:t>
            </w:r>
            <w:r w:rsidR="00BD08BF">
              <w:t xml:space="preserve"> </w:t>
            </w:r>
            <w:r>
              <w:t xml:space="preserve">Tribunal </w:t>
            </w:r>
            <w:r w:rsidR="0038106D">
              <w:t>records</w:t>
            </w:r>
            <w:r>
              <w:t>.</w:t>
            </w:r>
          </w:p>
          <w:p w14:paraId="0ADEF25D" w14:textId="134F9D28" w:rsidR="005965FE" w:rsidRDefault="005965FE" w:rsidP="008D19B9">
            <w:pPr>
              <w:pStyle w:val="ListParagraph"/>
              <w:numPr>
                <w:ilvl w:val="0"/>
                <w:numId w:val="4"/>
              </w:numPr>
            </w:pPr>
            <w:r>
              <w:t xml:space="preserve">Legacy Dispute Management </w:t>
            </w:r>
            <w:r w:rsidR="00B465A6">
              <w:t xml:space="preserve">complaint </w:t>
            </w:r>
            <w:r>
              <w:t>records.</w:t>
            </w:r>
          </w:p>
          <w:p w14:paraId="75AF2BFD" w14:textId="77777777" w:rsidR="007C0AAF" w:rsidRDefault="007C0AAF" w:rsidP="007C0AAF">
            <w:pPr>
              <w:pStyle w:val="ListParagraph"/>
            </w:pPr>
          </w:p>
          <w:p w14:paraId="5EE1E56F" w14:textId="6BB18D72" w:rsidR="007C0AAF" w:rsidRPr="00535527" w:rsidRDefault="007C0AAF" w:rsidP="007C0AAF">
            <w:r w:rsidRPr="004370E1">
              <w:rPr>
                <w:i/>
                <w:iCs/>
              </w:rPr>
              <w:t>S</w:t>
            </w:r>
            <w:r w:rsidR="004370E1" w:rsidRPr="004370E1">
              <w:rPr>
                <w:i/>
                <w:iCs/>
              </w:rPr>
              <w:t>ee</w:t>
            </w:r>
            <w:r w:rsidRPr="004370E1">
              <w:rPr>
                <w:i/>
                <w:iCs/>
              </w:rPr>
              <w:t xml:space="preserve"> </w:t>
            </w:r>
            <w:hyperlink r:id="rId22" w:history="1">
              <w:r w:rsidR="006878D1" w:rsidRPr="006878D1">
                <w:rPr>
                  <w:rStyle w:val="Hyperlink"/>
                  <w:i/>
                  <w:iCs/>
                </w:rPr>
                <w:t>General Retention and Disposal Schedule -</w:t>
              </w:r>
              <w:r w:rsidR="00367F1E" w:rsidRPr="006878D1">
                <w:rPr>
                  <w:rStyle w:val="Hyperlink"/>
                  <w:i/>
                  <w:iCs/>
                </w:rPr>
                <w:t xml:space="preserve"> COMMO</w:t>
              </w:r>
              <w:r w:rsidRPr="006878D1">
                <w:rPr>
                  <w:rStyle w:val="Hyperlink"/>
                  <w:i/>
                  <w:iCs/>
                </w:rPr>
                <w:t>N ACTIVITIES – A</w:t>
              </w:r>
              <w:r w:rsidR="00367F1E" w:rsidRPr="006878D1">
                <w:rPr>
                  <w:rStyle w:val="Hyperlink"/>
                  <w:i/>
                  <w:iCs/>
                </w:rPr>
                <w:t>DVICE</w:t>
              </w:r>
            </w:hyperlink>
            <w:r w:rsidRPr="004370E1">
              <w:rPr>
                <w:i/>
                <w:iCs/>
              </w:rPr>
              <w:t xml:space="preserve"> for advice not relating to a specific enforcement or monitoring action or case file</w:t>
            </w:r>
            <w:r>
              <w:t>.</w:t>
            </w:r>
          </w:p>
        </w:tc>
        <w:tc>
          <w:tcPr>
            <w:tcW w:w="900" w:type="pct"/>
            <w:shd w:val="clear" w:color="auto" w:fill="auto"/>
          </w:tcPr>
          <w:p w14:paraId="5F1CD3A6" w14:textId="5CDC1E1E" w:rsidR="00AF430D" w:rsidRPr="00E3761D" w:rsidRDefault="003F4508" w:rsidP="00AF430D">
            <w:pPr>
              <w:rPr>
                <w:rFonts w:cs="Arial"/>
                <w:szCs w:val="22"/>
                <w:lang w:eastAsia="en-AU"/>
              </w:rPr>
            </w:pPr>
            <w:r>
              <w:rPr>
                <w:rFonts w:cs="Arial"/>
                <w:szCs w:val="22"/>
                <w:lang w:eastAsia="en-AU"/>
              </w:rPr>
              <w:t>10</w:t>
            </w:r>
            <w:r w:rsidR="00247888" w:rsidRPr="003F4508">
              <w:rPr>
                <w:rFonts w:cs="Arial"/>
                <w:szCs w:val="22"/>
                <w:lang w:eastAsia="en-AU"/>
              </w:rPr>
              <w:t xml:space="preserve"> </w:t>
            </w:r>
            <w:r w:rsidR="00AF430D" w:rsidRPr="003F4508">
              <w:rPr>
                <w:rFonts w:cs="Arial"/>
                <w:szCs w:val="22"/>
                <w:lang w:eastAsia="en-AU"/>
              </w:rPr>
              <w:t xml:space="preserve">years after </w:t>
            </w:r>
            <w:r w:rsidR="008B588A" w:rsidRPr="003F4508">
              <w:rPr>
                <w:rFonts w:cs="Arial"/>
                <w:szCs w:val="22"/>
                <w:lang w:eastAsia="en-AU"/>
              </w:rPr>
              <w:t>business action completed</w:t>
            </w:r>
            <w:r w:rsidR="00AF430D" w:rsidRPr="003F4508">
              <w:rPr>
                <w:rFonts w:cs="Arial"/>
                <w:szCs w:val="22"/>
                <w:lang w:eastAsia="en-AU"/>
              </w:rPr>
              <w:t>.</w:t>
            </w:r>
          </w:p>
          <w:p w14:paraId="6D986145" w14:textId="13AA6430" w:rsidR="00AF430D" w:rsidRPr="00B47735" w:rsidRDefault="00AF430D" w:rsidP="00AF430D"/>
        </w:tc>
        <w:tc>
          <w:tcPr>
            <w:tcW w:w="549" w:type="pct"/>
          </w:tcPr>
          <w:p w14:paraId="54E9F301" w14:textId="6A5580F0" w:rsidR="00AB0F1F" w:rsidRDefault="00912862" w:rsidP="00903E26">
            <w:r>
              <w:t>15 December 2023</w:t>
            </w:r>
          </w:p>
          <w:p w14:paraId="09D89000" w14:textId="29142672" w:rsidR="00AF430D" w:rsidRDefault="00AF430D" w:rsidP="00DB2A2A"/>
        </w:tc>
      </w:tr>
      <w:tr w:rsidR="00E74011" w:rsidRPr="004D14B4" w14:paraId="07FFA69D" w14:textId="77777777" w:rsidTr="006911D1">
        <w:tblPrEx>
          <w:tblCellMar>
            <w:top w:w="57" w:type="dxa"/>
            <w:left w:w="119" w:type="dxa"/>
            <w:right w:w="119" w:type="dxa"/>
          </w:tblCellMar>
        </w:tblPrEx>
        <w:tc>
          <w:tcPr>
            <w:tcW w:w="509" w:type="pct"/>
            <w:shd w:val="clear" w:color="auto" w:fill="auto"/>
          </w:tcPr>
          <w:p w14:paraId="6B551D08" w14:textId="4C5EBF76" w:rsidR="00E74011" w:rsidRDefault="00E507D0" w:rsidP="00E74011">
            <w:pPr>
              <w:pStyle w:val="Tabletext"/>
              <w:spacing w:before="60" w:after="60"/>
              <w:rPr>
                <w:sz w:val="22"/>
                <w:szCs w:val="22"/>
              </w:rPr>
            </w:pPr>
            <w:r>
              <w:rPr>
                <w:sz w:val="22"/>
                <w:szCs w:val="22"/>
              </w:rPr>
              <w:t>2763</w:t>
            </w:r>
          </w:p>
        </w:tc>
        <w:tc>
          <w:tcPr>
            <w:tcW w:w="3042" w:type="pct"/>
            <w:shd w:val="clear" w:color="auto" w:fill="auto"/>
          </w:tcPr>
          <w:p w14:paraId="46B1F49C" w14:textId="631F77CB" w:rsidR="007C0AAF" w:rsidRDefault="007C0AAF" w:rsidP="008F3DDA">
            <w:pPr>
              <w:pStyle w:val="Heading3"/>
            </w:pPr>
            <w:r>
              <w:fldChar w:fldCharType="begin">
                <w:ffData>
                  <w:name w:val=""/>
                  <w:enabled/>
                  <w:calcOnExit w:val="0"/>
                  <w:textInput>
                    <w:default w:val="Resolution Case Files"/>
                  </w:textInput>
                </w:ffData>
              </w:fldChar>
            </w:r>
            <w:r>
              <w:instrText xml:space="preserve"> FORMTEXT </w:instrText>
            </w:r>
            <w:r>
              <w:fldChar w:fldCharType="separate"/>
            </w:r>
            <w:r>
              <w:t>Resolution Case Files</w:t>
            </w:r>
            <w:r>
              <w:fldChar w:fldCharType="end"/>
            </w:r>
            <w:r>
              <w:t xml:space="preserve"> – Not Proceeded With</w:t>
            </w:r>
          </w:p>
          <w:p w14:paraId="42ECEF83" w14:textId="1F477669" w:rsidR="004370E1" w:rsidRPr="004A453A" w:rsidRDefault="004370E1" w:rsidP="004370E1">
            <w:pPr>
              <w:pStyle w:val="Tablesub-heading"/>
              <w:rPr>
                <w:szCs w:val="22"/>
              </w:rPr>
            </w:pPr>
            <w:r>
              <w:rPr>
                <w:b w:val="0"/>
                <w:noProof/>
                <w:szCs w:val="22"/>
              </w:rPr>
              <w:t xml:space="preserve">Records relating to </w:t>
            </w:r>
            <w:r w:rsidR="00D4531B">
              <w:rPr>
                <w:b w:val="0"/>
                <w:noProof/>
                <w:szCs w:val="22"/>
              </w:rPr>
              <w:t>matter</w:t>
            </w:r>
            <w:r>
              <w:rPr>
                <w:b w:val="0"/>
                <w:noProof/>
                <w:szCs w:val="22"/>
              </w:rPr>
              <w:t xml:space="preserve">s concerning building works </w:t>
            </w:r>
            <w:r w:rsidR="00D920F5">
              <w:rPr>
                <w:b w:val="0"/>
                <w:noProof/>
                <w:szCs w:val="22"/>
              </w:rPr>
              <w:t xml:space="preserve">issues and claims </w:t>
            </w:r>
            <w:r>
              <w:rPr>
                <w:b w:val="0"/>
                <w:noProof/>
                <w:szCs w:val="22"/>
              </w:rPr>
              <w:t xml:space="preserve">that </w:t>
            </w:r>
            <w:r w:rsidR="009A08FB">
              <w:rPr>
                <w:b w:val="0"/>
                <w:noProof/>
                <w:szCs w:val="22"/>
              </w:rPr>
              <w:t>do</w:t>
            </w:r>
            <w:r>
              <w:rPr>
                <w:b w:val="0"/>
                <w:noProof/>
                <w:szCs w:val="22"/>
              </w:rPr>
              <w:t xml:space="preserve"> no</w:t>
            </w:r>
            <w:r w:rsidR="00045426">
              <w:rPr>
                <w:b w:val="0"/>
                <w:noProof/>
                <w:szCs w:val="22"/>
              </w:rPr>
              <w:t>t</w:t>
            </w:r>
            <w:r>
              <w:rPr>
                <w:b w:val="0"/>
                <w:noProof/>
                <w:szCs w:val="22"/>
              </w:rPr>
              <w:t xml:space="preserve"> proceed to being a formal case.</w:t>
            </w:r>
          </w:p>
          <w:p w14:paraId="0E179CD4" w14:textId="22AA0443" w:rsidR="004370E1" w:rsidRDefault="004E018E" w:rsidP="004370E1">
            <w:pPr>
              <w:spacing w:line="276" w:lineRule="auto"/>
            </w:pPr>
            <w:r>
              <w:t xml:space="preserve">Records may include, </w:t>
            </w:r>
            <w:r w:rsidR="004370E1">
              <w:t>but are not limited to:</w:t>
            </w:r>
          </w:p>
          <w:p w14:paraId="0D5A58E2" w14:textId="6E11045A" w:rsidR="00E74011" w:rsidRPr="006B70DB" w:rsidRDefault="00E74011" w:rsidP="008D19B9">
            <w:pPr>
              <w:pStyle w:val="ListParagraph"/>
              <w:numPr>
                <w:ilvl w:val="0"/>
                <w:numId w:val="4"/>
              </w:numPr>
            </w:pPr>
            <w:r w:rsidRPr="006F747F">
              <w:lastRenderedPageBreak/>
              <w:t>Application</w:t>
            </w:r>
            <w:r w:rsidR="00D920F5">
              <w:t xml:space="preserve">s </w:t>
            </w:r>
            <w:r w:rsidRPr="006F747F">
              <w:t xml:space="preserve">that </w:t>
            </w:r>
            <w:r w:rsidR="00367F1E" w:rsidRPr="006F747F">
              <w:t>do</w:t>
            </w:r>
            <w:r w:rsidR="00367F1E">
              <w:t>n’t</w:t>
            </w:r>
            <w:r w:rsidRPr="006F747F">
              <w:t xml:space="preserve"> proceed to </w:t>
            </w:r>
            <w:r w:rsidR="00D920F5">
              <w:t>r</w:t>
            </w:r>
            <w:r w:rsidRPr="006F747F">
              <w:t>esolution as</w:t>
            </w:r>
            <w:r w:rsidR="007C0AAF">
              <w:t xml:space="preserve"> </w:t>
            </w:r>
            <w:r w:rsidRPr="006F747F">
              <w:t xml:space="preserve">the complaint is withdrawn, </w:t>
            </w:r>
            <w:r>
              <w:t>discontinued or otherwise resolved</w:t>
            </w:r>
            <w:r w:rsidR="00367F1E">
              <w:t>.</w:t>
            </w:r>
          </w:p>
          <w:p w14:paraId="0032FC12" w14:textId="1DE0D6D3" w:rsidR="00E74011" w:rsidRPr="00367F1E" w:rsidRDefault="00E74011" w:rsidP="008D19B9">
            <w:pPr>
              <w:pStyle w:val="Heading3"/>
              <w:numPr>
                <w:ilvl w:val="0"/>
                <w:numId w:val="4"/>
              </w:numPr>
              <w:rPr>
                <w:b w:val="0"/>
                <w:bCs/>
              </w:rPr>
            </w:pPr>
            <w:r w:rsidRPr="00367F1E">
              <w:rPr>
                <w:b w:val="0"/>
                <w:bCs/>
              </w:rPr>
              <w:t>Claims outside jurisdiction of the agency</w:t>
            </w:r>
            <w:r w:rsidR="00367F1E">
              <w:rPr>
                <w:b w:val="0"/>
                <w:bCs/>
              </w:rPr>
              <w:t>.</w:t>
            </w:r>
          </w:p>
          <w:p w14:paraId="3B47A03C" w14:textId="559E264E" w:rsidR="001E2588" w:rsidRPr="001E2588" w:rsidRDefault="001E2588" w:rsidP="008D19B9">
            <w:pPr>
              <w:pStyle w:val="Heading3"/>
              <w:numPr>
                <w:ilvl w:val="0"/>
                <w:numId w:val="4"/>
              </w:numPr>
              <w:rPr>
                <w:i/>
                <w:iCs/>
              </w:rPr>
            </w:pPr>
            <w:r w:rsidRPr="00367F1E">
              <w:rPr>
                <w:b w:val="0"/>
                <w:bCs/>
              </w:rPr>
              <w:t>Administrative records used to support investigations (credit bureau reports, personal, insolvency, bankruptcy and/or other searches</w:t>
            </w:r>
            <w:r w:rsidRPr="00367F1E">
              <w:rPr>
                <w:b w:val="0"/>
                <w:bCs/>
                <w:i/>
                <w:iCs/>
              </w:rPr>
              <w:t>)</w:t>
            </w:r>
            <w:r w:rsidR="00367F1E">
              <w:rPr>
                <w:b w:val="0"/>
                <w:bCs/>
                <w:i/>
                <w:iCs/>
              </w:rPr>
              <w:t>.</w:t>
            </w:r>
          </w:p>
        </w:tc>
        <w:tc>
          <w:tcPr>
            <w:tcW w:w="900" w:type="pct"/>
            <w:shd w:val="clear" w:color="auto" w:fill="auto"/>
          </w:tcPr>
          <w:p w14:paraId="393D76C2" w14:textId="7B53C845" w:rsidR="00E74011" w:rsidRPr="00E3761D" w:rsidRDefault="007C0AAF" w:rsidP="00E74011">
            <w:pPr>
              <w:rPr>
                <w:rFonts w:cs="Arial"/>
                <w:szCs w:val="22"/>
                <w:lang w:eastAsia="en-AU"/>
              </w:rPr>
            </w:pPr>
            <w:r>
              <w:rPr>
                <w:rFonts w:cs="Arial"/>
                <w:szCs w:val="22"/>
                <w:lang w:eastAsia="en-AU"/>
              </w:rPr>
              <w:lastRenderedPageBreak/>
              <w:t xml:space="preserve">2 </w:t>
            </w:r>
            <w:r w:rsidR="00E74011" w:rsidRPr="00E3761D">
              <w:rPr>
                <w:rFonts w:cs="Arial"/>
                <w:szCs w:val="22"/>
                <w:lang w:eastAsia="en-AU"/>
              </w:rPr>
              <w:t xml:space="preserve">years after </w:t>
            </w:r>
            <w:r w:rsidR="00E74011">
              <w:rPr>
                <w:rFonts w:cs="Arial"/>
                <w:szCs w:val="22"/>
                <w:lang w:eastAsia="en-AU"/>
              </w:rPr>
              <w:t>business action completed</w:t>
            </w:r>
            <w:r w:rsidR="00E74011" w:rsidRPr="00E3761D">
              <w:rPr>
                <w:rFonts w:cs="Arial"/>
                <w:szCs w:val="22"/>
                <w:lang w:eastAsia="en-AU"/>
              </w:rPr>
              <w:t>.</w:t>
            </w:r>
          </w:p>
          <w:p w14:paraId="45DB0007" w14:textId="77777777" w:rsidR="00E74011" w:rsidRPr="00E3761D" w:rsidRDefault="00E74011" w:rsidP="00E74011">
            <w:pPr>
              <w:rPr>
                <w:rFonts w:cs="Arial"/>
                <w:szCs w:val="22"/>
                <w:lang w:eastAsia="en-AU"/>
              </w:rPr>
            </w:pPr>
          </w:p>
        </w:tc>
        <w:tc>
          <w:tcPr>
            <w:tcW w:w="549" w:type="pct"/>
          </w:tcPr>
          <w:p w14:paraId="0601B856" w14:textId="302009CC" w:rsidR="00E74011" w:rsidRDefault="00912862" w:rsidP="00E74011">
            <w:r>
              <w:t>15 December 2023</w:t>
            </w:r>
          </w:p>
          <w:p w14:paraId="7D9CEB66" w14:textId="77777777" w:rsidR="00E74011" w:rsidRDefault="00E74011" w:rsidP="00E74011"/>
        </w:tc>
      </w:tr>
      <w:tr w:rsidR="00E74011" w:rsidRPr="004D14B4" w14:paraId="148E40B2" w14:textId="77777777" w:rsidTr="006911D1">
        <w:tblPrEx>
          <w:tblCellMar>
            <w:top w:w="57" w:type="dxa"/>
            <w:left w:w="119" w:type="dxa"/>
            <w:right w:w="119" w:type="dxa"/>
          </w:tblCellMar>
        </w:tblPrEx>
        <w:tc>
          <w:tcPr>
            <w:tcW w:w="5000" w:type="pct"/>
            <w:gridSpan w:val="4"/>
            <w:shd w:val="clear" w:color="auto" w:fill="auto"/>
          </w:tcPr>
          <w:p w14:paraId="3086BFF7" w14:textId="4E884D00" w:rsidR="00E74011" w:rsidRPr="008744A8" w:rsidRDefault="00E74011" w:rsidP="00E74011">
            <w:pPr>
              <w:pStyle w:val="ScopeNote"/>
              <w:rPr>
                <w:b/>
                <w:bCs/>
                <w:i w:val="0"/>
                <w:iCs/>
              </w:rPr>
            </w:pPr>
            <w:r w:rsidRPr="008744A8">
              <w:rPr>
                <w:b/>
                <w:bCs/>
                <w:i w:val="0"/>
                <w:iCs/>
              </w:rPr>
              <w:fldChar w:fldCharType="begin">
                <w:ffData>
                  <w:name w:val=""/>
                  <w:enabled/>
                  <w:calcOnExit w:val="0"/>
                  <w:textInput>
                    <w:default w:val="BUILDING PRODUCT STANDARDS"/>
                    <w:format w:val="UPPERCASE"/>
                  </w:textInput>
                </w:ffData>
              </w:fldChar>
            </w:r>
            <w:r w:rsidRPr="008744A8">
              <w:rPr>
                <w:b/>
                <w:bCs/>
                <w:i w:val="0"/>
                <w:iCs/>
              </w:rPr>
              <w:instrText xml:space="preserve"> FORMTEXT </w:instrText>
            </w:r>
            <w:r w:rsidRPr="008744A8">
              <w:rPr>
                <w:b/>
                <w:bCs/>
                <w:i w:val="0"/>
                <w:iCs/>
              </w:rPr>
            </w:r>
            <w:r w:rsidRPr="008744A8">
              <w:rPr>
                <w:b/>
                <w:bCs/>
                <w:i w:val="0"/>
                <w:iCs/>
              </w:rPr>
              <w:fldChar w:fldCharType="separate"/>
            </w:r>
            <w:r w:rsidRPr="008744A8">
              <w:rPr>
                <w:b/>
                <w:bCs/>
                <w:i w:val="0"/>
                <w:iCs/>
                <w:noProof/>
              </w:rPr>
              <w:t>BUILDING PRODUCT STANDARDS</w:t>
            </w:r>
            <w:r w:rsidRPr="008744A8">
              <w:rPr>
                <w:b/>
                <w:bCs/>
                <w:i w:val="0"/>
                <w:iCs/>
              </w:rPr>
              <w:fldChar w:fldCharType="end"/>
            </w:r>
          </w:p>
          <w:p w14:paraId="7BB9736E" w14:textId="6FA26108" w:rsidR="00E74011" w:rsidRPr="00A37606" w:rsidRDefault="00E74011" w:rsidP="00E74011">
            <w:pPr>
              <w:pStyle w:val="ScopeNote"/>
            </w:pPr>
            <w:r w:rsidRPr="00FE1665">
              <w:rPr>
                <w:rFonts w:cs="Arial"/>
              </w:rPr>
              <w:t xml:space="preserve">The </w:t>
            </w:r>
            <w:r>
              <w:rPr>
                <w:rFonts w:cs="Arial"/>
              </w:rPr>
              <w:t xml:space="preserve">activity </w:t>
            </w:r>
            <w:r w:rsidRPr="00FE1665">
              <w:rPr>
                <w:rFonts w:cs="Arial"/>
              </w:rPr>
              <w:t xml:space="preserve">of regulating building products to </w:t>
            </w:r>
            <w:r>
              <w:rPr>
                <w:rFonts w:cs="Arial"/>
              </w:rPr>
              <w:t xml:space="preserve">protect </w:t>
            </w:r>
            <w:r w:rsidRPr="00FE1665">
              <w:rPr>
                <w:rFonts w:cs="Arial"/>
              </w:rPr>
              <w:t>consumer safety and ensur</w:t>
            </w:r>
            <w:r>
              <w:rPr>
                <w:rFonts w:cs="Arial"/>
              </w:rPr>
              <w:t>ing</w:t>
            </w:r>
            <w:r w:rsidRPr="00FE1665">
              <w:rPr>
                <w:rFonts w:cs="Arial"/>
              </w:rPr>
              <w:t xml:space="preserve"> </w:t>
            </w:r>
            <w:r>
              <w:rPr>
                <w:rFonts w:cs="Arial"/>
              </w:rPr>
              <w:t xml:space="preserve">those </w:t>
            </w:r>
            <w:r w:rsidRPr="00FE1665">
              <w:rPr>
                <w:rFonts w:cs="Arial"/>
              </w:rPr>
              <w:t>involved in the production, supply and installation of building products are held responsible for the safety of the products and their u</w:t>
            </w:r>
            <w:r>
              <w:rPr>
                <w:rFonts w:cs="Arial"/>
              </w:rPr>
              <w:t xml:space="preserve">se. This includes undertaking </w:t>
            </w:r>
            <w:r w:rsidRPr="00FE1665">
              <w:rPr>
                <w:rFonts w:cs="Arial"/>
              </w:rPr>
              <w:t>preliminary assessment</w:t>
            </w:r>
            <w:r>
              <w:rPr>
                <w:rFonts w:cs="Arial"/>
              </w:rPr>
              <w:t>s</w:t>
            </w:r>
            <w:r w:rsidRPr="00FE1665">
              <w:rPr>
                <w:rFonts w:cs="Arial"/>
              </w:rPr>
              <w:t xml:space="preserve"> to </w:t>
            </w:r>
            <w:r>
              <w:rPr>
                <w:rFonts w:cs="Arial"/>
              </w:rPr>
              <w:t xml:space="preserve">determine </w:t>
            </w:r>
            <w:r w:rsidRPr="00FE1665">
              <w:rPr>
                <w:rFonts w:cs="Arial"/>
              </w:rPr>
              <w:t>the safety risk of the potential non-conforming building product (NCBP) and utilising investigative powers to enter buildings</w:t>
            </w:r>
            <w:r w:rsidR="00F30ED9">
              <w:rPr>
                <w:rFonts w:cs="Arial"/>
              </w:rPr>
              <w:t xml:space="preserve">, work sites etc. </w:t>
            </w:r>
            <w:r>
              <w:rPr>
                <w:rFonts w:cs="Arial"/>
              </w:rPr>
              <w:t>and gather evidence in accordance with s.74AB of the Queensland Building &amp; Construction Commission Act 1991.</w:t>
            </w:r>
          </w:p>
        </w:tc>
      </w:tr>
      <w:tr w:rsidR="000B18B0" w:rsidRPr="004D14B4" w14:paraId="04BB937E" w14:textId="77777777" w:rsidTr="006911D1">
        <w:tblPrEx>
          <w:tblCellMar>
            <w:top w:w="57" w:type="dxa"/>
            <w:left w:w="119" w:type="dxa"/>
            <w:right w:w="119" w:type="dxa"/>
          </w:tblCellMar>
        </w:tblPrEx>
        <w:tc>
          <w:tcPr>
            <w:tcW w:w="509" w:type="pct"/>
            <w:shd w:val="clear" w:color="auto" w:fill="auto"/>
          </w:tcPr>
          <w:p w14:paraId="165B71D6" w14:textId="7702CC70" w:rsidR="000B18B0" w:rsidRPr="00912862" w:rsidRDefault="00AB3295" w:rsidP="000B18B0">
            <w:pPr>
              <w:pStyle w:val="Tabletext"/>
              <w:spacing w:before="60" w:after="60"/>
              <w:ind w:left="-98"/>
              <w:rPr>
                <w:sz w:val="22"/>
                <w:szCs w:val="22"/>
              </w:rPr>
            </w:pPr>
            <w:r w:rsidRPr="00912862">
              <w:rPr>
                <w:sz w:val="22"/>
                <w:szCs w:val="22"/>
              </w:rPr>
              <w:t>2764</w:t>
            </w:r>
          </w:p>
        </w:tc>
        <w:tc>
          <w:tcPr>
            <w:tcW w:w="3042" w:type="pct"/>
            <w:shd w:val="clear" w:color="auto" w:fill="auto"/>
          </w:tcPr>
          <w:p w14:paraId="3955B842" w14:textId="1F6B8351" w:rsidR="000B18B0" w:rsidRPr="00D725BB" w:rsidRDefault="000B18B0" w:rsidP="00B03116">
            <w:pPr>
              <w:ind w:left="34" w:hanging="34"/>
              <w:rPr>
                <w:rFonts w:cs="Arial"/>
                <w:b/>
                <w:iCs/>
                <w:szCs w:val="22"/>
              </w:rPr>
            </w:pPr>
            <w:r w:rsidRPr="00D725BB">
              <w:rPr>
                <w:rFonts w:cs="Arial"/>
                <w:b/>
                <w:iCs/>
                <w:szCs w:val="22"/>
              </w:rPr>
              <w:t>Building Product Assessments</w:t>
            </w:r>
            <w:r w:rsidR="006878D1" w:rsidRPr="00D725BB">
              <w:rPr>
                <w:rFonts w:cs="Arial"/>
                <w:b/>
                <w:iCs/>
                <w:szCs w:val="22"/>
              </w:rPr>
              <w:t xml:space="preserve">, </w:t>
            </w:r>
            <w:r w:rsidRPr="00D725BB">
              <w:rPr>
                <w:rFonts w:cs="Arial"/>
                <w:b/>
                <w:iCs/>
                <w:szCs w:val="22"/>
              </w:rPr>
              <w:t xml:space="preserve">Complaints &amp; Investigations – Non-conforming Building Products (NCBP) </w:t>
            </w:r>
            <w:r w:rsidR="005C2BC2">
              <w:rPr>
                <w:rFonts w:cs="Arial"/>
                <w:b/>
                <w:iCs/>
                <w:szCs w:val="22"/>
              </w:rPr>
              <w:t>–</w:t>
            </w:r>
            <w:r w:rsidRPr="00D725BB">
              <w:rPr>
                <w:rFonts w:cs="Arial"/>
                <w:b/>
                <w:iCs/>
                <w:szCs w:val="22"/>
              </w:rPr>
              <w:t xml:space="preserve"> Significant</w:t>
            </w:r>
            <w:r w:rsidR="005C2BC2">
              <w:rPr>
                <w:rFonts w:cs="Arial"/>
                <w:b/>
                <w:iCs/>
                <w:szCs w:val="22"/>
              </w:rPr>
              <w:t xml:space="preserve"> </w:t>
            </w:r>
          </w:p>
          <w:p w14:paraId="432E1AED" w14:textId="1BBA366C" w:rsidR="00FB3A56" w:rsidRDefault="000B18B0" w:rsidP="000B18B0">
            <w:pPr>
              <w:spacing w:line="276" w:lineRule="auto"/>
              <w:rPr>
                <w:rFonts w:cs="Arial"/>
                <w:szCs w:val="22"/>
              </w:rPr>
            </w:pPr>
            <w:r w:rsidRPr="00B40A27">
              <w:rPr>
                <w:rFonts w:cs="Arial"/>
                <w:szCs w:val="22"/>
              </w:rPr>
              <w:t xml:space="preserve">Records relating </w:t>
            </w:r>
            <w:r w:rsidR="006878D1">
              <w:rPr>
                <w:rFonts w:cs="Arial"/>
                <w:szCs w:val="22"/>
              </w:rPr>
              <w:t xml:space="preserve">to </w:t>
            </w:r>
            <w:r>
              <w:rPr>
                <w:rFonts w:cs="Arial"/>
                <w:szCs w:val="22"/>
              </w:rPr>
              <w:t>the management of matters that involves major investigation and/or significant action</w:t>
            </w:r>
            <w:r w:rsidR="00463086">
              <w:rPr>
                <w:rFonts w:cs="Arial"/>
                <w:szCs w:val="22"/>
              </w:rPr>
              <w:t xml:space="preserve"> that: </w:t>
            </w:r>
          </w:p>
          <w:p w14:paraId="484FEBC3" w14:textId="77777777" w:rsidR="00463086" w:rsidRDefault="00463086" w:rsidP="00AD2154">
            <w:pPr>
              <w:pStyle w:val="Tablesub-heading"/>
              <w:numPr>
                <w:ilvl w:val="0"/>
                <w:numId w:val="27"/>
              </w:numPr>
              <w:rPr>
                <w:rFonts w:cs="Arial"/>
                <w:b w:val="0"/>
                <w:szCs w:val="22"/>
              </w:rPr>
            </w:pPr>
            <w:r>
              <w:rPr>
                <w:rFonts w:cs="Arial"/>
                <w:b w:val="0"/>
                <w:szCs w:val="22"/>
              </w:rPr>
              <w:t>Create a precedent</w:t>
            </w:r>
          </w:p>
          <w:p w14:paraId="3D14719B" w14:textId="77777777" w:rsidR="00463086" w:rsidRDefault="00463086" w:rsidP="00AD2154">
            <w:pPr>
              <w:pStyle w:val="Tablesub-heading"/>
              <w:numPr>
                <w:ilvl w:val="0"/>
                <w:numId w:val="27"/>
              </w:numPr>
              <w:rPr>
                <w:b w:val="0"/>
                <w:szCs w:val="22"/>
              </w:rPr>
            </w:pPr>
            <w:r>
              <w:rPr>
                <w:rFonts w:cs="Arial"/>
                <w:b w:val="0"/>
                <w:szCs w:val="22"/>
              </w:rPr>
              <w:t>Lead to major changes to policies and procedures</w:t>
            </w:r>
          </w:p>
          <w:p w14:paraId="288A9C69" w14:textId="2B930B88" w:rsidR="000B18B0" w:rsidRDefault="004E018E" w:rsidP="000B18B0">
            <w:pPr>
              <w:spacing w:line="276" w:lineRule="auto"/>
            </w:pPr>
            <w:r>
              <w:t>Records may include</w:t>
            </w:r>
            <w:r w:rsidR="000B18B0">
              <w:t>, but are not limited to:</w:t>
            </w:r>
          </w:p>
          <w:p w14:paraId="689F3937" w14:textId="58DDB7D2" w:rsidR="000B18B0" w:rsidRPr="00A10A95" w:rsidRDefault="000B18B0" w:rsidP="008D19B9">
            <w:pPr>
              <w:pStyle w:val="ListParagraph"/>
              <w:numPr>
                <w:ilvl w:val="0"/>
                <w:numId w:val="21"/>
              </w:numPr>
              <w:spacing w:line="276" w:lineRule="auto"/>
              <w:rPr>
                <w:rFonts w:cs="Arial"/>
                <w:szCs w:val="22"/>
              </w:rPr>
            </w:pPr>
            <w:r w:rsidRPr="00A10A95">
              <w:rPr>
                <w:rFonts w:cs="Arial"/>
                <w:szCs w:val="22"/>
              </w:rPr>
              <w:t xml:space="preserve">Testing and </w:t>
            </w:r>
            <w:r>
              <w:rPr>
                <w:rFonts w:cs="Arial"/>
                <w:szCs w:val="22"/>
              </w:rPr>
              <w:t xml:space="preserve">assessment of </w:t>
            </w:r>
            <w:r w:rsidRPr="00A10A95">
              <w:rPr>
                <w:rFonts w:cs="Arial"/>
                <w:szCs w:val="22"/>
              </w:rPr>
              <w:t xml:space="preserve">building and construction industry </w:t>
            </w:r>
            <w:r>
              <w:rPr>
                <w:rFonts w:cs="Arial"/>
                <w:szCs w:val="22"/>
              </w:rPr>
              <w:t xml:space="preserve">products and </w:t>
            </w:r>
            <w:r w:rsidRPr="00A10A95">
              <w:rPr>
                <w:rFonts w:cs="Arial"/>
                <w:szCs w:val="22"/>
              </w:rPr>
              <w:t xml:space="preserve">materials </w:t>
            </w:r>
            <w:r>
              <w:rPr>
                <w:rFonts w:cs="Arial"/>
                <w:szCs w:val="22"/>
              </w:rPr>
              <w:t xml:space="preserve">that fails to </w:t>
            </w:r>
            <w:r w:rsidRPr="00A10A95">
              <w:rPr>
                <w:rFonts w:cs="Arial"/>
                <w:szCs w:val="22"/>
              </w:rPr>
              <w:t>compl</w:t>
            </w:r>
            <w:r>
              <w:rPr>
                <w:rFonts w:cs="Arial"/>
                <w:szCs w:val="22"/>
              </w:rPr>
              <w:t xml:space="preserve">y </w:t>
            </w:r>
            <w:r w:rsidRPr="00A10A95">
              <w:rPr>
                <w:rFonts w:cs="Arial"/>
                <w:szCs w:val="22"/>
              </w:rPr>
              <w:t>with Australian standards and codes</w:t>
            </w:r>
            <w:r w:rsidR="00A1077B">
              <w:rPr>
                <w:rFonts w:cs="Arial"/>
                <w:szCs w:val="22"/>
              </w:rPr>
              <w:t xml:space="preserve"> which poses a significant risk to public safety through unsafe or structurally unsound buildings.</w:t>
            </w:r>
          </w:p>
          <w:p w14:paraId="4F6C0286" w14:textId="6660E62C" w:rsidR="000B18B0" w:rsidRPr="000B18B0" w:rsidRDefault="00A1077B" w:rsidP="008D19B9">
            <w:pPr>
              <w:pStyle w:val="ListParagraph"/>
              <w:numPr>
                <w:ilvl w:val="0"/>
                <w:numId w:val="16"/>
              </w:numPr>
              <w:spacing w:line="276" w:lineRule="auto"/>
              <w:rPr>
                <w:rFonts w:cs="Arial"/>
                <w:szCs w:val="22"/>
              </w:rPr>
            </w:pPr>
            <w:r>
              <w:rPr>
                <w:rFonts w:cs="Arial"/>
                <w:szCs w:val="22"/>
              </w:rPr>
              <w:t xml:space="preserve">Inspections </w:t>
            </w:r>
            <w:r w:rsidR="000B18B0" w:rsidRPr="000B18B0">
              <w:rPr>
                <w:rFonts w:cs="Arial"/>
                <w:szCs w:val="22"/>
              </w:rPr>
              <w:t xml:space="preserve">and </w:t>
            </w:r>
            <w:r w:rsidR="000B18B0">
              <w:rPr>
                <w:rFonts w:cs="Arial"/>
                <w:szCs w:val="22"/>
              </w:rPr>
              <w:t>p</w:t>
            </w:r>
            <w:r w:rsidR="000B18B0" w:rsidRPr="000B18B0">
              <w:rPr>
                <w:rFonts w:cs="Arial"/>
                <w:szCs w:val="22"/>
              </w:rPr>
              <w:t xml:space="preserve">roviding detailed information or advice to </w:t>
            </w:r>
            <w:r w:rsidR="000B18B0">
              <w:rPr>
                <w:rFonts w:cs="Arial"/>
                <w:szCs w:val="22"/>
              </w:rPr>
              <w:t>affected persons</w:t>
            </w:r>
            <w:r w:rsidR="000B18B0" w:rsidRPr="000B18B0">
              <w:rPr>
                <w:rFonts w:cs="Arial"/>
                <w:szCs w:val="22"/>
              </w:rPr>
              <w:t>.</w:t>
            </w:r>
          </w:p>
          <w:p w14:paraId="7DA9BDCB" w14:textId="6BD6D84E" w:rsidR="000B18B0" w:rsidRPr="009800BE" w:rsidRDefault="000B18B0" w:rsidP="008D19B9">
            <w:pPr>
              <w:pStyle w:val="ListParagraph"/>
              <w:numPr>
                <w:ilvl w:val="0"/>
                <w:numId w:val="16"/>
              </w:numPr>
              <w:rPr>
                <w:rFonts w:cs="Arial"/>
                <w:szCs w:val="22"/>
              </w:rPr>
            </w:pPr>
            <w:r w:rsidRPr="009800BE">
              <w:rPr>
                <w:rFonts w:cs="Arial"/>
                <w:szCs w:val="22"/>
              </w:rPr>
              <w:t xml:space="preserve">Remedial </w:t>
            </w:r>
            <w:r w:rsidR="00A1077B">
              <w:rPr>
                <w:rFonts w:cs="Arial"/>
                <w:szCs w:val="22"/>
              </w:rPr>
              <w:t xml:space="preserve">and/or legal </w:t>
            </w:r>
            <w:r w:rsidRPr="009800BE">
              <w:rPr>
                <w:rFonts w:cs="Arial"/>
                <w:szCs w:val="22"/>
              </w:rPr>
              <w:t xml:space="preserve">action against suppliers of </w:t>
            </w:r>
            <w:r w:rsidR="00A1077B">
              <w:rPr>
                <w:rFonts w:cs="Arial"/>
                <w:szCs w:val="22"/>
              </w:rPr>
              <w:t xml:space="preserve">defective </w:t>
            </w:r>
            <w:r w:rsidRPr="009800BE">
              <w:rPr>
                <w:rFonts w:cs="Arial"/>
                <w:szCs w:val="22"/>
              </w:rPr>
              <w:t>non-conforming products</w:t>
            </w:r>
            <w:r>
              <w:rPr>
                <w:rFonts w:cs="Arial"/>
                <w:szCs w:val="22"/>
              </w:rPr>
              <w:t>.</w:t>
            </w:r>
          </w:p>
          <w:p w14:paraId="0D4AD667" w14:textId="77777777" w:rsidR="00912862" w:rsidRDefault="00912862" w:rsidP="00912862">
            <w:pPr>
              <w:rPr>
                <w:i/>
                <w:iCs/>
              </w:rPr>
            </w:pPr>
          </w:p>
          <w:p w14:paraId="7823904B" w14:textId="72785467" w:rsidR="00A92BF7" w:rsidRPr="00F1371E" w:rsidRDefault="00A92BF7" w:rsidP="00912862">
            <w:pPr>
              <w:rPr>
                <w:i/>
                <w:iCs/>
              </w:rPr>
            </w:pPr>
            <w:r w:rsidRPr="00F1371E">
              <w:rPr>
                <w:i/>
                <w:iCs/>
              </w:rPr>
              <w:t xml:space="preserve">See SAFER BUILDINGS: </w:t>
            </w:r>
          </w:p>
          <w:p w14:paraId="554AAC28" w14:textId="616AFF6F" w:rsidR="00A92BF7" w:rsidRPr="00F1371E" w:rsidRDefault="00000000" w:rsidP="001C6E39">
            <w:pPr>
              <w:pStyle w:val="ListParagraph"/>
              <w:numPr>
                <w:ilvl w:val="0"/>
                <w:numId w:val="28"/>
              </w:numPr>
              <w:spacing w:before="0" w:after="0"/>
              <w:rPr>
                <w:i/>
                <w:iCs/>
              </w:rPr>
            </w:pPr>
            <w:hyperlink w:anchor="BuildingRegistration" w:history="1">
              <w:r w:rsidR="00A92BF7" w:rsidRPr="00F1371E">
                <w:rPr>
                  <w:rStyle w:val="Hyperlink"/>
                  <w:i/>
                  <w:iCs/>
                </w:rPr>
                <w:t>Building Registration</w:t>
              </w:r>
            </w:hyperlink>
            <w:r w:rsidR="00A92BF7" w:rsidRPr="00F1371E">
              <w:rPr>
                <w:i/>
                <w:iCs/>
              </w:rPr>
              <w:t xml:space="preserve"> for records relating to submitting completed combustible cladding checklists for affected private buildings to the Commission</w:t>
            </w:r>
            <w:r w:rsidR="00A92BF7" w:rsidRPr="00F1371E">
              <w:t>.</w:t>
            </w:r>
          </w:p>
          <w:p w14:paraId="4D2ADCDB" w14:textId="7F219F42" w:rsidR="00A92BF7" w:rsidRPr="00211317" w:rsidRDefault="00000000" w:rsidP="00211317">
            <w:pPr>
              <w:pStyle w:val="ListParagraph"/>
              <w:numPr>
                <w:ilvl w:val="0"/>
                <w:numId w:val="28"/>
              </w:numPr>
              <w:spacing w:before="0" w:after="0"/>
              <w:rPr>
                <w:i/>
                <w:iCs/>
              </w:rPr>
            </w:pPr>
            <w:hyperlink w:anchor="ComplianceReportingAuditingInvestigation" w:history="1">
              <w:r w:rsidR="00A92BF7" w:rsidRPr="00F1371E">
                <w:rPr>
                  <w:rStyle w:val="Hyperlink"/>
                  <w:i/>
                  <w:iCs/>
                </w:rPr>
                <w:t>Compliance, Reporting, Auditing and Investigations</w:t>
              </w:r>
            </w:hyperlink>
            <w:r w:rsidR="00A92BF7" w:rsidRPr="00F1371E">
              <w:rPr>
                <w:i/>
                <w:iCs/>
              </w:rPr>
              <w:t xml:space="preserve"> for records relating to monitoring and enforcing compliance with safer buildings requirements </w:t>
            </w:r>
            <w:r w:rsidR="00A92BF7" w:rsidRPr="00F068C9">
              <w:rPr>
                <w:i/>
                <w:iCs/>
              </w:rPr>
              <w:t>for combustible cladding</w:t>
            </w:r>
            <w:r w:rsidR="00A92BF7" w:rsidRPr="00F068C9">
              <w:t>.</w:t>
            </w:r>
          </w:p>
        </w:tc>
        <w:tc>
          <w:tcPr>
            <w:tcW w:w="900" w:type="pct"/>
            <w:shd w:val="clear" w:color="auto" w:fill="auto"/>
          </w:tcPr>
          <w:p w14:paraId="70EAF946" w14:textId="77777777" w:rsidR="000B18B0" w:rsidRDefault="000B18B0" w:rsidP="000B18B0">
            <w:pPr>
              <w:rPr>
                <w:rFonts w:cs="Arial"/>
                <w:szCs w:val="22"/>
              </w:rPr>
            </w:pPr>
            <w:r>
              <w:rPr>
                <w:rFonts w:cs="Arial"/>
                <w:szCs w:val="22"/>
              </w:rPr>
              <w:lastRenderedPageBreak/>
              <w:t>Permanent.</w:t>
            </w:r>
          </w:p>
          <w:p w14:paraId="0067ADA8" w14:textId="0169D32B" w:rsidR="000B18B0" w:rsidRDefault="000B18B0" w:rsidP="000B18B0">
            <w:pPr>
              <w:rPr>
                <w:rFonts w:cs="Arial"/>
                <w:szCs w:val="22"/>
              </w:rPr>
            </w:pPr>
            <w:r>
              <w:rPr>
                <w:rFonts w:cs="Arial"/>
                <w:szCs w:val="22"/>
              </w:rPr>
              <w:t>Transfer to QSA after business action completed.</w:t>
            </w:r>
          </w:p>
        </w:tc>
        <w:tc>
          <w:tcPr>
            <w:tcW w:w="549" w:type="pct"/>
            <w:shd w:val="clear" w:color="auto" w:fill="auto"/>
          </w:tcPr>
          <w:p w14:paraId="247DAF52" w14:textId="22FD9056" w:rsidR="000B18B0" w:rsidRDefault="00912862" w:rsidP="000B18B0">
            <w:pPr>
              <w:rPr>
                <w:noProof/>
              </w:rPr>
            </w:pPr>
            <w:r>
              <w:rPr>
                <w:noProof/>
              </w:rPr>
              <w:t>15 December 2023</w:t>
            </w:r>
          </w:p>
        </w:tc>
      </w:tr>
      <w:tr w:rsidR="000B18B0" w:rsidRPr="004D14B4" w14:paraId="7DCE8586" w14:textId="788C7444" w:rsidTr="006911D1">
        <w:tblPrEx>
          <w:tblCellMar>
            <w:top w:w="57" w:type="dxa"/>
            <w:left w:w="119" w:type="dxa"/>
            <w:right w:w="119" w:type="dxa"/>
          </w:tblCellMar>
        </w:tblPrEx>
        <w:tc>
          <w:tcPr>
            <w:tcW w:w="509" w:type="pct"/>
            <w:shd w:val="clear" w:color="auto" w:fill="auto"/>
          </w:tcPr>
          <w:p w14:paraId="43A721F5" w14:textId="02CB6542" w:rsidR="000B18B0" w:rsidRPr="00912862" w:rsidRDefault="00B06E3E" w:rsidP="000B18B0">
            <w:pPr>
              <w:pStyle w:val="Tabletext"/>
              <w:spacing w:before="60" w:after="60"/>
              <w:ind w:left="-98"/>
              <w:rPr>
                <w:sz w:val="22"/>
                <w:szCs w:val="22"/>
              </w:rPr>
            </w:pPr>
            <w:r w:rsidRPr="00912862">
              <w:rPr>
                <w:sz w:val="22"/>
                <w:szCs w:val="22"/>
              </w:rPr>
              <w:t>2765</w:t>
            </w:r>
          </w:p>
        </w:tc>
        <w:tc>
          <w:tcPr>
            <w:tcW w:w="3042" w:type="pct"/>
            <w:shd w:val="clear" w:color="auto" w:fill="auto"/>
          </w:tcPr>
          <w:p w14:paraId="0519081A" w14:textId="740B8518" w:rsidR="000B18B0" w:rsidRPr="00D725BB" w:rsidRDefault="000B18B0" w:rsidP="00B03116">
            <w:pPr>
              <w:ind w:left="34" w:hanging="34"/>
              <w:rPr>
                <w:rFonts w:cs="Arial"/>
                <w:b/>
                <w:iCs/>
                <w:szCs w:val="22"/>
              </w:rPr>
            </w:pPr>
            <w:r w:rsidRPr="00D725BB">
              <w:rPr>
                <w:rFonts w:cs="Arial"/>
                <w:b/>
                <w:iCs/>
                <w:szCs w:val="22"/>
              </w:rPr>
              <w:t>Building Product Assessments</w:t>
            </w:r>
            <w:r w:rsidR="00425D2F" w:rsidRPr="00D725BB">
              <w:rPr>
                <w:rFonts w:cs="Arial"/>
                <w:b/>
                <w:iCs/>
                <w:szCs w:val="22"/>
              </w:rPr>
              <w:t xml:space="preserve">, </w:t>
            </w:r>
            <w:r w:rsidRPr="00D725BB">
              <w:rPr>
                <w:rFonts w:cs="Arial"/>
                <w:b/>
                <w:iCs/>
                <w:szCs w:val="22"/>
              </w:rPr>
              <w:t xml:space="preserve">Complaints &amp; Investigations – Non-conforming Building Products (NCBP) </w:t>
            </w:r>
            <w:r w:rsidR="005C2BC2">
              <w:rPr>
                <w:rFonts w:cs="Arial"/>
                <w:b/>
                <w:iCs/>
                <w:szCs w:val="22"/>
              </w:rPr>
              <w:t>–</w:t>
            </w:r>
            <w:r w:rsidRPr="00D725BB">
              <w:rPr>
                <w:rFonts w:cs="Arial"/>
                <w:b/>
                <w:iCs/>
                <w:szCs w:val="22"/>
              </w:rPr>
              <w:t xml:space="preserve"> Other</w:t>
            </w:r>
            <w:r w:rsidR="005C2BC2">
              <w:rPr>
                <w:rFonts w:cs="Arial"/>
                <w:b/>
                <w:iCs/>
                <w:szCs w:val="22"/>
              </w:rPr>
              <w:t xml:space="preserve"> </w:t>
            </w:r>
          </w:p>
          <w:p w14:paraId="63EF5932" w14:textId="77777777" w:rsidR="00425D2F" w:rsidRPr="00FB3A56" w:rsidRDefault="000B18B0" w:rsidP="000B18B0">
            <w:pPr>
              <w:spacing w:line="276" w:lineRule="auto"/>
              <w:rPr>
                <w:rFonts w:cs="Arial"/>
                <w:szCs w:val="22"/>
              </w:rPr>
            </w:pPr>
            <w:r w:rsidRPr="00FB3A56">
              <w:rPr>
                <w:rFonts w:cs="Arial"/>
                <w:szCs w:val="22"/>
              </w:rPr>
              <w:t xml:space="preserve">Records relating </w:t>
            </w:r>
            <w:r w:rsidR="00425D2F" w:rsidRPr="00FB3A56">
              <w:rPr>
                <w:rFonts w:cs="Arial"/>
                <w:szCs w:val="22"/>
              </w:rPr>
              <w:t xml:space="preserve">to </w:t>
            </w:r>
            <w:r w:rsidRPr="00FB3A56">
              <w:rPr>
                <w:rFonts w:cs="Arial"/>
                <w:szCs w:val="22"/>
              </w:rPr>
              <w:t xml:space="preserve">the management of </w:t>
            </w:r>
            <w:r w:rsidR="00425D2F" w:rsidRPr="00FB3A56">
              <w:rPr>
                <w:rFonts w:cs="Arial"/>
                <w:szCs w:val="22"/>
              </w:rPr>
              <w:t xml:space="preserve">assessments and/or </w:t>
            </w:r>
            <w:r w:rsidRPr="00FB3A56">
              <w:rPr>
                <w:rFonts w:cs="Arial"/>
                <w:szCs w:val="22"/>
              </w:rPr>
              <w:t xml:space="preserve">complaints that require investigation and/or a specific response.  </w:t>
            </w:r>
          </w:p>
          <w:p w14:paraId="74C29CDB" w14:textId="7ACFBBE5" w:rsidR="000B18B0" w:rsidRPr="00FB3A56" w:rsidRDefault="004E018E" w:rsidP="000B18B0">
            <w:pPr>
              <w:spacing w:line="276" w:lineRule="auto"/>
            </w:pPr>
            <w:r w:rsidRPr="00FB3A56">
              <w:t>Records may include</w:t>
            </w:r>
            <w:r w:rsidR="000B18B0" w:rsidRPr="00FB3A56">
              <w:t>, but are not limited to:</w:t>
            </w:r>
          </w:p>
          <w:p w14:paraId="00BEE618" w14:textId="77777777" w:rsidR="000B18B0" w:rsidRPr="00FB3A56" w:rsidRDefault="000B18B0" w:rsidP="008D19B9">
            <w:pPr>
              <w:pStyle w:val="ListParagraph"/>
              <w:numPr>
                <w:ilvl w:val="0"/>
                <w:numId w:val="16"/>
              </w:numPr>
              <w:spacing w:line="276" w:lineRule="auto"/>
              <w:rPr>
                <w:rFonts w:cs="Arial"/>
                <w:szCs w:val="22"/>
              </w:rPr>
            </w:pPr>
            <w:r w:rsidRPr="00FB3A56">
              <w:rPr>
                <w:rFonts w:cs="Arial"/>
                <w:szCs w:val="22"/>
              </w:rPr>
              <w:t xml:space="preserve">Testing and checking that materials and products used in the building and construction industry complies with Australian standards and codes. </w:t>
            </w:r>
          </w:p>
          <w:p w14:paraId="4F5949F7" w14:textId="116FDD88" w:rsidR="000B18B0" w:rsidRPr="00FB3A56" w:rsidRDefault="000B18B0" w:rsidP="008D19B9">
            <w:pPr>
              <w:pStyle w:val="ListParagraph"/>
              <w:numPr>
                <w:ilvl w:val="0"/>
                <w:numId w:val="16"/>
              </w:numPr>
              <w:spacing w:line="276" w:lineRule="auto"/>
            </w:pPr>
            <w:r w:rsidRPr="00FB3A56">
              <w:rPr>
                <w:rFonts w:cs="Arial"/>
                <w:szCs w:val="22"/>
              </w:rPr>
              <w:t>Product audits and internal referrals.</w:t>
            </w:r>
          </w:p>
          <w:p w14:paraId="2C5A8A31" w14:textId="1CD61A3E" w:rsidR="000B18B0" w:rsidRPr="00FB3A56" w:rsidRDefault="000B18B0" w:rsidP="008D19B9">
            <w:pPr>
              <w:pStyle w:val="ListParagraph"/>
              <w:numPr>
                <w:ilvl w:val="0"/>
                <w:numId w:val="16"/>
              </w:numPr>
              <w:rPr>
                <w:rFonts w:cs="Arial"/>
                <w:szCs w:val="22"/>
              </w:rPr>
            </w:pPr>
            <w:r w:rsidRPr="00FB3A56">
              <w:rPr>
                <w:rFonts w:cs="Arial"/>
                <w:szCs w:val="22"/>
              </w:rPr>
              <w:t>Provi</w:t>
            </w:r>
            <w:r w:rsidR="00ED6245" w:rsidRPr="00FB3A56">
              <w:rPr>
                <w:rFonts w:cs="Arial"/>
                <w:szCs w:val="22"/>
              </w:rPr>
              <w:t xml:space="preserve">sion of </w:t>
            </w:r>
            <w:r w:rsidRPr="00FB3A56">
              <w:rPr>
                <w:rFonts w:cs="Arial"/>
                <w:szCs w:val="22"/>
              </w:rPr>
              <w:t>detailed information or advice to external customers.</w:t>
            </w:r>
          </w:p>
          <w:p w14:paraId="10B11827" w14:textId="23CFFAD9" w:rsidR="000B18B0" w:rsidRPr="00FB3A56" w:rsidRDefault="000B18B0" w:rsidP="008D19B9">
            <w:pPr>
              <w:pStyle w:val="ListParagraph"/>
              <w:numPr>
                <w:ilvl w:val="0"/>
                <w:numId w:val="16"/>
              </w:numPr>
              <w:rPr>
                <w:rFonts w:cs="Arial"/>
                <w:szCs w:val="22"/>
              </w:rPr>
            </w:pPr>
            <w:r w:rsidRPr="00FB3A56">
              <w:rPr>
                <w:rFonts w:cs="Arial"/>
                <w:szCs w:val="22"/>
              </w:rPr>
              <w:t>Remedial action (undertakings) against suppliers of non-conforming products.</w:t>
            </w:r>
          </w:p>
          <w:p w14:paraId="3CF6ED3F" w14:textId="2D3BFB7A" w:rsidR="000B18B0" w:rsidRPr="00FB3A56" w:rsidRDefault="000B18B0" w:rsidP="008D19B9">
            <w:pPr>
              <w:pStyle w:val="ListParagraph"/>
              <w:numPr>
                <w:ilvl w:val="0"/>
                <w:numId w:val="16"/>
              </w:numPr>
              <w:rPr>
                <w:rFonts w:cs="Arial"/>
                <w:szCs w:val="22"/>
              </w:rPr>
            </w:pPr>
            <w:r w:rsidRPr="00FB3A56">
              <w:rPr>
                <w:rFonts w:cs="Arial"/>
                <w:szCs w:val="22"/>
              </w:rPr>
              <w:t>Site Inspections and proactive Audits.</w:t>
            </w:r>
          </w:p>
          <w:p w14:paraId="3D34EF16" w14:textId="6E37DE56" w:rsidR="000B18B0" w:rsidRPr="00FB3A56" w:rsidRDefault="000B18B0" w:rsidP="008D19B9">
            <w:pPr>
              <w:pStyle w:val="ListParagraph"/>
              <w:numPr>
                <w:ilvl w:val="0"/>
                <w:numId w:val="16"/>
              </w:numPr>
              <w:rPr>
                <w:rFonts w:cs="Arial"/>
                <w:szCs w:val="22"/>
              </w:rPr>
            </w:pPr>
            <w:r w:rsidRPr="00FB3A56">
              <w:rPr>
                <w:rFonts w:cs="Arial"/>
                <w:szCs w:val="22"/>
              </w:rPr>
              <w:t xml:space="preserve">Ministerial Recall Orders per </w:t>
            </w:r>
            <w:r w:rsidR="000F7E6E" w:rsidRPr="00FB3A56">
              <w:rPr>
                <w:rFonts w:cs="Arial"/>
                <w:szCs w:val="22"/>
              </w:rPr>
              <w:t xml:space="preserve">the </w:t>
            </w:r>
            <w:r w:rsidR="000F7E6E" w:rsidRPr="00B03116">
              <w:rPr>
                <w:rFonts w:cs="Arial"/>
                <w:i/>
                <w:iCs/>
                <w:szCs w:val="22"/>
              </w:rPr>
              <w:t>QBCC Act 199</w:t>
            </w:r>
            <w:r w:rsidR="00730FB9" w:rsidRPr="00B03116">
              <w:rPr>
                <w:rFonts w:cs="Arial"/>
                <w:i/>
                <w:iCs/>
                <w:szCs w:val="22"/>
              </w:rPr>
              <w:t>1</w:t>
            </w:r>
            <w:r w:rsidR="00A92BF7" w:rsidRPr="00FB3A56">
              <w:rPr>
                <w:rFonts w:cs="Arial"/>
                <w:szCs w:val="22"/>
              </w:rPr>
              <w:t>.</w:t>
            </w:r>
          </w:p>
          <w:p w14:paraId="06BD7275" w14:textId="328DF3AE" w:rsidR="000B18B0" w:rsidRPr="00FB3A56" w:rsidRDefault="000B18B0" w:rsidP="008D19B9">
            <w:pPr>
              <w:pStyle w:val="ListParagraph"/>
              <w:numPr>
                <w:ilvl w:val="0"/>
                <w:numId w:val="16"/>
              </w:numPr>
              <w:rPr>
                <w:rFonts w:cs="Arial"/>
                <w:szCs w:val="22"/>
              </w:rPr>
            </w:pPr>
            <w:r w:rsidRPr="00FB3A56">
              <w:rPr>
                <w:rFonts w:cs="Arial"/>
                <w:szCs w:val="22"/>
              </w:rPr>
              <w:t xml:space="preserve">Ministerial Warning Statement per </w:t>
            </w:r>
            <w:r w:rsidR="000F7E6E" w:rsidRPr="00FB3A56">
              <w:rPr>
                <w:rFonts w:cs="Arial"/>
                <w:szCs w:val="22"/>
              </w:rPr>
              <w:t xml:space="preserve">the </w:t>
            </w:r>
            <w:r w:rsidR="000F7E6E" w:rsidRPr="00B03116">
              <w:rPr>
                <w:rFonts w:cs="Arial"/>
                <w:i/>
                <w:iCs/>
                <w:szCs w:val="22"/>
              </w:rPr>
              <w:t>QBCC Act 1991</w:t>
            </w:r>
            <w:r w:rsidR="00A92BF7" w:rsidRPr="00FB3A56">
              <w:rPr>
                <w:rFonts w:cs="Arial"/>
                <w:szCs w:val="22"/>
              </w:rPr>
              <w:t>.</w:t>
            </w:r>
          </w:p>
          <w:p w14:paraId="2CDCA41C" w14:textId="48A4D2D3" w:rsidR="00A92BF7" w:rsidRPr="00FB3A56" w:rsidRDefault="00A92BF7" w:rsidP="008D19B9">
            <w:pPr>
              <w:pStyle w:val="ListParagraph"/>
              <w:numPr>
                <w:ilvl w:val="0"/>
                <w:numId w:val="16"/>
              </w:numPr>
              <w:spacing w:before="0" w:after="0"/>
              <w:contextualSpacing w:val="0"/>
            </w:pPr>
            <w:r w:rsidRPr="00FB3A56">
              <w:t>Complaints that are resolved by an agency decision not to proceed with an investigation.</w:t>
            </w:r>
          </w:p>
          <w:p w14:paraId="25BA3A0A" w14:textId="77777777" w:rsidR="000F7E6E" w:rsidRPr="00FB3A56" w:rsidRDefault="00A92BF7" w:rsidP="008D19B9">
            <w:pPr>
              <w:pStyle w:val="ListParagraph"/>
              <w:numPr>
                <w:ilvl w:val="0"/>
                <w:numId w:val="16"/>
              </w:numPr>
              <w:spacing w:before="0" w:after="0"/>
              <w:ind w:right="274"/>
              <w:contextualSpacing w:val="0"/>
            </w:pPr>
            <w:r w:rsidRPr="00FB3A56">
              <w:t xml:space="preserve">Complaints where there is an agency decision to not seek a recall order as </w:t>
            </w:r>
          </w:p>
          <w:p w14:paraId="78EF1FF0" w14:textId="43E37A07" w:rsidR="00A92BF7" w:rsidRPr="00FB3A56" w:rsidRDefault="000F7E6E" w:rsidP="000F7E6E">
            <w:pPr>
              <w:tabs>
                <w:tab w:val="left" w:pos="1339"/>
              </w:tabs>
              <w:spacing w:before="0" w:after="0"/>
              <w:ind w:left="720" w:right="274"/>
            </w:pPr>
            <w:r w:rsidRPr="00FB3A56">
              <w:t>p</w:t>
            </w:r>
            <w:r w:rsidR="00A92BF7" w:rsidRPr="00FB3A56">
              <w:t xml:space="preserve">art of </w:t>
            </w:r>
            <w:r w:rsidRPr="00FB3A56">
              <w:t>an</w:t>
            </w:r>
            <w:r w:rsidR="00A92BF7" w:rsidRPr="00FB3A56">
              <w:t xml:space="preserve"> investigation.</w:t>
            </w:r>
          </w:p>
          <w:p w14:paraId="7AE8C639" w14:textId="77777777" w:rsidR="00912862" w:rsidRDefault="00912862" w:rsidP="00912862">
            <w:pPr>
              <w:rPr>
                <w:i/>
                <w:iCs/>
              </w:rPr>
            </w:pPr>
          </w:p>
          <w:p w14:paraId="0D4C7E9D" w14:textId="0B0FDEF3" w:rsidR="00A92BF7" w:rsidRPr="00FB3A56" w:rsidRDefault="00A92BF7" w:rsidP="00912862">
            <w:pPr>
              <w:rPr>
                <w:i/>
                <w:iCs/>
              </w:rPr>
            </w:pPr>
            <w:r w:rsidRPr="00FB3A56">
              <w:rPr>
                <w:i/>
                <w:iCs/>
              </w:rPr>
              <w:t xml:space="preserve">See SAFER BUILDINGS: </w:t>
            </w:r>
          </w:p>
          <w:p w14:paraId="4AA20CF3" w14:textId="58285B58" w:rsidR="00A92BF7" w:rsidRPr="001C6E39" w:rsidRDefault="00000000" w:rsidP="001C6E39">
            <w:pPr>
              <w:pStyle w:val="ListParagraph"/>
              <w:numPr>
                <w:ilvl w:val="0"/>
                <w:numId w:val="28"/>
              </w:numPr>
              <w:spacing w:before="0" w:after="0"/>
              <w:rPr>
                <w:rStyle w:val="Hyperlink"/>
              </w:rPr>
            </w:pPr>
            <w:hyperlink w:anchor="BuildingRegistration" w:history="1">
              <w:r w:rsidR="00A92BF7" w:rsidRPr="00F1371E">
                <w:rPr>
                  <w:rStyle w:val="Hyperlink"/>
                  <w:i/>
                  <w:iCs/>
                </w:rPr>
                <w:t>Building Registration</w:t>
              </w:r>
            </w:hyperlink>
            <w:r w:rsidR="00A92BF7" w:rsidRPr="001C6E39">
              <w:rPr>
                <w:rStyle w:val="Hyperlink"/>
              </w:rPr>
              <w:t xml:space="preserve"> for records relating to submitting completed combustible cladding checklists for affected private buildings to the Commission</w:t>
            </w:r>
            <w:r w:rsidR="00A92BF7" w:rsidRPr="001C6E39">
              <w:rPr>
                <w:rStyle w:val="Hyperlink"/>
                <w:i/>
                <w:iCs/>
              </w:rPr>
              <w:t>.</w:t>
            </w:r>
          </w:p>
          <w:p w14:paraId="3F555249" w14:textId="4ED12110" w:rsidR="00A92BF7" w:rsidRPr="00FB3A56" w:rsidRDefault="00000000" w:rsidP="001C6E39">
            <w:pPr>
              <w:pStyle w:val="ListParagraph"/>
              <w:numPr>
                <w:ilvl w:val="0"/>
                <w:numId w:val="28"/>
              </w:numPr>
              <w:spacing w:before="0" w:after="0"/>
              <w:rPr>
                <w:i/>
                <w:iCs/>
              </w:rPr>
            </w:pPr>
            <w:hyperlink w:anchor="ComplianceReportingAuditingInvestigation" w:history="1">
              <w:r w:rsidR="00A92BF7" w:rsidRPr="00F1371E">
                <w:rPr>
                  <w:rStyle w:val="Hyperlink"/>
                  <w:i/>
                  <w:iCs/>
                </w:rPr>
                <w:t>Compliance, Reporting, Auditing and Investigations</w:t>
              </w:r>
            </w:hyperlink>
            <w:r w:rsidR="00A92BF7" w:rsidRPr="001C6E39">
              <w:rPr>
                <w:rStyle w:val="Hyperlink"/>
              </w:rPr>
              <w:t xml:space="preserve"> for records relating</w:t>
            </w:r>
            <w:r w:rsidR="000F7E6E" w:rsidRPr="001C6E39">
              <w:rPr>
                <w:rStyle w:val="Hyperlink"/>
              </w:rPr>
              <w:t xml:space="preserve"> </w:t>
            </w:r>
            <w:r w:rsidR="00A92BF7" w:rsidRPr="001C6E39">
              <w:rPr>
                <w:rStyle w:val="Hyperlink"/>
              </w:rPr>
              <w:t>to monitoring and enforcing compliance with safer buildings requirements for combustible cladding</w:t>
            </w:r>
            <w:r w:rsidR="00A92BF7" w:rsidRPr="001C6E39">
              <w:rPr>
                <w:rStyle w:val="Hyperlink"/>
                <w:i/>
                <w:iCs/>
              </w:rPr>
              <w:t>.</w:t>
            </w:r>
          </w:p>
        </w:tc>
        <w:tc>
          <w:tcPr>
            <w:tcW w:w="900" w:type="pct"/>
            <w:shd w:val="clear" w:color="auto" w:fill="auto"/>
          </w:tcPr>
          <w:p w14:paraId="4E1982E9" w14:textId="3FD1BFC5" w:rsidR="00A92BF7" w:rsidRPr="002E08C3" w:rsidRDefault="00A92BF7" w:rsidP="000B18B0">
            <w:r w:rsidRPr="002E08C3">
              <w:t>10 years after conclusion of investigation</w:t>
            </w:r>
          </w:p>
          <w:p w14:paraId="6CB6B1D8" w14:textId="0079EAB2" w:rsidR="002E08C3" w:rsidRPr="002E08C3" w:rsidRDefault="002E08C3" w:rsidP="000B18B0">
            <w:pPr>
              <w:rPr>
                <w:rFonts w:cs="Arial"/>
              </w:rPr>
            </w:pPr>
            <w:r w:rsidRPr="002E08C3">
              <w:rPr>
                <w:rFonts w:cs="Arial"/>
              </w:rPr>
              <w:t>OR</w:t>
            </w:r>
          </w:p>
          <w:p w14:paraId="602D5AF2" w14:textId="15C425E8" w:rsidR="002E08C3" w:rsidRDefault="002E08C3" w:rsidP="000B18B0">
            <w:pPr>
              <w:rPr>
                <w:rFonts w:cs="Arial"/>
                <w:szCs w:val="22"/>
              </w:rPr>
            </w:pPr>
            <w:r w:rsidRPr="002E08C3">
              <w:rPr>
                <w:rFonts w:cs="Arial"/>
              </w:rPr>
              <w:t>10 years after the expiry of the related recall order, whichever is later</w:t>
            </w:r>
            <w:r>
              <w:rPr>
                <w:rFonts w:cs="Arial"/>
                <w:color w:val="00B050"/>
              </w:rPr>
              <w:t xml:space="preserve">. </w:t>
            </w:r>
          </w:p>
          <w:p w14:paraId="47427E7B" w14:textId="09E115D1" w:rsidR="00A92BF7" w:rsidRPr="00DE66DE" w:rsidRDefault="00A92BF7" w:rsidP="000B18B0">
            <w:pPr>
              <w:rPr>
                <w:rFonts w:cs="Arial"/>
                <w:szCs w:val="22"/>
              </w:rPr>
            </w:pPr>
          </w:p>
        </w:tc>
        <w:tc>
          <w:tcPr>
            <w:tcW w:w="549" w:type="pct"/>
            <w:shd w:val="clear" w:color="auto" w:fill="auto"/>
          </w:tcPr>
          <w:p w14:paraId="5CFB04DB" w14:textId="30E52163" w:rsidR="000B18B0" w:rsidRDefault="00912862" w:rsidP="000B18B0">
            <w:r>
              <w:rPr>
                <w:noProof/>
              </w:rPr>
              <w:t>15 December 2023</w:t>
            </w:r>
          </w:p>
        </w:tc>
      </w:tr>
      <w:bookmarkStart w:id="11" w:name="LicensingAndPermitManagement"/>
      <w:tr w:rsidR="000B18B0" w:rsidRPr="004D14B4" w14:paraId="13923AC2" w14:textId="77777777" w:rsidTr="00A759C4">
        <w:tblPrEx>
          <w:tblCellMar>
            <w:top w:w="57" w:type="dxa"/>
            <w:left w:w="119" w:type="dxa"/>
            <w:right w:w="119" w:type="dxa"/>
          </w:tblCellMar>
        </w:tblPrEx>
        <w:trPr>
          <w:cantSplit/>
        </w:trPr>
        <w:tc>
          <w:tcPr>
            <w:tcW w:w="5000" w:type="pct"/>
            <w:gridSpan w:val="4"/>
            <w:shd w:val="clear" w:color="auto" w:fill="auto"/>
          </w:tcPr>
          <w:p w14:paraId="01940865" w14:textId="4FD486D1" w:rsidR="000B18B0" w:rsidRPr="00FB3A56" w:rsidRDefault="000B18B0" w:rsidP="000B18B0">
            <w:pPr>
              <w:pStyle w:val="Heading2"/>
            </w:pPr>
            <w:r w:rsidRPr="00FB3A56">
              <w:lastRenderedPageBreak/>
              <w:fldChar w:fldCharType="begin">
                <w:ffData>
                  <w:name w:val=""/>
                  <w:enabled/>
                  <w:calcOnExit w:val="0"/>
                  <w:textInput>
                    <w:default w:val="LICENSING AND PERMIT MANAGEMENT"/>
                    <w:format w:val="UPPERCASE"/>
                  </w:textInput>
                </w:ffData>
              </w:fldChar>
            </w:r>
            <w:r w:rsidRPr="00FB3A56">
              <w:instrText xml:space="preserve"> FORMTEXT </w:instrText>
            </w:r>
            <w:r w:rsidRPr="00FB3A56">
              <w:fldChar w:fldCharType="separate"/>
            </w:r>
            <w:r w:rsidRPr="00FB3A56">
              <w:t>LICENSING AND PERMIT MANAGEMENT</w:t>
            </w:r>
            <w:r w:rsidRPr="00FB3A56">
              <w:fldChar w:fldCharType="end"/>
            </w:r>
          </w:p>
          <w:bookmarkEnd w:id="11"/>
          <w:p w14:paraId="2712B40E" w14:textId="0ACA388D" w:rsidR="000B18B0" w:rsidRPr="00FB3A56" w:rsidRDefault="000B18B0" w:rsidP="000B18B0">
            <w:pPr>
              <w:pStyle w:val="Heading2"/>
              <w:rPr>
                <w:b w:val="0"/>
                <w:bCs/>
                <w:i/>
                <w:iCs/>
              </w:rPr>
            </w:pPr>
            <w:r w:rsidRPr="00FB3A56">
              <w:rPr>
                <w:b w:val="0"/>
                <w:bCs/>
                <w:i/>
                <w:iCs/>
              </w:rPr>
              <w:t>The activities associated with granting licences in accordance with the QBCC Act 1991 for building and trade contractors. Includes approving and renewing business (commercial) and occupational licences, assessing and determining individual licence applications, annual renewal returns, issuance of licen</w:t>
            </w:r>
            <w:r w:rsidR="003661F7">
              <w:rPr>
                <w:b w:val="0"/>
                <w:bCs/>
                <w:i/>
                <w:iCs/>
              </w:rPr>
              <w:t>c</w:t>
            </w:r>
            <w:r w:rsidRPr="00FB3A56">
              <w:rPr>
                <w:b w:val="0"/>
                <w:bCs/>
                <w:i/>
                <w:iCs/>
              </w:rPr>
              <w:t>e cards or certificates, updating licensee details, reporting and issuing owner builder permits.</w:t>
            </w:r>
          </w:p>
        </w:tc>
      </w:tr>
      <w:tr w:rsidR="000B18B0" w:rsidRPr="004D14B4" w14:paraId="315BCD18" w14:textId="77777777" w:rsidTr="006911D1">
        <w:tblPrEx>
          <w:tblCellMar>
            <w:top w:w="57" w:type="dxa"/>
            <w:left w:w="119" w:type="dxa"/>
            <w:right w:w="119" w:type="dxa"/>
          </w:tblCellMar>
        </w:tblPrEx>
        <w:tc>
          <w:tcPr>
            <w:tcW w:w="509" w:type="pct"/>
            <w:shd w:val="clear" w:color="auto" w:fill="auto"/>
          </w:tcPr>
          <w:p w14:paraId="6BE4CFE5" w14:textId="71BA9CAD" w:rsidR="000B18B0" w:rsidRPr="004D14B4" w:rsidRDefault="0008446C" w:rsidP="000B18B0">
            <w:pPr>
              <w:pStyle w:val="Tabletext"/>
              <w:spacing w:before="60" w:after="60"/>
              <w:rPr>
                <w:sz w:val="22"/>
                <w:szCs w:val="22"/>
              </w:rPr>
            </w:pPr>
            <w:r>
              <w:rPr>
                <w:sz w:val="22"/>
                <w:szCs w:val="22"/>
              </w:rPr>
              <w:t>2766</w:t>
            </w:r>
          </w:p>
        </w:tc>
        <w:tc>
          <w:tcPr>
            <w:tcW w:w="3042" w:type="pct"/>
            <w:shd w:val="clear" w:color="auto" w:fill="auto"/>
          </w:tcPr>
          <w:p w14:paraId="7A42E340" w14:textId="77777777" w:rsidR="000B18B0" w:rsidRPr="00D725BB" w:rsidRDefault="000B18B0" w:rsidP="00B03116">
            <w:pPr>
              <w:rPr>
                <w:rFonts w:cs="Arial"/>
                <w:b/>
                <w:iCs/>
                <w:szCs w:val="22"/>
              </w:rPr>
            </w:pPr>
            <w:bookmarkStart w:id="12" w:name="OLE_LINK5"/>
            <w:bookmarkStart w:id="13" w:name="OLE_LINK6"/>
            <w:bookmarkStart w:id="14" w:name="Licensingfiles"/>
            <w:r w:rsidRPr="00D725BB">
              <w:rPr>
                <w:rFonts w:cs="Arial"/>
                <w:b/>
                <w:iCs/>
                <w:szCs w:val="22"/>
              </w:rPr>
              <w:t>Licensing files</w:t>
            </w:r>
          </w:p>
          <w:bookmarkEnd w:id="12"/>
          <w:bookmarkEnd w:id="13"/>
          <w:bookmarkEnd w:id="14"/>
          <w:p w14:paraId="7314F5A6" w14:textId="437AB6C8" w:rsidR="000B18B0" w:rsidRPr="004D08D2" w:rsidRDefault="000B18B0" w:rsidP="00B03116">
            <w:pPr>
              <w:spacing w:line="276" w:lineRule="auto"/>
              <w:rPr>
                <w:rFonts w:cs="Arial"/>
                <w:szCs w:val="22"/>
              </w:rPr>
            </w:pPr>
            <w:r w:rsidRPr="004D08D2">
              <w:rPr>
                <w:rFonts w:cs="Arial"/>
                <w:szCs w:val="22"/>
              </w:rPr>
              <w:t xml:space="preserve">Records relating to licences issued by the </w:t>
            </w:r>
            <w:r>
              <w:rPr>
                <w:rFonts w:cs="Arial"/>
                <w:szCs w:val="22"/>
              </w:rPr>
              <w:t>Queensland Building &amp; Construction Commission</w:t>
            </w:r>
            <w:r w:rsidRPr="004D08D2">
              <w:rPr>
                <w:rFonts w:cs="Arial"/>
                <w:szCs w:val="22"/>
              </w:rPr>
              <w:t xml:space="preserve"> under</w:t>
            </w:r>
            <w:r>
              <w:rPr>
                <w:rFonts w:cs="Arial"/>
                <w:szCs w:val="22"/>
              </w:rPr>
              <w:t xml:space="preserve"> s.</w:t>
            </w:r>
            <w:r w:rsidRPr="004D08D2">
              <w:rPr>
                <w:rFonts w:cs="Arial"/>
                <w:szCs w:val="22"/>
              </w:rPr>
              <w:t xml:space="preserve">30 of the </w:t>
            </w:r>
            <w:r w:rsidRPr="00B03116">
              <w:rPr>
                <w:rFonts w:cs="Arial"/>
                <w:i/>
                <w:iCs/>
                <w:szCs w:val="22"/>
              </w:rPr>
              <w:t>QBCC Act 1991</w:t>
            </w:r>
            <w:r>
              <w:rPr>
                <w:rFonts w:cs="Arial"/>
                <w:szCs w:val="22"/>
              </w:rPr>
              <w:t xml:space="preserve"> and granting of licences per s.12 of the </w:t>
            </w:r>
            <w:r w:rsidRPr="00B03116">
              <w:rPr>
                <w:rFonts w:cs="Arial"/>
                <w:i/>
                <w:iCs/>
                <w:szCs w:val="22"/>
              </w:rPr>
              <w:t>Plumbing and Drainage Act 2018</w:t>
            </w:r>
            <w:r>
              <w:rPr>
                <w:rFonts w:cs="Arial"/>
                <w:szCs w:val="22"/>
              </w:rPr>
              <w:t xml:space="preserve">. </w:t>
            </w:r>
          </w:p>
          <w:p w14:paraId="0620D4A0" w14:textId="4E4D8D87" w:rsidR="000B18B0" w:rsidRPr="004D08D2" w:rsidRDefault="004E018E" w:rsidP="00B03116">
            <w:pPr>
              <w:spacing w:line="276" w:lineRule="auto"/>
              <w:rPr>
                <w:rFonts w:cs="Arial"/>
                <w:szCs w:val="22"/>
              </w:rPr>
            </w:pPr>
            <w:r>
              <w:rPr>
                <w:rFonts w:cs="Arial"/>
                <w:szCs w:val="22"/>
              </w:rPr>
              <w:t>Records may include</w:t>
            </w:r>
            <w:r w:rsidR="000B18B0" w:rsidRPr="004D08D2">
              <w:rPr>
                <w:rFonts w:cs="Arial"/>
                <w:szCs w:val="22"/>
              </w:rPr>
              <w:t xml:space="preserve">, but are not limited to: </w:t>
            </w:r>
          </w:p>
          <w:p w14:paraId="3489A038" w14:textId="30632191" w:rsidR="000B18B0" w:rsidRPr="00D01480" w:rsidRDefault="000B18B0" w:rsidP="008D19B9">
            <w:pPr>
              <w:numPr>
                <w:ilvl w:val="0"/>
                <w:numId w:val="6"/>
              </w:numPr>
              <w:ind w:left="714" w:hanging="357"/>
              <w:jc w:val="both"/>
              <w:rPr>
                <w:rFonts w:cs="Arial"/>
                <w:szCs w:val="22"/>
              </w:rPr>
            </w:pPr>
            <w:r w:rsidRPr="00D01480">
              <w:rPr>
                <w:rFonts w:cs="Arial"/>
                <w:szCs w:val="22"/>
              </w:rPr>
              <w:t xml:space="preserve">Applications for </w:t>
            </w:r>
            <w:r w:rsidR="00ED6245">
              <w:rPr>
                <w:rFonts w:cs="Arial"/>
                <w:szCs w:val="22"/>
              </w:rPr>
              <w:t>g</w:t>
            </w:r>
            <w:r w:rsidRPr="00D01480">
              <w:rPr>
                <w:rFonts w:cs="Arial"/>
                <w:szCs w:val="22"/>
              </w:rPr>
              <w:t xml:space="preserve">rant of </w:t>
            </w:r>
            <w:r>
              <w:rPr>
                <w:rFonts w:cs="Arial"/>
                <w:szCs w:val="22"/>
              </w:rPr>
              <w:t>L</w:t>
            </w:r>
            <w:r w:rsidRPr="00D01480">
              <w:rPr>
                <w:rFonts w:cs="Arial"/>
                <w:szCs w:val="22"/>
              </w:rPr>
              <w:t>icence</w:t>
            </w:r>
            <w:r>
              <w:rPr>
                <w:rFonts w:cs="Arial"/>
                <w:szCs w:val="22"/>
              </w:rPr>
              <w:t xml:space="preserve"> and Renewals</w:t>
            </w:r>
            <w:r w:rsidRPr="00D01480">
              <w:rPr>
                <w:rFonts w:cs="Arial"/>
                <w:szCs w:val="22"/>
              </w:rPr>
              <w:t xml:space="preserve"> </w:t>
            </w:r>
          </w:p>
          <w:p w14:paraId="1ED450A0" w14:textId="4839AF43" w:rsidR="000B18B0" w:rsidRPr="004D08D2" w:rsidRDefault="000B18B0" w:rsidP="008D19B9">
            <w:pPr>
              <w:numPr>
                <w:ilvl w:val="0"/>
                <w:numId w:val="6"/>
              </w:numPr>
              <w:ind w:left="714" w:hanging="357"/>
              <w:jc w:val="both"/>
              <w:rPr>
                <w:rFonts w:cs="Arial"/>
                <w:szCs w:val="22"/>
              </w:rPr>
            </w:pPr>
            <w:r>
              <w:rPr>
                <w:rFonts w:cs="Arial"/>
                <w:szCs w:val="22"/>
              </w:rPr>
              <w:t>S</w:t>
            </w:r>
            <w:r w:rsidRPr="004D08D2">
              <w:rPr>
                <w:rFonts w:cs="Arial"/>
                <w:szCs w:val="22"/>
              </w:rPr>
              <w:t xml:space="preserve">tatutory </w:t>
            </w:r>
            <w:r>
              <w:rPr>
                <w:rFonts w:cs="Arial"/>
                <w:szCs w:val="22"/>
              </w:rPr>
              <w:t>N</w:t>
            </w:r>
            <w:r w:rsidRPr="004D08D2">
              <w:rPr>
                <w:rFonts w:cs="Arial"/>
                <w:szCs w:val="22"/>
              </w:rPr>
              <w:t>otices</w:t>
            </w:r>
            <w:r>
              <w:rPr>
                <w:rFonts w:cs="Arial"/>
                <w:szCs w:val="22"/>
              </w:rPr>
              <w:t xml:space="preserve"> </w:t>
            </w:r>
            <w:r w:rsidR="00ED6245">
              <w:rPr>
                <w:rFonts w:cs="Arial"/>
                <w:szCs w:val="22"/>
              </w:rPr>
              <w:t xml:space="preserve">and/or </w:t>
            </w:r>
            <w:r>
              <w:rPr>
                <w:rFonts w:cs="Arial"/>
                <w:szCs w:val="22"/>
              </w:rPr>
              <w:t>Renewals etc.</w:t>
            </w:r>
          </w:p>
          <w:p w14:paraId="0C635492" w14:textId="7F450601" w:rsidR="000B18B0" w:rsidRPr="004D08D2" w:rsidRDefault="000B18B0" w:rsidP="008D19B9">
            <w:pPr>
              <w:numPr>
                <w:ilvl w:val="0"/>
                <w:numId w:val="6"/>
              </w:numPr>
              <w:ind w:left="714" w:hanging="357"/>
              <w:jc w:val="both"/>
              <w:rPr>
                <w:rFonts w:cs="Arial"/>
                <w:szCs w:val="22"/>
              </w:rPr>
            </w:pPr>
            <w:r>
              <w:rPr>
                <w:rFonts w:cs="Arial"/>
                <w:szCs w:val="22"/>
              </w:rPr>
              <w:t>A</w:t>
            </w:r>
            <w:r w:rsidRPr="004D08D2">
              <w:rPr>
                <w:rFonts w:cs="Arial"/>
                <w:szCs w:val="22"/>
              </w:rPr>
              <w:t xml:space="preserve">pplications for </w:t>
            </w:r>
            <w:r>
              <w:rPr>
                <w:rFonts w:cs="Arial"/>
                <w:szCs w:val="22"/>
              </w:rPr>
              <w:t xml:space="preserve">Licence Restorations or </w:t>
            </w:r>
            <w:r w:rsidR="00ED6245">
              <w:rPr>
                <w:rFonts w:cs="Arial"/>
                <w:szCs w:val="22"/>
              </w:rPr>
              <w:t>R</w:t>
            </w:r>
            <w:r>
              <w:rPr>
                <w:rFonts w:cs="Arial"/>
                <w:szCs w:val="22"/>
              </w:rPr>
              <w:t>einstatements</w:t>
            </w:r>
          </w:p>
          <w:p w14:paraId="59B015D1" w14:textId="53A628A2" w:rsidR="000B18B0" w:rsidRDefault="000B18B0" w:rsidP="008D19B9">
            <w:pPr>
              <w:numPr>
                <w:ilvl w:val="0"/>
                <w:numId w:val="6"/>
              </w:numPr>
              <w:ind w:left="714" w:hanging="357"/>
              <w:jc w:val="both"/>
              <w:rPr>
                <w:rFonts w:cs="Arial"/>
                <w:szCs w:val="22"/>
              </w:rPr>
            </w:pPr>
            <w:r w:rsidRPr="002475D8">
              <w:rPr>
                <w:rFonts w:cs="Arial"/>
                <w:szCs w:val="22"/>
              </w:rPr>
              <w:t xml:space="preserve">Qualifications and/or Change of Details </w:t>
            </w:r>
          </w:p>
          <w:p w14:paraId="6B3FFA19" w14:textId="305CD57D" w:rsidR="000B18B0" w:rsidRPr="002475D8" w:rsidRDefault="000B18B0" w:rsidP="008D19B9">
            <w:pPr>
              <w:numPr>
                <w:ilvl w:val="0"/>
                <w:numId w:val="6"/>
              </w:numPr>
              <w:ind w:left="714" w:hanging="357"/>
              <w:jc w:val="both"/>
              <w:rPr>
                <w:rFonts w:cs="Arial"/>
                <w:szCs w:val="22"/>
              </w:rPr>
            </w:pPr>
            <w:r>
              <w:rPr>
                <w:rFonts w:cs="Arial"/>
                <w:szCs w:val="22"/>
              </w:rPr>
              <w:t xml:space="preserve">Surrendered Licence Cards (due to retirement etc.) </w:t>
            </w:r>
          </w:p>
          <w:p w14:paraId="6E982F56" w14:textId="3009392C" w:rsidR="000B18B0" w:rsidRPr="004375B8" w:rsidRDefault="000B18B0" w:rsidP="008D19B9">
            <w:pPr>
              <w:numPr>
                <w:ilvl w:val="0"/>
                <w:numId w:val="6"/>
              </w:numPr>
              <w:ind w:left="714" w:hanging="357"/>
              <w:rPr>
                <w:rFonts w:cs="Arial"/>
                <w:szCs w:val="22"/>
              </w:rPr>
            </w:pPr>
            <w:r w:rsidRPr="004375B8">
              <w:rPr>
                <w:rFonts w:cs="Arial"/>
                <w:szCs w:val="22"/>
              </w:rPr>
              <w:t>Supporting documents for licences (e.g. Independent Review R</w:t>
            </w:r>
            <w:r>
              <w:rPr>
                <w:rFonts w:cs="Arial"/>
                <w:szCs w:val="22"/>
              </w:rPr>
              <w:t xml:space="preserve">eports, </w:t>
            </w:r>
            <w:r w:rsidR="00ED6245">
              <w:rPr>
                <w:rFonts w:cs="Arial"/>
                <w:szCs w:val="22"/>
              </w:rPr>
              <w:t xml:space="preserve">Deeds, </w:t>
            </w:r>
            <w:r>
              <w:rPr>
                <w:rFonts w:cs="Arial"/>
                <w:szCs w:val="22"/>
              </w:rPr>
              <w:t>F</w:t>
            </w:r>
            <w:r w:rsidRPr="004375B8">
              <w:rPr>
                <w:rFonts w:cs="Arial"/>
                <w:szCs w:val="22"/>
              </w:rPr>
              <w:t xml:space="preserve">inancial Information </w:t>
            </w:r>
            <w:r w:rsidR="00ED6245">
              <w:rPr>
                <w:rFonts w:cs="Arial"/>
                <w:szCs w:val="22"/>
              </w:rPr>
              <w:t>etc.</w:t>
            </w:r>
            <w:r w:rsidRPr="004375B8">
              <w:rPr>
                <w:rFonts w:cs="Arial"/>
                <w:szCs w:val="22"/>
              </w:rPr>
              <w:t>)</w:t>
            </w:r>
          </w:p>
          <w:p w14:paraId="7861C923" w14:textId="5B4969A5" w:rsidR="000B18B0" w:rsidRPr="004375B8" w:rsidRDefault="000B18B0" w:rsidP="008D19B9">
            <w:pPr>
              <w:numPr>
                <w:ilvl w:val="0"/>
                <w:numId w:val="6"/>
              </w:numPr>
              <w:ind w:left="714" w:hanging="357"/>
              <w:jc w:val="both"/>
              <w:rPr>
                <w:rFonts w:cs="Arial"/>
                <w:szCs w:val="22"/>
              </w:rPr>
            </w:pPr>
            <w:r w:rsidRPr="004375B8">
              <w:rPr>
                <w:rFonts w:cs="Arial"/>
                <w:szCs w:val="22"/>
              </w:rPr>
              <w:t>Fire Protection / Mutual Recognition</w:t>
            </w:r>
          </w:p>
          <w:p w14:paraId="4F6B195F" w14:textId="2B13AA29" w:rsidR="000B18B0" w:rsidRPr="000E3B21" w:rsidRDefault="000B18B0" w:rsidP="008D19B9">
            <w:pPr>
              <w:numPr>
                <w:ilvl w:val="0"/>
                <w:numId w:val="6"/>
              </w:numPr>
              <w:ind w:left="714" w:hanging="357"/>
              <w:jc w:val="both"/>
              <w:rPr>
                <w:rFonts w:cs="Arial"/>
                <w:szCs w:val="22"/>
              </w:rPr>
            </w:pPr>
            <w:r w:rsidRPr="000E3B21">
              <w:rPr>
                <w:rFonts w:cs="Arial"/>
                <w:szCs w:val="22"/>
              </w:rPr>
              <w:t>Plumbers, Drainers or Plumbing / Drainage Restricted Licence &amp; PAD Renewals</w:t>
            </w:r>
          </w:p>
          <w:p w14:paraId="5ED3933A" w14:textId="1ECCDDFF" w:rsidR="000B18B0" w:rsidRPr="000E3B21" w:rsidRDefault="000B18B0" w:rsidP="008D19B9">
            <w:pPr>
              <w:numPr>
                <w:ilvl w:val="0"/>
                <w:numId w:val="6"/>
              </w:numPr>
              <w:ind w:left="714" w:hanging="357"/>
              <w:rPr>
                <w:rFonts w:cs="Arial"/>
                <w:szCs w:val="22"/>
              </w:rPr>
            </w:pPr>
            <w:r w:rsidRPr="000E3B21">
              <w:rPr>
                <w:rFonts w:cs="Arial"/>
                <w:szCs w:val="22"/>
              </w:rPr>
              <w:t>Endorsement Applications (Form 24) for updating / adding technical qualifications</w:t>
            </w:r>
            <w:r>
              <w:rPr>
                <w:rFonts w:cs="Arial"/>
                <w:szCs w:val="22"/>
              </w:rPr>
              <w:t xml:space="preserve">                           </w:t>
            </w:r>
            <w:r w:rsidRPr="000E3B21">
              <w:rPr>
                <w:rFonts w:cs="Arial"/>
                <w:szCs w:val="22"/>
              </w:rPr>
              <w:t xml:space="preserve"> to Plumbing Drainage Occupational Licence</w:t>
            </w:r>
          </w:p>
          <w:p w14:paraId="128B0D91" w14:textId="331B591F" w:rsidR="000B18B0" w:rsidRPr="000E3B21" w:rsidRDefault="000B18B0" w:rsidP="008D19B9">
            <w:pPr>
              <w:numPr>
                <w:ilvl w:val="0"/>
                <w:numId w:val="6"/>
              </w:numPr>
              <w:ind w:left="714" w:hanging="357"/>
              <w:jc w:val="both"/>
              <w:rPr>
                <w:rFonts w:cs="Arial"/>
                <w:szCs w:val="22"/>
              </w:rPr>
            </w:pPr>
            <w:r w:rsidRPr="000E3B21">
              <w:rPr>
                <w:rFonts w:cs="Arial"/>
                <w:szCs w:val="22"/>
              </w:rPr>
              <w:t>Applications and Renewals for Pool Registration</w:t>
            </w:r>
          </w:p>
          <w:p w14:paraId="6A13A93D" w14:textId="77777777" w:rsidR="000B18B0" w:rsidRPr="000E3B21" w:rsidRDefault="000B18B0" w:rsidP="008D19B9">
            <w:pPr>
              <w:numPr>
                <w:ilvl w:val="0"/>
                <w:numId w:val="6"/>
              </w:numPr>
              <w:ind w:left="714" w:hanging="357"/>
              <w:jc w:val="both"/>
              <w:rPr>
                <w:rFonts w:cs="Arial"/>
                <w:szCs w:val="22"/>
              </w:rPr>
            </w:pPr>
            <w:r w:rsidRPr="000E3B21">
              <w:rPr>
                <w:rFonts w:cs="Arial"/>
                <w:szCs w:val="22"/>
              </w:rPr>
              <w:t>Applications and Renewals for Pool Safety Inspector Licence</w:t>
            </w:r>
          </w:p>
          <w:p w14:paraId="04FE29BC" w14:textId="77777777" w:rsidR="000B18B0" w:rsidRPr="001F1312" w:rsidRDefault="000B18B0" w:rsidP="008D19B9">
            <w:pPr>
              <w:numPr>
                <w:ilvl w:val="0"/>
                <w:numId w:val="6"/>
              </w:numPr>
              <w:ind w:left="714" w:hanging="357"/>
              <w:jc w:val="both"/>
              <w:rPr>
                <w:rFonts w:cs="Arial"/>
                <w:szCs w:val="22"/>
              </w:rPr>
            </w:pPr>
            <w:r w:rsidRPr="000E3B21">
              <w:rPr>
                <w:rFonts w:cs="Arial"/>
                <w:szCs w:val="22"/>
              </w:rPr>
              <w:t>Notice of Change in Circumstances (Form 26)</w:t>
            </w:r>
          </w:p>
          <w:p w14:paraId="05F0B561" w14:textId="60873548" w:rsidR="000B18B0" w:rsidRPr="001F1312" w:rsidRDefault="000B18B0" w:rsidP="008D19B9">
            <w:pPr>
              <w:numPr>
                <w:ilvl w:val="0"/>
                <w:numId w:val="6"/>
              </w:numPr>
              <w:ind w:left="714" w:hanging="357"/>
              <w:jc w:val="both"/>
              <w:rPr>
                <w:rFonts w:cs="Arial"/>
                <w:szCs w:val="22"/>
              </w:rPr>
            </w:pPr>
            <w:r w:rsidRPr="001F1312">
              <w:rPr>
                <w:rFonts w:cs="Arial"/>
                <w:szCs w:val="22"/>
              </w:rPr>
              <w:t>Building Certifier Licensing</w:t>
            </w:r>
          </w:p>
        </w:tc>
        <w:tc>
          <w:tcPr>
            <w:tcW w:w="900" w:type="pct"/>
            <w:shd w:val="clear" w:color="auto" w:fill="auto"/>
          </w:tcPr>
          <w:p w14:paraId="0E1AAC61" w14:textId="5C8E12C8" w:rsidR="000B18B0" w:rsidRDefault="000B18B0" w:rsidP="000B18B0">
            <w:r>
              <w:rPr>
                <w:rFonts w:cs="Arial"/>
                <w:szCs w:val="22"/>
                <w:lang w:eastAsia="en-AU"/>
              </w:rPr>
              <w:t xml:space="preserve">60 </w:t>
            </w:r>
            <w:r w:rsidRPr="002B2303">
              <w:rPr>
                <w:rFonts w:cs="Arial"/>
                <w:szCs w:val="22"/>
                <w:lang w:eastAsia="en-AU"/>
              </w:rPr>
              <w:t>years after</w:t>
            </w:r>
            <w:r>
              <w:rPr>
                <w:rFonts w:cs="Arial"/>
                <w:szCs w:val="22"/>
                <w:lang w:eastAsia="en-AU"/>
              </w:rPr>
              <w:t xml:space="preserve"> </w:t>
            </w:r>
            <w:r w:rsidRPr="002B2303">
              <w:rPr>
                <w:rFonts w:cs="Arial"/>
                <w:szCs w:val="22"/>
                <w:lang w:eastAsia="en-AU"/>
              </w:rPr>
              <w:t>registration</w:t>
            </w:r>
            <w:r>
              <w:rPr>
                <w:rFonts w:cs="Arial"/>
                <w:szCs w:val="22"/>
                <w:lang w:eastAsia="en-AU"/>
              </w:rPr>
              <w:t xml:space="preserve"> of licence</w:t>
            </w:r>
            <w:r>
              <w:t xml:space="preserve">          </w:t>
            </w:r>
          </w:p>
          <w:p w14:paraId="7FE84FE6" w14:textId="51872462" w:rsidR="000B18B0" w:rsidRDefault="000B18B0" w:rsidP="000B18B0">
            <w:r>
              <w:t xml:space="preserve"> </w:t>
            </w:r>
            <w:r>
              <w:rPr>
                <w:color w:val="FF0000"/>
              </w:rPr>
              <w:t xml:space="preserve">           </w:t>
            </w:r>
            <w:r>
              <w:t>OR</w:t>
            </w:r>
          </w:p>
          <w:p w14:paraId="488BA2C3" w14:textId="0CF9BFDA" w:rsidR="000B18B0" w:rsidRDefault="000B18B0" w:rsidP="000B18B0">
            <w:r>
              <w:t>12 years after cessation of a licence for a registered business or company</w:t>
            </w:r>
          </w:p>
          <w:p w14:paraId="63EBCE90" w14:textId="77777777" w:rsidR="000B18B0" w:rsidRDefault="000B18B0" w:rsidP="000B18B0">
            <w:r>
              <w:t xml:space="preserve"> </w:t>
            </w:r>
            <w:r>
              <w:rPr>
                <w:color w:val="FF0000"/>
              </w:rPr>
              <w:t xml:space="preserve">           </w:t>
            </w:r>
            <w:r>
              <w:t>OR</w:t>
            </w:r>
          </w:p>
          <w:p w14:paraId="07DE778D" w14:textId="23E87518" w:rsidR="000B18B0" w:rsidRPr="00B47735" w:rsidRDefault="000B18B0" w:rsidP="000B18B0">
            <w:r>
              <w:rPr>
                <w:rFonts w:cs="Arial"/>
                <w:szCs w:val="22"/>
                <w:lang w:eastAsia="en-AU"/>
              </w:rPr>
              <w:t>3</w:t>
            </w:r>
            <w:r w:rsidRPr="00874912">
              <w:rPr>
                <w:rFonts w:cs="Arial"/>
                <w:szCs w:val="22"/>
                <w:lang w:eastAsia="en-AU"/>
              </w:rPr>
              <w:t xml:space="preserve"> years after </w:t>
            </w:r>
            <w:r>
              <w:rPr>
                <w:rFonts w:cs="Arial"/>
                <w:szCs w:val="22"/>
                <w:lang w:eastAsia="en-AU"/>
              </w:rPr>
              <w:t>death of licensee</w:t>
            </w:r>
            <w:r w:rsidRPr="00874912">
              <w:rPr>
                <w:rFonts w:cs="Arial"/>
                <w:szCs w:val="22"/>
                <w:lang w:eastAsia="en-AU"/>
              </w:rPr>
              <w:t>.</w:t>
            </w:r>
          </w:p>
        </w:tc>
        <w:tc>
          <w:tcPr>
            <w:tcW w:w="549" w:type="pct"/>
          </w:tcPr>
          <w:p w14:paraId="7C9D15D7" w14:textId="2212926A" w:rsidR="000B18B0" w:rsidRDefault="00912862" w:rsidP="000B18B0">
            <w:r>
              <w:t>15 December 2023</w:t>
            </w:r>
          </w:p>
        </w:tc>
      </w:tr>
      <w:tr w:rsidR="000B18B0" w:rsidRPr="004D14B4" w14:paraId="3133929F" w14:textId="77777777" w:rsidTr="006911D1">
        <w:tblPrEx>
          <w:tblCellMar>
            <w:top w:w="57" w:type="dxa"/>
            <w:left w:w="119" w:type="dxa"/>
            <w:right w:w="119" w:type="dxa"/>
          </w:tblCellMar>
        </w:tblPrEx>
        <w:tc>
          <w:tcPr>
            <w:tcW w:w="509" w:type="pct"/>
            <w:shd w:val="clear" w:color="auto" w:fill="auto"/>
          </w:tcPr>
          <w:p w14:paraId="63C75763" w14:textId="183A5186" w:rsidR="000B18B0" w:rsidRDefault="00912A85" w:rsidP="000B18B0">
            <w:pPr>
              <w:pStyle w:val="Tabletext"/>
              <w:spacing w:before="60" w:after="60"/>
              <w:rPr>
                <w:sz w:val="22"/>
                <w:szCs w:val="22"/>
              </w:rPr>
            </w:pPr>
            <w:r>
              <w:rPr>
                <w:sz w:val="22"/>
                <w:szCs w:val="22"/>
              </w:rPr>
              <w:t>2767</w:t>
            </w:r>
          </w:p>
        </w:tc>
        <w:tc>
          <w:tcPr>
            <w:tcW w:w="3042" w:type="pct"/>
            <w:shd w:val="clear" w:color="auto" w:fill="auto"/>
          </w:tcPr>
          <w:p w14:paraId="500DE08E" w14:textId="4D091A96" w:rsidR="000B18B0" w:rsidRPr="00D725BB" w:rsidRDefault="000B18B0" w:rsidP="00B03116">
            <w:pPr>
              <w:ind w:left="34" w:hanging="34"/>
              <w:rPr>
                <w:rFonts w:cs="Arial"/>
                <w:b/>
                <w:iCs/>
                <w:szCs w:val="22"/>
              </w:rPr>
            </w:pPr>
            <w:r w:rsidRPr="00D725BB">
              <w:rPr>
                <w:rFonts w:cs="Arial"/>
                <w:b/>
                <w:iCs/>
                <w:szCs w:val="22"/>
              </w:rPr>
              <w:t>Licensing Exemptions</w:t>
            </w:r>
          </w:p>
          <w:p w14:paraId="071EE437" w14:textId="346E3457" w:rsidR="000B18B0" w:rsidRPr="001321A9" w:rsidRDefault="000B18B0" w:rsidP="00B03116">
            <w:pPr>
              <w:ind w:left="34" w:hanging="34"/>
              <w:rPr>
                <w:rFonts w:cs="Arial"/>
                <w:szCs w:val="22"/>
              </w:rPr>
            </w:pPr>
            <w:r w:rsidRPr="001321A9">
              <w:rPr>
                <w:rFonts w:cs="Arial"/>
                <w:szCs w:val="22"/>
              </w:rPr>
              <w:t xml:space="preserve">Records relating to applications for exemption from licensing requirements </w:t>
            </w:r>
            <w:r>
              <w:rPr>
                <w:rFonts w:cs="Arial"/>
                <w:szCs w:val="22"/>
              </w:rPr>
              <w:t xml:space="preserve">per schedule 1(10) of QBCC Regulation 2018 </w:t>
            </w:r>
            <w:r w:rsidRPr="001321A9">
              <w:rPr>
                <w:rFonts w:cs="Arial"/>
                <w:szCs w:val="22"/>
              </w:rPr>
              <w:t>for charitable or co</w:t>
            </w:r>
            <w:r>
              <w:rPr>
                <w:rFonts w:cs="Arial"/>
                <w:szCs w:val="22"/>
              </w:rPr>
              <w:t>mmunity organisations.</w:t>
            </w:r>
          </w:p>
          <w:p w14:paraId="4725D0C5" w14:textId="4E360820" w:rsidR="000B18B0" w:rsidRPr="001321A9" w:rsidRDefault="004E018E" w:rsidP="00B03116">
            <w:pPr>
              <w:ind w:left="34" w:hanging="34"/>
              <w:rPr>
                <w:rFonts w:cs="Arial"/>
                <w:szCs w:val="22"/>
              </w:rPr>
            </w:pPr>
            <w:r>
              <w:rPr>
                <w:rFonts w:cs="Arial"/>
                <w:szCs w:val="22"/>
              </w:rPr>
              <w:lastRenderedPageBreak/>
              <w:t>Records may include</w:t>
            </w:r>
            <w:r w:rsidR="000B18B0" w:rsidRPr="001321A9">
              <w:rPr>
                <w:rFonts w:cs="Arial"/>
                <w:szCs w:val="22"/>
              </w:rPr>
              <w:t>, but are not limited to:</w:t>
            </w:r>
          </w:p>
          <w:p w14:paraId="699FCD80" w14:textId="7D804805" w:rsidR="000B18B0" w:rsidRPr="00080A21" w:rsidRDefault="000B18B0" w:rsidP="008D19B9">
            <w:pPr>
              <w:numPr>
                <w:ilvl w:val="0"/>
                <w:numId w:val="6"/>
              </w:numPr>
              <w:ind w:left="714" w:hanging="357"/>
              <w:jc w:val="both"/>
              <w:rPr>
                <w:rFonts w:cs="Arial"/>
                <w:szCs w:val="22"/>
                <w:lang w:eastAsia="en-AU"/>
              </w:rPr>
            </w:pPr>
            <w:r w:rsidRPr="00080A21">
              <w:rPr>
                <w:rFonts w:cs="Arial"/>
                <w:szCs w:val="22"/>
                <w:lang w:eastAsia="en-AU"/>
              </w:rPr>
              <w:t>Application</w:t>
            </w:r>
            <w:r>
              <w:rPr>
                <w:rFonts w:cs="Arial"/>
                <w:szCs w:val="22"/>
                <w:lang w:eastAsia="en-AU"/>
              </w:rPr>
              <w:t xml:space="preserve">s, </w:t>
            </w:r>
            <w:r w:rsidRPr="00080A21">
              <w:rPr>
                <w:rFonts w:cs="Arial"/>
                <w:szCs w:val="22"/>
                <w:lang w:eastAsia="en-AU"/>
              </w:rPr>
              <w:t xml:space="preserve">copies of relevant </w:t>
            </w:r>
            <w:r>
              <w:rPr>
                <w:rFonts w:cs="Arial"/>
                <w:szCs w:val="22"/>
                <w:lang w:eastAsia="en-AU"/>
              </w:rPr>
              <w:t>q</w:t>
            </w:r>
            <w:r w:rsidRPr="00080A21">
              <w:rPr>
                <w:rFonts w:cs="Arial"/>
                <w:szCs w:val="22"/>
                <w:lang w:eastAsia="en-AU"/>
              </w:rPr>
              <w:t>ualifications</w:t>
            </w:r>
            <w:r>
              <w:rPr>
                <w:rFonts w:cs="Arial"/>
                <w:szCs w:val="22"/>
                <w:lang w:eastAsia="en-AU"/>
              </w:rPr>
              <w:t xml:space="preserve"> and/or r</w:t>
            </w:r>
            <w:r w:rsidRPr="00080A21">
              <w:rPr>
                <w:rFonts w:cs="Arial"/>
                <w:szCs w:val="22"/>
                <w:lang w:eastAsia="en-AU"/>
              </w:rPr>
              <w:t>eferences</w:t>
            </w:r>
          </w:p>
          <w:p w14:paraId="329B9EF0" w14:textId="47E5FE6C" w:rsidR="000B18B0" w:rsidRPr="001321A9" w:rsidRDefault="000B18B0" w:rsidP="008D19B9">
            <w:pPr>
              <w:numPr>
                <w:ilvl w:val="0"/>
                <w:numId w:val="6"/>
              </w:numPr>
              <w:ind w:left="714" w:hanging="357"/>
              <w:jc w:val="both"/>
              <w:rPr>
                <w:rFonts w:cs="Arial"/>
                <w:szCs w:val="22"/>
              </w:rPr>
            </w:pPr>
            <w:r>
              <w:rPr>
                <w:rFonts w:cs="Arial"/>
                <w:szCs w:val="22"/>
                <w:lang w:eastAsia="en-AU"/>
              </w:rPr>
              <w:t>P</w:t>
            </w:r>
            <w:r w:rsidRPr="001321A9">
              <w:rPr>
                <w:rFonts w:cs="Arial"/>
                <w:szCs w:val="22"/>
                <w:lang w:eastAsia="en-AU"/>
              </w:rPr>
              <w:t xml:space="preserve">lans of the </w:t>
            </w:r>
            <w:r>
              <w:rPr>
                <w:rFonts w:cs="Arial"/>
                <w:szCs w:val="22"/>
                <w:lang w:eastAsia="en-AU"/>
              </w:rPr>
              <w:t>W</w:t>
            </w:r>
            <w:r w:rsidRPr="001321A9">
              <w:rPr>
                <w:rFonts w:cs="Arial"/>
                <w:szCs w:val="22"/>
                <w:lang w:eastAsia="en-AU"/>
              </w:rPr>
              <w:t xml:space="preserve">ork to be </w:t>
            </w:r>
            <w:r>
              <w:rPr>
                <w:rFonts w:cs="Arial"/>
                <w:szCs w:val="22"/>
                <w:lang w:eastAsia="en-AU"/>
              </w:rPr>
              <w:t>c</w:t>
            </w:r>
            <w:r w:rsidRPr="001321A9">
              <w:rPr>
                <w:rFonts w:cs="Arial"/>
                <w:szCs w:val="22"/>
                <w:lang w:eastAsia="en-AU"/>
              </w:rPr>
              <w:t xml:space="preserve">arried </w:t>
            </w:r>
            <w:r>
              <w:rPr>
                <w:rFonts w:cs="Arial"/>
                <w:szCs w:val="22"/>
                <w:lang w:eastAsia="en-AU"/>
              </w:rPr>
              <w:t>o</w:t>
            </w:r>
            <w:r w:rsidRPr="001321A9">
              <w:rPr>
                <w:rFonts w:cs="Arial"/>
                <w:szCs w:val="22"/>
                <w:lang w:eastAsia="en-AU"/>
              </w:rPr>
              <w:t>ut.</w:t>
            </w:r>
          </w:p>
          <w:p w14:paraId="1FCB8C6A" w14:textId="77777777" w:rsidR="000B18B0" w:rsidRPr="004375B8" w:rsidRDefault="000B18B0" w:rsidP="008D19B9">
            <w:pPr>
              <w:numPr>
                <w:ilvl w:val="0"/>
                <w:numId w:val="6"/>
              </w:numPr>
              <w:ind w:left="714" w:hanging="357"/>
              <w:jc w:val="both"/>
              <w:rPr>
                <w:rFonts w:cs="Arial"/>
                <w:szCs w:val="22"/>
                <w:lang w:eastAsia="en-AU"/>
              </w:rPr>
            </w:pPr>
            <w:r w:rsidRPr="0002009F">
              <w:rPr>
                <w:rFonts w:cs="Arial"/>
                <w:szCs w:val="22"/>
                <w:lang w:eastAsia="en-AU"/>
              </w:rPr>
              <w:t>Notice of Exemption</w:t>
            </w:r>
          </w:p>
          <w:p w14:paraId="71705704" w14:textId="4B587401" w:rsidR="000B18B0" w:rsidRPr="003906F2" w:rsidRDefault="000B18B0" w:rsidP="008D19B9">
            <w:pPr>
              <w:numPr>
                <w:ilvl w:val="0"/>
                <w:numId w:val="6"/>
              </w:numPr>
              <w:ind w:left="714" w:hanging="357"/>
              <w:jc w:val="both"/>
              <w:rPr>
                <w:rFonts w:cs="Arial"/>
                <w:szCs w:val="22"/>
              </w:rPr>
            </w:pPr>
            <w:r>
              <w:rPr>
                <w:rFonts w:cs="Arial"/>
                <w:szCs w:val="22"/>
                <w:lang w:eastAsia="en-AU"/>
              </w:rPr>
              <w:t>Unsuccessful and/or withdrawn applications</w:t>
            </w:r>
          </w:p>
        </w:tc>
        <w:tc>
          <w:tcPr>
            <w:tcW w:w="900" w:type="pct"/>
            <w:shd w:val="clear" w:color="auto" w:fill="auto"/>
          </w:tcPr>
          <w:p w14:paraId="7DC71D6D" w14:textId="0EB2A48F" w:rsidR="000B18B0" w:rsidRDefault="000B18B0" w:rsidP="000B18B0">
            <w:pPr>
              <w:rPr>
                <w:rFonts w:cs="Arial"/>
                <w:szCs w:val="22"/>
              </w:rPr>
            </w:pPr>
            <w:r>
              <w:rPr>
                <w:rFonts w:cs="Arial"/>
                <w:szCs w:val="22"/>
              </w:rPr>
              <w:lastRenderedPageBreak/>
              <w:t xml:space="preserve">7 </w:t>
            </w:r>
            <w:r w:rsidRPr="004B13E8">
              <w:rPr>
                <w:rFonts w:cs="Arial"/>
                <w:szCs w:val="22"/>
              </w:rPr>
              <w:t xml:space="preserve">years after </w:t>
            </w:r>
            <w:r>
              <w:rPr>
                <w:rFonts w:cs="Arial"/>
                <w:szCs w:val="22"/>
              </w:rPr>
              <w:t>business action completed</w:t>
            </w:r>
            <w:r w:rsidRPr="004B13E8">
              <w:rPr>
                <w:rFonts w:cs="Arial"/>
                <w:szCs w:val="22"/>
              </w:rPr>
              <w:t>.</w:t>
            </w:r>
          </w:p>
        </w:tc>
        <w:tc>
          <w:tcPr>
            <w:tcW w:w="549" w:type="pct"/>
          </w:tcPr>
          <w:p w14:paraId="5AC0CADE" w14:textId="18582A70" w:rsidR="000B18B0" w:rsidRDefault="00912862" w:rsidP="000B18B0">
            <w:r>
              <w:t>15 December 2023</w:t>
            </w:r>
          </w:p>
        </w:tc>
      </w:tr>
      <w:tr w:rsidR="000B18B0" w:rsidRPr="004D14B4" w14:paraId="7AB1D51A" w14:textId="77777777" w:rsidTr="006911D1">
        <w:tblPrEx>
          <w:tblCellMar>
            <w:top w:w="57" w:type="dxa"/>
            <w:left w:w="119" w:type="dxa"/>
            <w:right w:w="119" w:type="dxa"/>
          </w:tblCellMar>
        </w:tblPrEx>
        <w:tc>
          <w:tcPr>
            <w:tcW w:w="509" w:type="pct"/>
            <w:shd w:val="clear" w:color="auto" w:fill="auto"/>
          </w:tcPr>
          <w:p w14:paraId="7B3ADCAC" w14:textId="5B6FEE93" w:rsidR="000B18B0" w:rsidRDefault="00E03893" w:rsidP="000B18B0">
            <w:pPr>
              <w:pStyle w:val="Tabletext"/>
              <w:spacing w:before="60" w:after="60"/>
              <w:rPr>
                <w:sz w:val="22"/>
                <w:szCs w:val="22"/>
              </w:rPr>
            </w:pPr>
            <w:r>
              <w:rPr>
                <w:sz w:val="22"/>
                <w:szCs w:val="22"/>
              </w:rPr>
              <w:t>2768</w:t>
            </w:r>
          </w:p>
        </w:tc>
        <w:tc>
          <w:tcPr>
            <w:tcW w:w="3042" w:type="pct"/>
            <w:shd w:val="clear" w:color="auto" w:fill="auto"/>
          </w:tcPr>
          <w:p w14:paraId="2E15128E" w14:textId="5DF2B26B" w:rsidR="000B18B0" w:rsidRPr="00D725BB" w:rsidRDefault="000B18B0" w:rsidP="00B03116">
            <w:pPr>
              <w:keepNext/>
              <w:keepLines/>
              <w:ind w:left="34" w:hanging="34"/>
              <w:rPr>
                <w:rFonts w:cs="Arial"/>
                <w:b/>
                <w:iCs/>
                <w:szCs w:val="22"/>
              </w:rPr>
            </w:pPr>
            <w:r w:rsidRPr="00D725BB">
              <w:rPr>
                <w:rFonts w:cs="Arial"/>
                <w:b/>
                <w:iCs/>
                <w:szCs w:val="22"/>
              </w:rPr>
              <w:t>Owner Builder Permits</w:t>
            </w:r>
          </w:p>
          <w:p w14:paraId="79758CB4" w14:textId="1F0827BE" w:rsidR="000B18B0" w:rsidRPr="001D2979" w:rsidRDefault="000B18B0" w:rsidP="00B03116">
            <w:pPr>
              <w:keepNext/>
              <w:keepLines/>
              <w:ind w:left="34" w:hanging="34"/>
              <w:rPr>
                <w:rFonts w:cs="Arial"/>
                <w:szCs w:val="22"/>
              </w:rPr>
            </w:pPr>
            <w:r w:rsidRPr="006B7D9A">
              <w:rPr>
                <w:rFonts w:cs="Arial"/>
                <w:szCs w:val="22"/>
              </w:rPr>
              <w:t xml:space="preserve">Records relating to </w:t>
            </w:r>
            <w:r>
              <w:rPr>
                <w:rFonts w:cs="Arial"/>
                <w:szCs w:val="22"/>
              </w:rPr>
              <w:t>o</w:t>
            </w:r>
            <w:r w:rsidRPr="006B7D9A">
              <w:rPr>
                <w:rFonts w:cs="Arial"/>
                <w:szCs w:val="22"/>
              </w:rPr>
              <w:t xml:space="preserve">wner </w:t>
            </w:r>
            <w:r>
              <w:rPr>
                <w:rFonts w:cs="Arial"/>
                <w:szCs w:val="22"/>
              </w:rPr>
              <w:t>b</w:t>
            </w:r>
            <w:r w:rsidRPr="006B7D9A">
              <w:rPr>
                <w:rFonts w:cs="Arial"/>
                <w:szCs w:val="22"/>
              </w:rPr>
              <w:t xml:space="preserve">uilder </w:t>
            </w:r>
            <w:r>
              <w:rPr>
                <w:rFonts w:cs="Arial"/>
                <w:szCs w:val="22"/>
              </w:rPr>
              <w:t>permits</w:t>
            </w:r>
            <w:r w:rsidRPr="006B7D9A">
              <w:rPr>
                <w:rFonts w:cs="Arial"/>
                <w:szCs w:val="22"/>
              </w:rPr>
              <w:t xml:space="preserve"> </w:t>
            </w:r>
            <w:r>
              <w:rPr>
                <w:rFonts w:cs="Arial"/>
                <w:szCs w:val="22"/>
              </w:rPr>
              <w:t>issued</w:t>
            </w:r>
            <w:r w:rsidRPr="006B7D9A">
              <w:rPr>
                <w:rFonts w:cs="Arial"/>
                <w:szCs w:val="22"/>
              </w:rPr>
              <w:t xml:space="preserve"> under </w:t>
            </w:r>
            <w:r>
              <w:rPr>
                <w:rFonts w:cs="Arial"/>
                <w:szCs w:val="22"/>
              </w:rPr>
              <w:t xml:space="preserve">s.44 of the </w:t>
            </w:r>
            <w:r w:rsidRPr="00B03116">
              <w:rPr>
                <w:rFonts w:cs="Arial"/>
                <w:i/>
                <w:iCs/>
                <w:szCs w:val="22"/>
              </w:rPr>
              <w:t>Queensland Building and Construction Commission Act 1991</w:t>
            </w:r>
            <w:r w:rsidRPr="001D2979">
              <w:rPr>
                <w:rFonts w:cs="Arial"/>
                <w:szCs w:val="22"/>
              </w:rPr>
              <w:t>.</w:t>
            </w:r>
            <w:r>
              <w:rPr>
                <w:rFonts w:cs="Arial"/>
                <w:szCs w:val="22"/>
              </w:rPr>
              <w:t xml:space="preserve">  </w:t>
            </w:r>
          </w:p>
          <w:p w14:paraId="2DA3BB4B" w14:textId="55F1E207" w:rsidR="000B18B0" w:rsidRPr="006B7D9A" w:rsidRDefault="004E018E" w:rsidP="00B03116">
            <w:pPr>
              <w:keepNext/>
              <w:keepLines/>
              <w:spacing w:line="276" w:lineRule="auto"/>
              <w:rPr>
                <w:rFonts w:cs="Arial"/>
                <w:szCs w:val="22"/>
              </w:rPr>
            </w:pPr>
            <w:r>
              <w:rPr>
                <w:rFonts w:cs="Arial"/>
                <w:szCs w:val="22"/>
              </w:rPr>
              <w:t>Records may include</w:t>
            </w:r>
            <w:r w:rsidR="000B18B0" w:rsidRPr="006B7D9A">
              <w:rPr>
                <w:rFonts w:cs="Arial"/>
                <w:szCs w:val="22"/>
              </w:rPr>
              <w:t xml:space="preserve">, but are not limited to: </w:t>
            </w:r>
          </w:p>
          <w:p w14:paraId="7D550748" w14:textId="07DCD2FE" w:rsidR="000B18B0" w:rsidRDefault="000B18B0" w:rsidP="008D19B9">
            <w:pPr>
              <w:keepNext/>
              <w:keepLines/>
              <w:numPr>
                <w:ilvl w:val="0"/>
                <w:numId w:val="6"/>
              </w:numPr>
              <w:ind w:left="714" w:hanging="357"/>
              <w:jc w:val="both"/>
              <w:rPr>
                <w:rFonts w:cs="Arial"/>
                <w:szCs w:val="22"/>
                <w:lang w:eastAsia="en-AU"/>
              </w:rPr>
            </w:pPr>
            <w:r>
              <w:rPr>
                <w:rFonts w:cs="Arial"/>
                <w:szCs w:val="22"/>
                <w:lang w:eastAsia="en-AU"/>
              </w:rPr>
              <w:t>Approved Permits</w:t>
            </w:r>
          </w:p>
          <w:p w14:paraId="42054998" w14:textId="0A80402B" w:rsidR="000B18B0" w:rsidRPr="006B7D9A" w:rsidRDefault="000B18B0" w:rsidP="008D19B9">
            <w:pPr>
              <w:keepNext/>
              <w:keepLines/>
              <w:numPr>
                <w:ilvl w:val="0"/>
                <w:numId w:val="6"/>
              </w:numPr>
              <w:ind w:left="714" w:hanging="357"/>
              <w:jc w:val="both"/>
              <w:rPr>
                <w:rFonts w:cs="Arial"/>
                <w:szCs w:val="22"/>
                <w:lang w:eastAsia="en-AU"/>
              </w:rPr>
            </w:pPr>
            <w:r>
              <w:rPr>
                <w:rFonts w:cs="Arial"/>
                <w:szCs w:val="22"/>
                <w:lang w:eastAsia="en-AU"/>
              </w:rPr>
              <w:t>E</w:t>
            </w:r>
            <w:r w:rsidRPr="006B7D9A">
              <w:rPr>
                <w:rFonts w:cs="Arial"/>
                <w:szCs w:val="22"/>
                <w:lang w:eastAsia="en-AU"/>
              </w:rPr>
              <w:t xml:space="preserve">xemption </w:t>
            </w:r>
            <w:r>
              <w:rPr>
                <w:rFonts w:cs="Arial"/>
                <w:szCs w:val="22"/>
                <w:lang w:eastAsia="en-AU"/>
              </w:rPr>
              <w:t>R</w:t>
            </w:r>
            <w:r w:rsidRPr="006B7D9A">
              <w:rPr>
                <w:rFonts w:cs="Arial"/>
                <w:szCs w:val="22"/>
                <w:lang w:eastAsia="en-AU"/>
              </w:rPr>
              <w:t>equests</w:t>
            </w:r>
            <w:r>
              <w:rPr>
                <w:rFonts w:cs="Arial"/>
                <w:szCs w:val="22"/>
                <w:lang w:eastAsia="en-AU"/>
              </w:rPr>
              <w:t xml:space="preserve"> / T</w:t>
            </w:r>
            <w:r w:rsidRPr="006B7D9A">
              <w:rPr>
                <w:rFonts w:cs="Arial"/>
                <w:szCs w:val="22"/>
                <w:lang w:eastAsia="en-AU"/>
              </w:rPr>
              <w:t xml:space="preserve">hird </w:t>
            </w:r>
            <w:r>
              <w:rPr>
                <w:rFonts w:cs="Arial"/>
                <w:szCs w:val="22"/>
                <w:lang w:eastAsia="en-AU"/>
              </w:rPr>
              <w:t>P</w:t>
            </w:r>
            <w:r w:rsidRPr="006B7D9A">
              <w:rPr>
                <w:rFonts w:cs="Arial"/>
                <w:szCs w:val="22"/>
                <w:lang w:eastAsia="en-AU"/>
              </w:rPr>
              <w:t>arty</w:t>
            </w:r>
            <w:r>
              <w:rPr>
                <w:rFonts w:cs="Arial"/>
                <w:szCs w:val="22"/>
                <w:lang w:eastAsia="en-AU"/>
              </w:rPr>
              <w:t xml:space="preserve"> E</w:t>
            </w:r>
            <w:r w:rsidRPr="006B7D9A">
              <w:rPr>
                <w:rFonts w:cs="Arial"/>
                <w:szCs w:val="22"/>
                <w:lang w:eastAsia="en-AU"/>
              </w:rPr>
              <w:t xml:space="preserve">xemption </w:t>
            </w:r>
            <w:r>
              <w:rPr>
                <w:rFonts w:cs="Arial"/>
                <w:szCs w:val="22"/>
                <w:lang w:eastAsia="en-AU"/>
              </w:rPr>
              <w:t>R</w:t>
            </w:r>
            <w:r w:rsidRPr="006B7D9A">
              <w:rPr>
                <w:rFonts w:cs="Arial"/>
                <w:szCs w:val="22"/>
                <w:lang w:eastAsia="en-AU"/>
              </w:rPr>
              <w:t xml:space="preserve">equests </w:t>
            </w:r>
          </w:p>
          <w:p w14:paraId="5FE5308C" w14:textId="72D0C006" w:rsidR="000B18B0" w:rsidRPr="006B7D9A" w:rsidRDefault="000B18B0" w:rsidP="008D19B9">
            <w:pPr>
              <w:keepNext/>
              <w:keepLines/>
              <w:numPr>
                <w:ilvl w:val="0"/>
                <w:numId w:val="6"/>
              </w:numPr>
              <w:ind w:left="714" w:hanging="357"/>
              <w:jc w:val="both"/>
              <w:rPr>
                <w:rFonts w:cs="Arial"/>
                <w:szCs w:val="22"/>
                <w:lang w:eastAsia="en-AU"/>
              </w:rPr>
            </w:pPr>
            <w:r>
              <w:rPr>
                <w:rFonts w:cs="Arial"/>
                <w:szCs w:val="22"/>
                <w:lang w:eastAsia="en-AU"/>
              </w:rPr>
              <w:t>Amended, Surrendered, C</w:t>
            </w:r>
            <w:r w:rsidRPr="006B7D9A">
              <w:rPr>
                <w:rFonts w:cs="Arial"/>
                <w:szCs w:val="22"/>
                <w:lang w:eastAsia="en-AU"/>
              </w:rPr>
              <w:t xml:space="preserve">ancelled </w:t>
            </w:r>
            <w:r>
              <w:rPr>
                <w:rFonts w:cs="Arial"/>
                <w:szCs w:val="22"/>
                <w:lang w:eastAsia="en-AU"/>
              </w:rPr>
              <w:t>or Suspended Permits</w:t>
            </w:r>
          </w:p>
          <w:p w14:paraId="76844D03" w14:textId="2BBD4AF7" w:rsidR="000B18B0" w:rsidRPr="006B7D9A" w:rsidRDefault="000B18B0" w:rsidP="008D19B9">
            <w:pPr>
              <w:keepNext/>
              <w:keepLines/>
              <w:numPr>
                <w:ilvl w:val="0"/>
                <w:numId w:val="6"/>
              </w:numPr>
              <w:ind w:left="714" w:hanging="357"/>
              <w:jc w:val="both"/>
              <w:rPr>
                <w:rFonts w:cs="Arial"/>
                <w:szCs w:val="22"/>
                <w:lang w:eastAsia="en-AU"/>
              </w:rPr>
            </w:pPr>
            <w:r>
              <w:rPr>
                <w:rFonts w:cs="Arial"/>
                <w:szCs w:val="22"/>
                <w:lang w:eastAsia="en-AU"/>
              </w:rPr>
              <w:t>Rejections, Withdrawals or R</w:t>
            </w:r>
            <w:r w:rsidRPr="006B7D9A">
              <w:rPr>
                <w:rFonts w:cs="Arial"/>
                <w:szCs w:val="22"/>
                <w:lang w:eastAsia="en-AU"/>
              </w:rPr>
              <w:t xml:space="preserve">etrospective </w:t>
            </w:r>
            <w:r>
              <w:rPr>
                <w:rFonts w:cs="Arial"/>
                <w:szCs w:val="22"/>
                <w:lang w:eastAsia="en-AU"/>
              </w:rPr>
              <w:t>A</w:t>
            </w:r>
            <w:r w:rsidRPr="006B7D9A">
              <w:rPr>
                <w:rFonts w:cs="Arial"/>
                <w:szCs w:val="22"/>
                <w:lang w:eastAsia="en-AU"/>
              </w:rPr>
              <w:t>pplications</w:t>
            </w:r>
          </w:p>
          <w:p w14:paraId="1B7B8E5C" w14:textId="6DACF982" w:rsidR="000B18B0" w:rsidRPr="006B7D9A" w:rsidRDefault="000B18B0" w:rsidP="008D19B9">
            <w:pPr>
              <w:keepNext/>
              <w:keepLines/>
              <w:numPr>
                <w:ilvl w:val="0"/>
                <w:numId w:val="6"/>
              </w:numPr>
              <w:ind w:left="714" w:hanging="357"/>
              <w:jc w:val="both"/>
              <w:rPr>
                <w:rFonts w:cs="Arial"/>
                <w:szCs w:val="22"/>
                <w:lang w:eastAsia="en-AU"/>
              </w:rPr>
            </w:pPr>
            <w:r>
              <w:rPr>
                <w:rFonts w:cs="Arial"/>
                <w:szCs w:val="22"/>
                <w:lang w:eastAsia="en-AU"/>
              </w:rPr>
              <w:t>Notifications to/from the Titles Office including Removals</w:t>
            </w:r>
          </w:p>
          <w:p w14:paraId="1C30A1C1" w14:textId="28F9C222" w:rsidR="000B18B0" w:rsidRPr="008B4646" w:rsidRDefault="000B18B0" w:rsidP="008D19B9">
            <w:pPr>
              <w:keepNext/>
              <w:keepLines/>
              <w:numPr>
                <w:ilvl w:val="0"/>
                <w:numId w:val="6"/>
              </w:numPr>
              <w:ind w:left="714" w:hanging="357"/>
              <w:jc w:val="both"/>
              <w:rPr>
                <w:rFonts w:cs="Arial"/>
                <w:b/>
                <w:i/>
                <w:szCs w:val="22"/>
              </w:rPr>
            </w:pPr>
            <w:r>
              <w:rPr>
                <w:rFonts w:cs="Arial"/>
                <w:szCs w:val="22"/>
                <w:lang w:eastAsia="en-AU"/>
              </w:rPr>
              <w:t>R</w:t>
            </w:r>
            <w:r w:rsidRPr="006B7D9A">
              <w:rPr>
                <w:rFonts w:cs="Arial"/>
                <w:szCs w:val="22"/>
                <w:lang w:eastAsia="en-AU"/>
              </w:rPr>
              <w:t>efunds</w:t>
            </w:r>
            <w:r>
              <w:rPr>
                <w:rFonts w:cs="Arial"/>
                <w:szCs w:val="22"/>
                <w:lang w:eastAsia="en-AU"/>
              </w:rPr>
              <w:t xml:space="preserve"> and </w:t>
            </w:r>
            <w:r w:rsidRPr="00FD54BC">
              <w:rPr>
                <w:rFonts w:cs="Arial"/>
                <w:szCs w:val="22"/>
                <w:lang w:eastAsia="en-AU"/>
              </w:rPr>
              <w:t xml:space="preserve">supporting documents for </w:t>
            </w:r>
            <w:r>
              <w:rPr>
                <w:rFonts w:cs="Arial"/>
                <w:szCs w:val="22"/>
                <w:lang w:eastAsia="en-AU"/>
              </w:rPr>
              <w:t>Permit R</w:t>
            </w:r>
            <w:r w:rsidRPr="00FD54BC">
              <w:rPr>
                <w:rFonts w:cs="Arial"/>
                <w:szCs w:val="22"/>
                <w:lang w:eastAsia="en-AU"/>
              </w:rPr>
              <w:t>enewals</w:t>
            </w:r>
          </w:p>
        </w:tc>
        <w:tc>
          <w:tcPr>
            <w:tcW w:w="900" w:type="pct"/>
            <w:shd w:val="clear" w:color="auto" w:fill="auto"/>
          </w:tcPr>
          <w:p w14:paraId="10BA38EA" w14:textId="360C7DB8" w:rsidR="000B18B0" w:rsidRPr="001321A9" w:rsidRDefault="000B18B0" w:rsidP="000B18B0">
            <w:pPr>
              <w:rPr>
                <w:rFonts w:cs="Arial"/>
                <w:szCs w:val="22"/>
              </w:rPr>
            </w:pPr>
            <w:r>
              <w:rPr>
                <w:rFonts w:cs="Arial"/>
                <w:szCs w:val="22"/>
              </w:rPr>
              <w:t xml:space="preserve">7 </w:t>
            </w:r>
            <w:r w:rsidRPr="004B13E8">
              <w:rPr>
                <w:rFonts w:cs="Arial"/>
                <w:szCs w:val="22"/>
              </w:rPr>
              <w:t xml:space="preserve">years after </w:t>
            </w:r>
            <w:r>
              <w:rPr>
                <w:rFonts w:cs="Arial"/>
                <w:szCs w:val="22"/>
              </w:rPr>
              <w:t>business action completed</w:t>
            </w:r>
            <w:r w:rsidRPr="004B13E8">
              <w:rPr>
                <w:rFonts w:cs="Arial"/>
                <w:szCs w:val="22"/>
              </w:rPr>
              <w:t>.</w:t>
            </w:r>
          </w:p>
        </w:tc>
        <w:tc>
          <w:tcPr>
            <w:tcW w:w="549" w:type="pct"/>
          </w:tcPr>
          <w:p w14:paraId="53262DA4" w14:textId="61E638E2" w:rsidR="000B18B0" w:rsidRDefault="00912862" w:rsidP="000B18B0">
            <w:r>
              <w:t>15 December 2023</w:t>
            </w:r>
          </w:p>
        </w:tc>
      </w:tr>
      <w:tr w:rsidR="000B18B0" w:rsidRPr="004D14B4" w14:paraId="06BF9CE8" w14:textId="77777777" w:rsidTr="006911D1">
        <w:tblPrEx>
          <w:tblCellMar>
            <w:top w:w="57" w:type="dxa"/>
            <w:left w:w="119" w:type="dxa"/>
            <w:right w:w="119" w:type="dxa"/>
          </w:tblCellMar>
        </w:tblPrEx>
        <w:tc>
          <w:tcPr>
            <w:tcW w:w="509" w:type="pct"/>
            <w:shd w:val="clear" w:color="auto" w:fill="auto"/>
          </w:tcPr>
          <w:p w14:paraId="6B9DB535" w14:textId="792DC85A" w:rsidR="000B18B0" w:rsidRDefault="00C80CEC" w:rsidP="000B18B0">
            <w:pPr>
              <w:pStyle w:val="Tabletext"/>
              <w:spacing w:before="60" w:after="60"/>
              <w:rPr>
                <w:sz w:val="22"/>
                <w:szCs w:val="22"/>
              </w:rPr>
            </w:pPr>
            <w:r>
              <w:rPr>
                <w:sz w:val="22"/>
                <w:szCs w:val="22"/>
              </w:rPr>
              <w:t>2769</w:t>
            </w:r>
          </w:p>
        </w:tc>
        <w:tc>
          <w:tcPr>
            <w:tcW w:w="3042" w:type="pct"/>
            <w:shd w:val="clear" w:color="auto" w:fill="auto"/>
          </w:tcPr>
          <w:p w14:paraId="6298EEAF" w14:textId="07DE369B" w:rsidR="000B18B0" w:rsidRPr="00D725BB" w:rsidRDefault="000B18B0" w:rsidP="00B03116">
            <w:pPr>
              <w:ind w:left="34" w:hanging="34"/>
              <w:rPr>
                <w:rFonts w:cs="Arial"/>
                <w:b/>
                <w:iCs/>
                <w:szCs w:val="22"/>
              </w:rPr>
            </w:pPr>
            <w:r w:rsidRPr="00D725BB">
              <w:rPr>
                <w:rFonts w:cs="Arial"/>
                <w:b/>
                <w:iCs/>
                <w:szCs w:val="22"/>
              </w:rPr>
              <w:t>Licence Enquiries, Liaison and Customer Communications</w:t>
            </w:r>
          </w:p>
          <w:p w14:paraId="72003682" w14:textId="784572F9" w:rsidR="000B18B0" w:rsidRPr="003F4508" w:rsidRDefault="000B18B0" w:rsidP="000B2A4B">
            <w:pPr>
              <w:ind w:left="34" w:hanging="34"/>
              <w:rPr>
                <w:rFonts w:cs="Arial"/>
                <w:szCs w:val="22"/>
              </w:rPr>
            </w:pPr>
            <w:r w:rsidRPr="003F4508">
              <w:rPr>
                <w:rFonts w:cs="Arial"/>
                <w:szCs w:val="22"/>
              </w:rPr>
              <w:t xml:space="preserve">Records relating to enquiries, general correspondence, and liaison regarding licensing services. </w:t>
            </w:r>
          </w:p>
          <w:p w14:paraId="76BFE5CA" w14:textId="2D1055C4" w:rsidR="000B18B0" w:rsidRPr="003F4508" w:rsidRDefault="004E018E" w:rsidP="00B03116">
            <w:pPr>
              <w:ind w:left="34" w:hanging="34"/>
              <w:rPr>
                <w:rFonts w:cs="Arial"/>
                <w:szCs w:val="22"/>
              </w:rPr>
            </w:pPr>
            <w:r>
              <w:rPr>
                <w:rFonts w:cs="Arial"/>
                <w:szCs w:val="22"/>
              </w:rPr>
              <w:t>Records may include</w:t>
            </w:r>
            <w:r w:rsidR="000B18B0" w:rsidRPr="003F4508">
              <w:rPr>
                <w:rFonts w:cs="Arial"/>
                <w:szCs w:val="22"/>
              </w:rPr>
              <w:t xml:space="preserve">, but are not limited to: </w:t>
            </w:r>
          </w:p>
          <w:p w14:paraId="77EF8BAF" w14:textId="5C6FE356" w:rsidR="000B18B0" w:rsidRPr="003F4508" w:rsidRDefault="000B18B0" w:rsidP="008D19B9">
            <w:pPr>
              <w:pStyle w:val="ListParagraph"/>
              <w:numPr>
                <w:ilvl w:val="0"/>
                <w:numId w:val="17"/>
              </w:numPr>
              <w:jc w:val="both"/>
              <w:rPr>
                <w:rFonts w:cs="Arial"/>
                <w:szCs w:val="22"/>
              </w:rPr>
            </w:pPr>
            <w:r w:rsidRPr="003F4508">
              <w:rPr>
                <w:rFonts w:cs="Arial"/>
                <w:szCs w:val="22"/>
              </w:rPr>
              <w:t>Information on licence requirements</w:t>
            </w:r>
            <w:r w:rsidR="00E472F1">
              <w:rPr>
                <w:rFonts w:cs="Arial"/>
                <w:szCs w:val="22"/>
              </w:rPr>
              <w:t>.</w:t>
            </w:r>
          </w:p>
          <w:p w14:paraId="4AA05091" w14:textId="12D04EE8" w:rsidR="000B18B0" w:rsidRPr="003F4508" w:rsidRDefault="000B18B0" w:rsidP="008D19B9">
            <w:pPr>
              <w:pStyle w:val="ListParagraph"/>
              <w:numPr>
                <w:ilvl w:val="0"/>
                <w:numId w:val="17"/>
              </w:numPr>
              <w:jc w:val="both"/>
              <w:rPr>
                <w:rFonts w:cs="Arial"/>
                <w:szCs w:val="22"/>
              </w:rPr>
            </w:pPr>
            <w:r w:rsidRPr="003F4508">
              <w:rPr>
                <w:rFonts w:cs="Arial"/>
                <w:szCs w:val="22"/>
              </w:rPr>
              <w:t>Permitted work by a licensee</w:t>
            </w:r>
            <w:r w:rsidR="00E472F1">
              <w:rPr>
                <w:rFonts w:cs="Arial"/>
                <w:szCs w:val="22"/>
              </w:rPr>
              <w:t>.</w:t>
            </w:r>
          </w:p>
          <w:p w14:paraId="1DEF54E8" w14:textId="4B7137E7" w:rsidR="000B18B0" w:rsidRPr="003F4508" w:rsidRDefault="000B18B0" w:rsidP="008D19B9">
            <w:pPr>
              <w:pStyle w:val="ListParagraph"/>
              <w:numPr>
                <w:ilvl w:val="0"/>
                <w:numId w:val="17"/>
              </w:numPr>
              <w:jc w:val="both"/>
              <w:rPr>
                <w:rFonts w:cs="Arial"/>
                <w:szCs w:val="22"/>
              </w:rPr>
            </w:pPr>
            <w:r w:rsidRPr="003F4508">
              <w:rPr>
                <w:rFonts w:cs="Arial"/>
                <w:szCs w:val="22"/>
              </w:rPr>
              <w:t>Transitional licence and mutual recognition matters</w:t>
            </w:r>
            <w:r w:rsidR="00E472F1">
              <w:rPr>
                <w:rFonts w:cs="Arial"/>
                <w:szCs w:val="22"/>
              </w:rPr>
              <w:t>.</w:t>
            </w:r>
          </w:p>
          <w:p w14:paraId="51A09AC7" w14:textId="61DC0AC9" w:rsidR="000B18B0" w:rsidRPr="003F4508" w:rsidRDefault="000B18B0" w:rsidP="008D19B9">
            <w:pPr>
              <w:pStyle w:val="ListParagraph"/>
              <w:numPr>
                <w:ilvl w:val="0"/>
                <w:numId w:val="17"/>
              </w:numPr>
              <w:jc w:val="both"/>
              <w:rPr>
                <w:rFonts w:cs="Arial"/>
                <w:szCs w:val="22"/>
              </w:rPr>
            </w:pPr>
            <w:r w:rsidRPr="003F4508">
              <w:rPr>
                <w:rFonts w:cs="Arial"/>
                <w:szCs w:val="22"/>
              </w:rPr>
              <w:t>Web reports and mail-outs</w:t>
            </w:r>
            <w:r w:rsidR="00E472F1">
              <w:rPr>
                <w:rFonts w:cs="Arial"/>
                <w:szCs w:val="22"/>
              </w:rPr>
              <w:t>.</w:t>
            </w:r>
          </w:p>
          <w:p w14:paraId="1C3D984F" w14:textId="7A292959" w:rsidR="00E472F1" w:rsidRPr="00E472F1" w:rsidRDefault="000B18B0" w:rsidP="001C6E39">
            <w:pPr>
              <w:pStyle w:val="ListParagraph"/>
              <w:numPr>
                <w:ilvl w:val="0"/>
                <w:numId w:val="17"/>
              </w:numPr>
              <w:jc w:val="both"/>
              <w:rPr>
                <w:rFonts w:cs="Arial"/>
                <w:b/>
                <w:i/>
                <w:szCs w:val="22"/>
              </w:rPr>
            </w:pPr>
            <w:r w:rsidRPr="003F4508">
              <w:rPr>
                <w:rFonts w:cs="Arial"/>
                <w:szCs w:val="22"/>
              </w:rPr>
              <w:t>Contact centre recordings of calls made or received regarding licensing matters</w:t>
            </w:r>
            <w:r w:rsidR="00367F1E">
              <w:rPr>
                <w:rFonts w:cs="Arial"/>
                <w:szCs w:val="22"/>
              </w:rPr>
              <w:t>.</w:t>
            </w:r>
          </w:p>
        </w:tc>
        <w:tc>
          <w:tcPr>
            <w:tcW w:w="900" w:type="pct"/>
            <w:shd w:val="clear" w:color="auto" w:fill="auto"/>
          </w:tcPr>
          <w:p w14:paraId="0208D177" w14:textId="530C7061" w:rsidR="000B18B0" w:rsidRPr="001321A9" w:rsidRDefault="000B18B0" w:rsidP="000B18B0">
            <w:pPr>
              <w:rPr>
                <w:rFonts w:cs="Arial"/>
                <w:szCs w:val="22"/>
              </w:rPr>
            </w:pPr>
            <w:r>
              <w:rPr>
                <w:rFonts w:cs="Arial"/>
                <w:szCs w:val="22"/>
              </w:rPr>
              <w:t>7 years after business action completed.</w:t>
            </w:r>
          </w:p>
        </w:tc>
        <w:tc>
          <w:tcPr>
            <w:tcW w:w="549" w:type="pct"/>
          </w:tcPr>
          <w:p w14:paraId="27586FA4" w14:textId="34AC3FF8" w:rsidR="000B18B0" w:rsidRDefault="00912862" w:rsidP="000B18B0">
            <w:r>
              <w:t>15 December 2023</w:t>
            </w:r>
          </w:p>
        </w:tc>
      </w:tr>
      <w:tr w:rsidR="000B18B0" w:rsidRPr="00A165D3" w14:paraId="51C075A0" w14:textId="77777777" w:rsidTr="006911D1">
        <w:tblPrEx>
          <w:tblCellMar>
            <w:top w:w="57" w:type="dxa"/>
            <w:left w:w="119" w:type="dxa"/>
            <w:right w:w="119" w:type="dxa"/>
          </w:tblCellMar>
        </w:tblPrEx>
        <w:tc>
          <w:tcPr>
            <w:tcW w:w="509" w:type="pct"/>
            <w:shd w:val="clear" w:color="auto" w:fill="auto"/>
          </w:tcPr>
          <w:p w14:paraId="07D30087" w14:textId="2AD2AB18" w:rsidR="000B18B0" w:rsidRPr="00C01352" w:rsidRDefault="002E4894" w:rsidP="000B18B0">
            <w:pPr>
              <w:pStyle w:val="Tabletext"/>
              <w:spacing w:before="60" w:after="60"/>
              <w:rPr>
                <w:sz w:val="22"/>
                <w:szCs w:val="22"/>
              </w:rPr>
            </w:pPr>
            <w:r>
              <w:rPr>
                <w:sz w:val="22"/>
                <w:szCs w:val="22"/>
              </w:rPr>
              <w:t>2770</w:t>
            </w:r>
          </w:p>
        </w:tc>
        <w:tc>
          <w:tcPr>
            <w:tcW w:w="3042" w:type="pct"/>
            <w:shd w:val="clear" w:color="auto" w:fill="auto"/>
          </w:tcPr>
          <w:p w14:paraId="44C7F9E8" w14:textId="17EE2B36" w:rsidR="000B18B0" w:rsidRPr="00D725BB" w:rsidRDefault="000B18B0" w:rsidP="00B03116">
            <w:pPr>
              <w:ind w:left="34" w:hanging="34"/>
              <w:rPr>
                <w:rFonts w:cs="Arial"/>
                <w:b/>
                <w:iCs/>
                <w:szCs w:val="22"/>
              </w:rPr>
            </w:pPr>
            <w:r w:rsidRPr="00D725BB">
              <w:rPr>
                <w:rFonts w:cs="Arial"/>
                <w:b/>
                <w:iCs/>
                <w:szCs w:val="22"/>
              </w:rPr>
              <w:t>Administration of Licensing</w:t>
            </w:r>
          </w:p>
          <w:p w14:paraId="241C1CB0" w14:textId="358AA493" w:rsidR="000B18B0" w:rsidRPr="003F4508" w:rsidRDefault="000B18B0" w:rsidP="00B03116">
            <w:pPr>
              <w:ind w:left="34" w:hanging="34"/>
              <w:rPr>
                <w:rFonts w:cs="Arial"/>
                <w:bCs/>
                <w:iCs/>
                <w:szCs w:val="22"/>
              </w:rPr>
            </w:pPr>
            <w:r w:rsidRPr="003F4508">
              <w:rPr>
                <w:rFonts w:cs="Arial"/>
                <w:bCs/>
                <w:iCs/>
                <w:szCs w:val="22"/>
              </w:rPr>
              <w:lastRenderedPageBreak/>
              <w:t>General administrative records, primarily legacy working files, supporting processing of licence</w:t>
            </w:r>
            <w:r>
              <w:rPr>
                <w:rFonts w:cs="Arial"/>
                <w:bCs/>
                <w:iCs/>
                <w:szCs w:val="22"/>
              </w:rPr>
              <w:t xml:space="preserve"> applications</w:t>
            </w:r>
            <w:r w:rsidR="00ED6245">
              <w:rPr>
                <w:rFonts w:cs="Arial"/>
                <w:bCs/>
                <w:iCs/>
                <w:szCs w:val="22"/>
              </w:rPr>
              <w:t xml:space="preserve">, </w:t>
            </w:r>
            <w:r w:rsidRPr="003F4508">
              <w:rPr>
                <w:rFonts w:cs="Arial"/>
                <w:bCs/>
                <w:iCs/>
                <w:szCs w:val="22"/>
              </w:rPr>
              <w:t xml:space="preserve">renewals and production and/or issuance of licence registration </w:t>
            </w:r>
            <w:r w:rsidR="00ED6245">
              <w:rPr>
                <w:rFonts w:cs="Arial"/>
                <w:bCs/>
                <w:iCs/>
                <w:szCs w:val="22"/>
              </w:rPr>
              <w:t xml:space="preserve">identity </w:t>
            </w:r>
            <w:r w:rsidRPr="003F4508">
              <w:rPr>
                <w:rFonts w:cs="Arial"/>
                <w:bCs/>
                <w:iCs/>
                <w:szCs w:val="22"/>
              </w:rPr>
              <w:t xml:space="preserve">ID cards. </w:t>
            </w:r>
          </w:p>
          <w:p w14:paraId="46CB2255" w14:textId="1624AF90" w:rsidR="000B18B0" w:rsidRDefault="004E018E" w:rsidP="00B03116">
            <w:pPr>
              <w:ind w:left="34" w:hanging="34"/>
              <w:rPr>
                <w:rFonts w:cs="Arial"/>
                <w:bCs/>
                <w:iCs/>
                <w:szCs w:val="22"/>
              </w:rPr>
            </w:pPr>
            <w:r>
              <w:rPr>
                <w:rFonts w:cs="Arial"/>
                <w:bCs/>
                <w:iCs/>
                <w:szCs w:val="22"/>
              </w:rPr>
              <w:t>Records may include</w:t>
            </w:r>
            <w:r w:rsidR="000B18B0" w:rsidRPr="003F4508">
              <w:rPr>
                <w:rFonts w:cs="Arial"/>
                <w:bCs/>
                <w:iCs/>
                <w:szCs w:val="22"/>
              </w:rPr>
              <w:t>, but are not limited to:</w:t>
            </w:r>
          </w:p>
          <w:p w14:paraId="38B80E04" w14:textId="77777777" w:rsidR="00E472F1" w:rsidRPr="003F4508" w:rsidRDefault="00E472F1" w:rsidP="000B18B0">
            <w:pPr>
              <w:ind w:left="34" w:hanging="34"/>
              <w:jc w:val="both"/>
              <w:rPr>
                <w:rFonts w:cs="Arial"/>
                <w:bCs/>
                <w:iCs/>
                <w:szCs w:val="22"/>
              </w:rPr>
            </w:pPr>
          </w:p>
          <w:p w14:paraId="295B6B05" w14:textId="2FF9402F" w:rsidR="000B18B0" w:rsidRPr="003F4508" w:rsidRDefault="000B18B0" w:rsidP="008D19B9">
            <w:pPr>
              <w:pStyle w:val="ListParagraph"/>
              <w:numPr>
                <w:ilvl w:val="0"/>
                <w:numId w:val="13"/>
              </w:numPr>
              <w:rPr>
                <w:rFonts w:cs="Arial"/>
                <w:bCs/>
                <w:iCs/>
                <w:szCs w:val="22"/>
              </w:rPr>
            </w:pPr>
            <w:r w:rsidRPr="003F4508">
              <w:rPr>
                <w:rFonts w:cs="Arial"/>
                <w:bCs/>
                <w:iCs/>
                <w:szCs w:val="22"/>
              </w:rPr>
              <w:t>Archived legacy administration of licensing files and/or boxes of return-to-sender materials, including scanned and/or (orphan) licence registration cards</w:t>
            </w:r>
            <w:r w:rsidR="00E472F1">
              <w:rPr>
                <w:rFonts w:cs="Arial"/>
                <w:bCs/>
                <w:iCs/>
                <w:szCs w:val="22"/>
              </w:rPr>
              <w:t>.</w:t>
            </w:r>
          </w:p>
          <w:p w14:paraId="695B03C7" w14:textId="08201375" w:rsidR="000B18B0" w:rsidRPr="003F4508" w:rsidRDefault="000B18B0" w:rsidP="008D19B9">
            <w:pPr>
              <w:pStyle w:val="ListParagraph"/>
              <w:numPr>
                <w:ilvl w:val="0"/>
                <w:numId w:val="13"/>
              </w:numPr>
              <w:jc w:val="both"/>
              <w:rPr>
                <w:rFonts w:cs="Arial"/>
                <w:b/>
                <w:i/>
                <w:szCs w:val="22"/>
              </w:rPr>
            </w:pPr>
            <w:r w:rsidRPr="003F4508">
              <w:rPr>
                <w:rFonts w:cs="Arial"/>
                <w:bCs/>
                <w:iCs/>
                <w:szCs w:val="22"/>
              </w:rPr>
              <w:t>Licensing Renewals (legacy archive boxes) and Roll Fees</w:t>
            </w:r>
            <w:r w:rsidR="00E472F1">
              <w:rPr>
                <w:rFonts w:cs="Arial"/>
                <w:bCs/>
                <w:iCs/>
                <w:szCs w:val="22"/>
              </w:rPr>
              <w:t>.</w:t>
            </w:r>
          </w:p>
          <w:p w14:paraId="405987B5" w14:textId="2ECE8CEB" w:rsidR="000B18B0" w:rsidRPr="003F4508" w:rsidRDefault="000B18B0" w:rsidP="008D19B9">
            <w:pPr>
              <w:pStyle w:val="ListParagraph"/>
              <w:keepNext/>
              <w:keepLines/>
              <w:numPr>
                <w:ilvl w:val="0"/>
                <w:numId w:val="13"/>
              </w:numPr>
              <w:rPr>
                <w:rFonts w:cs="Arial"/>
                <w:szCs w:val="22"/>
              </w:rPr>
            </w:pPr>
            <w:r w:rsidRPr="003F4508">
              <w:rPr>
                <w:rFonts w:cs="Arial"/>
                <w:szCs w:val="22"/>
              </w:rPr>
              <w:t>Working files relating to issuing licence ID cards, sourcing suppliers of stock, quotations, producing cards, artwork and managing misprinted cards.</w:t>
            </w:r>
          </w:p>
          <w:p w14:paraId="45B7F3A9" w14:textId="77777777" w:rsidR="000B18B0" w:rsidRPr="003F4508" w:rsidRDefault="000B18B0" w:rsidP="000B18B0">
            <w:pPr>
              <w:keepNext/>
              <w:keepLines/>
              <w:ind w:left="34" w:hanging="34"/>
              <w:rPr>
                <w:rFonts w:cs="Arial"/>
                <w:sz w:val="6"/>
                <w:szCs w:val="22"/>
              </w:rPr>
            </w:pPr>
          </w:p>
          <w:p w14:paraId="33256C5E" w14:textId="033EDD71" w:rsidR="00E472F1" w:rsidRPr="00ED6245" w:rsidRDefault="000B18B0" w:rsidP="001C6E39">
            <w:pPr>
              <w:rPr>
                <w:rFonts w:cs="Arial"/>
                <w:b/>
                <w:iCs/>
                <w:szCs w:val="22"/>
              </w:rPr>
            </w:pPr>
            <w:r w:rsidRPr="003F4508">
              <w:rPr>
                <w:rFonts w:cs="Arial"/>
                <w:i/>
                <w:szCs w:val="22"/>
              </w:rPr>
              <w:t xml:space="preserve">See </w:t>
            </w:r>
            <w:hyperlink w:anchor="Licensingfiles" w:history="1">
              <w:r w:rsidRPr="00125B6A">
                <w:rPr>
                  <w:rStyle w:val="Hyperlink"/>
                  <w:rFonts w:cs="Arial"/>
                  <w:i/>
                  <w:szCs w:val="22"/>
                </w:rPr>
                <w:t>L</w:t>
              </w:r>
              <w:r w:rsidR="00ED6245" w:rsidRPr="00125B6A">
                <w:rPr>
                  <w:rStyle w:val="Hyperlink"/>
                  <w:rFonts w:cs="Arial"/>
                  <w:i/>
                  <w:szCs w:val="22"/>
                </w:rPr>
                <w:t>icensing and Permit Management</w:t>
              </w:r>
            </w:hyperlink>
            <w:r w:rsidRPr="003A7231">
              <w:rPr>
                <w:rFonts w:cs="Arial"/>
                <w:i/>
                <w:szCs w:val="22"/>
                <w:u w:val="single"/>
              </w:rPr>
              <w:t xml:space="preserve"> </w:t>
            </w:r>
            <w:r w:rsidRPr="00125B6A">
              <w:rPr>
                <w:rStyle w:val="Hyperlink"/>
              </w:rPr>
              <w:t xml:space="preserve">- </w:t>
            </w:r>
            <w:hyperlink w:anchor="Licensingfiles" w:history="1">
              <w:r w:rsidRPr="00125B6A">
                <w:rPr>
                  <w:rStyle w:val="Hyperlink"/>
                  <w:i/>
                  <w:iCs/>
                </w:rPr>
                <w:t>Licensing Files</w:t>
              </w:r>
            </w:hyperlink>
            <w:r w:rsidRPr="003F4508">
              <w:rPr>
                <w:rFonts w:cs="Arial"/>
                <w:i/>
                <w:szCs w:val="22"/>
              </w:rPr>
              <w:t xml:space="preserve"> for licence cards surrendered to the QBCC or current return-to-sender (RTS) cards</w:t>
            </w:r>
            <w:r w:rsidR="00ED6245">
              <w:rPr>
                <w:rFonts w:cs="Arial"/>
                <w:iCs/>
                <w:szCs w:val="22"/>
              </w:rPr>
              <w:t>.</w:t>
            </w:r>
          </w:p>
        </w:tc>
        <w:tc>
          <w:tcPr>
            <w:tcW w:w="900" w:type="pct"/>
            <w:shd w:val="clear" w:color="auto" w:fill="auto"/>
          </w:tcPr>
          <w:p w14:paraId="3DBB2BEA" w14:textId="77777777" w:rsidR="000B18B0" w:rsidRPr="002F2943" w:rsidRDefault="000B18B0" w:rsidP="000B18B0">
            <w:pPr>
              <w:rPr>
                <w:rFonts w:cs="Arial"/>
                <w:szCs w:val="22"/>
              </w:rPr>
            </w:pPr>
            <w:r w:rsidRPr="00AE5B4C">
              <w:rPr>
                <w:rFonts w:cs="Arial"/>
                <w:szCs w:val="22"/>
              </w:rPr>
              <w:lastRenderedPageBreak/>
              <w:t xml:space="preserve">7 years after </w:t>
            </w:r>
            <w:r>
              <w:rPr>
                <w:rFonts w:cs="Arial"/>
                <w:szCs w:val="22"/>
              </w:rPr>
              <w:t>business action completed</w:t>
            </w:r>
            <w:r w:rsidRPr="00AE5B4C">
              <w:rPr>
                <w:rFonts w:cs="Arial"/>
                <w:szCs w:val="22"/>
              </w:rPr>
              <w:t>.</w:t>
            </w:r>
          </w:p>
        </w:tc>
        <w:tc>
          <w:tcPr>
            <w:tcW w:w="549" w:type="pct"/>
            <w:shd w:val="clear" w:color="auto" w:fill="FFFFFF"/>
          </w:tcPr>
          <w:p w14:paraId="50907AB6" w14:textId="02F847C1" w:rsidR="000B18B0" w:rsidRPr="006A5229" w:rsidRDefault="00912862" w:rsidP="000B18B0">
            <w:r>
              <w:t>15 December 2023</w:t>
            </w:r>
          </w:p>
        </w:tc>
      </w:tr>
      <w:tr w:rsidR="000B18B0" w:rsidRPr="004D14B4" w14:paraId="605BBE4C" w14:textId="77777777" w:rsidTr="00587CE8">
        <w:tblPrEx>
          <w:tblCellMar>
            <w:top w:w="57" w:type="dxa"/>
            <w:left w:w="119" w:type="dxa"/>
            <w:right w:w="119" w:type="dxa"/>
          </w:tblCellMar>
        </w:tblPrEx>
        <w:tc>
          <w:tcPr>
            <w:tcW w:w="509" w:type="pct"/>
            <w:tcBorders>
              <w:bottom w:val="single" w:sz="4" w:space="0" w:color="auto"/>
            </w:tcBorders>
            <w:shd w:val="clear" w:color="auto" w:fill="auto"/>
          </w:tcPr>
          <w:p w14:paraId="77CD448D" w14:textId="4525F58D" w:rsidR="000B18B0" w:rsidRPr="003F4508" w:rsidRDefault="00026772" w:rsidP="000B18B0">
            <w:pPr>
              <w:pStyle w:val="Tabletext"/>
              <w:spacing w:before="60" w:after="60"/>
              <w:rPr>
                <w:sz w:val="22"/>
                <w:szCs w:val="22"/>
              </w:rPr>
            </w:pPr>
            <w:r>
              <w:rPr>
                <w:sz w:val="22"/>
                <w:szCs w:val="22"/>
              </w:rPr>
              <w:t>2771</w:t>
            </w:r>
          </w:p>
        </w:tc>
        <w:tc>
          <w:tcPr>
            <w:tcW w:w="3042" w:type="pct"/>
            <w:tcBorders>
              <w:bottom w:val="single" w:sz="4" w:space="0" w:color="auto"/>
            </w:tcBorders>
            <w:shd w:val="clear" w:color="auto" w:fill="auto"/>
          </w:tcPr>
          <w:p w14:paraId="39342EA1" w14:textId="64B54824" w:rsidR="000B18B0" w:rsidRPr="00D725BB" w:rsidRDefault="000B18B0" w:rsidP="00B03116">
            <w:pPr>
              <w:ind w:left="34" w:hanging="34"/>
              <w:rPr>
                <w:rFonts w:cs="Arial"/>
                <w:b/>
                <w:iCs/>
                <w:szCs w:val="22"/>
              </w:rPr>
            </w:pPr>
            <w:r w:rsidRPr="00D725BB">
              <w:rPr>
                <w:rFonts w:cs="Arial"/>
                <w:b/>
                <w:iCs/>
                <w:szCs w:val="22"/>
              </w:rPr>
              <w:t xml:space="preserve">Industry Skills and Supply Shortages Mediation </w:t>
            </w:r>
          </w:p>
          <w:p w14:paraId="5852610B" w14:textId="08865E4C" w:rsidR="000B18B0" w:rsidRPr="003F4508" w:rsidRDefault="000B18B0" w:rsidP="00B03116">
            <w:pPr>
              <w:ind w:left="34" w:hanging="34"/>
            </w:pPr>
            <w:r w:rsidRPr="003F4508">
              <w:rPr>
                <w:rFonts w:cs="Arial"/>
                <w:szCs w:val="22"/>
              </w:rPr>
              <w:t xml:space="preserve">Records relating to the </w:t>
            </w:r>
            <w:r w:rsidRPr="003F4508">
              <w:t>Accelerated Builder &amp; Consumer Disputes (ABCD) program involving services aimed to address issues associated with materials and/or labour shortages in the (residential) construction industry largely caused by Covid-19.</w:t>
            </w:r>
          </w:p>
          <w:p w14:paraId="22AF8BB9" w14:textId="7E3E1068" w:rsidR="000B18B0" w:rsidRPr="003F4508" w:rsidRDefault="000B18B0" w:rsidP="00B03116">
            <w:pPr>
              <w:ind w:left="34"/>
            </w:pPr>
            <w:r w:rsidRPr="003F4508">
              <w:rPr>
                <w:rFonts w:cs="Arial"/>
                <w:color w:val="020A0A"/>
                <w:shd w:val="clear" w:color="auto" w:fill="FFFFFF"/>
              </w:rPr>
              <w:t>The ABCD mediation service will match applicants with a qualified mediator to help facilitate a conversation between parties experiencing issues with domestic building contracts underway due to industry material and/or labour shortages.</w:t>
            </w:r>
          </w:p>
          <w:p w14:paraId="7696DBFA" w14:textId="18D28A68" w:rsidR="000B18B0" w:rsidRPr="003F4508" w:rsidRDefault="004E018E" w:rsidP="00B03116">
            <w:pPr>
              <w:ind w:left="34" w:hanging="34"/>
            </w:pPr>
            <w:r>
              <w:t>Records may include</w:t>
            </w:r>
            <w:r w:rsidR="000B18B0" w:rsidRPr="003F4508">
              <w:t xml:space="preserve">, but are not limited to: </w:t>
            </w:r>
          </w:p>
          <w:p w14:paraId="2BA7D198" w14:textId="5196A25A" w:rsidR="000B18B0" w:rsidRPr="003F4508" w:rsidRDefault="000B18B0" w:rsidP="008D19B9">
            <w:pPr>
              <w:pStyle w:val="ListParagraph"/>
              <w:numPr>
                <w:ilvl w:val="0"/>
                <w:numId w:val="19"/>
              </w:numPr>
              <w:jc w:val="both"/>
            </w:pPr>
            <w:r w:rsidRPr="003F4508">
              <w:t>Enquiries and Applications for Mediation</w:t>
            </w:r>
            <w:r w:rsidR="00E472F1">
              <w:t>.</w:t>
            </w:r>
          </w:p>
          <w:p w14:paraId="18CBD787" w14:textId="1DC1ED8D" w:rsidR="004F6679" w:rsidRPr="004F6679" w:rsidRDefault="000B18B0" w:rsidP="001C6E39">
            <w:pPr>
              <w:pStyle w:val="ListParagraph"/>
              <w:numPr>
                <w:ilvl w:val="0"/>
                <w:numId w:val="18"/>
              </w:numPr>
              <w:jc w:val="both"/>
              <w:rPr>
                <w:rFonts w:cs="Arial"/>
                <w:b/>
                <w:iCs/>
                <w:szCs w:val="22"/>
              </w:rPr>
            </w:pPr>
            <w:r w:rsidRPr="003F4508">
              <w:t>Case files for mediation services provided.</w:t>
            </w:r>
          </w:p>
        </w:tc>
        <w:tc>
          <w:tcPr>
            <w:tcW w:w="900" w:type="pct"/>
            <w:tcBorders>
              <w:bottom w:val="single" w:sz="4" w:space="0" w:color="auto"/>
            </w:tcBorders>
            <w:shd w:val="clear" w:color="auto" w:fill="auto"/>
          </w:tcPr>
          <w:p w14:paraId="5F1804B9" w14:textId="1F402570" w:rsidR="000B18B0" w:rsidRDefault="000B18B0" w:rsidP="000B18B0">
            <w:pPr>
              <w:rPr>
                <w:rFonts w:cs="Arial"/>
                <w:szCs w:val="22"/>
              </w:rPr>
            </w:pPr>
            <w:r>
              <w:rPr>
                <w:rFonts w:cs="Arial"/>
                <w:szCs w:val="22"/>
              </w:rPr>
              <w:t>7 years after business action completed.</w:t>
            </w:r>
          </w:p>
        </w:tc>
        <w:tc>
          <w:tcPr>
            <w:tcW w:w="549" w:type="pct"/>
            <w:tcBorders>
              <w:bottom w:val="single" w:sz="4" w:space="0" w:color="auto"/>
            </w:tcBorders>
          </w:tcPr>
          <w:p w14:paraId="377A0D44" w14:textId="3132AA30" w:rsidR="000B18B0" w:rsidRDefault="00912862" w:rsidP="000B18B0">
            <w:r>
              <w:t>15 December 2023</w:t>
            </w:r>
          </w:p>
        </w:tc>
      </w:tr>
      <w:tr w:rsidR="00E74011" w:rsidRPr="004D14B4" w14:paraId="7FEC1139" w14:textId="77777777" w:rsidTr="00587CE8">
        <w:tblPrEx>
          <w:tblCellMar>
            <w:top w:w="57" w:type="dxa"/>
            <w:left w:w="119" w:type="dxa"/>
            <w:right w:w="119" w:type="dxa"/>
          </w:tblCellMar>
        </w:tblPrEx>
        <w:tc>
          <w:tcPr>
            <w:tcW w:w="5000" w:type="pct"/>
            <w:gridSpan w:val="4"/>
            <w:tcBorders>
              <w:top w:val="single" w:sz="4" w:space="0" w:color="auto"/>
              <w:left w:val="single" w:sz="4" w:space="0" w:color="auto"/>
              <w:bottom w:val="single" w:sz="4" w:space="0" w:color="auto"/>
            </w:tcBorders>
            <w:shd w:val="clear" w:color="auto" w:fill="auto"/>
          </w:tcPr>
          <w:p w14:paraId="5B1165C1" w14:textId="02CE4929" w:rsidR="00E74011" w:rsidRPr="0085214A" w:rsidRDefault="00E74011" w:rsidP="008F3DDA">
            <w:pPr>
              <w:pStyle w:val="Heading2"/>
            </w:pPr>
            <w:bookmarkStart w:id="15" w:name="_Toc234747981"/>
            <w:r>
              <w:t xml:space="preserve">BUILDING </w:t>
            </w:r>
            <w:r w:rsidRPr="0085214A">
              <w:t>CERTIFICATION</w:t>
            </w:r>
            <w:bookmarkEnd w:id="15"/>
          </w:p>
          <w:p w14:paraId="5ED72D27" w14:textId="71ADB319" w:rsidR="00F95D49" w:rsidRPr="00F95D49" w:rsidRDefault="00E74011" w:rsidP="00F95D49">
            <w:pPr>
              <w:pStyle w:val="Heading2"/>
              <w:rPr>
                <w:b w:val="0"/>
                <w:bCs/>
                <w:i/>
                <w:iCs/>
              </w:rPr>
            </w:pPr>
            <w:bookmarkStart w:id="16" w:name="OLE_LINK21"/>
            <w:bookmarkStart w:id="17" w:name="OLE_LINK22"/>
            <w:r w:rsidRPr="009F4197">
              <w:rPr>
                <w:b w:val="0"/>
                <w:bCs/>
                <w:i/>
                <w:iCs/>
              </w:rPr>
              <w:t>The activities associated with investigating complaints made against licensed building certifiers. Includes auditing certifiers and undertaking building site audits.</w:t>
            </w:r>
            <w:bookmarkEnd w:id="16"/>
            <w:bookmarkEnd w:id="17"/>
          </w:p>
        </w:tc>
      </w:tr>
      <w:tr w:rsidR="00E74011" w:rsidRPr="004D14B4" w14:paraId="6FAD51A5" w14:textId="77777777" w:rsidTr="001C6E39">
        <w:tblPrEx>
          <w:tblCellMar>
            <w:top w:w="57" w:type="dxa"/>
            <w:left w:w="119" w:type="dxa"/>
            <w:right w:w="119" w:type="dxa"/>
          </w:tblCellMar>
        </w:tblPrEx>
        <w:trPr>
          <w:trHeight w:val="4292"/>
        </w:trPr>
        <w:tc>
          <w:tcPr>
            <w:tcW w:w="509" w:type="pct"/>
            <w:shd w:val="clear" w:color="auto" w:fill="auto"/>
          </w:tcPr>
          <w:p w14:paraId="17B029AB" w14:textId="483978EE" w:rsidR="00E74011" w:rsidRDefault="009D1E07" w:rsidP="00E74011">
            <w:pPr>
              <w:pStyle w:val="Tabletext"/>
              <w:spacing w:before="60" w:after="60"/>
              <w:rPr>
                <w:sz w:val="22"/>
                <w:szCs w:val="22"/>
              </w:rPr>
            </w:pPr>
            <w:r>
              <w:rPr>
                <w:sz w:val="22"/>
                <w:szCs w:val="22"/>
              </w:rPr>
              <w:lastRenderedPageBreak/>
              <w:t>2772</w:t>
            </w:r>
          </w:p>
        </w:tc>
        <w:tc>
          <w:tcPr>
            <w:tcW w:w="3042" w:type="pct"/>
            <w:shd w:val="clear" w:color="auto" w:fill="auto"/>
          </w:tcPr>
          <w:p w14:paraId="24109AA0" w14:textId="11B40D3F" w:rsidR="00E74011" w:rsidRPr="00D725BB" w:rsidRDefault="00E74011" w:rsidP="00B03116">
            <w:pPr>
              <w:rPr>
                <w:rFonts w:cs="Arial"/>
                <w:b/>
                <w:iCs/>
                <w:szCs w:val="22"/>
              </w:rPr>
            </w:pPr>
            <w:r w:rsidRPr="00D725BB">
              <w:rPr>
                <w:rFonts w:cs="Arial"/>
                <w:b/>
                <w:iCs/>
                <w:szCs w:val="22"/>
              </w:rPr>
              <w:t>Building Certifier Complaints</w:t>
            </w:r>
          </w:p>
          <w:p w14:paraId="2C08B2B6" w14:textId="1313580E" w:rsidR="00E74011" w:rsidRDefault="00E74011" w:rsidP="000B2A4B">
            <w:pPr>
              <w:spacing w:line="276" w:lineRule="auto"/>
              <w:rPr>
                <w:rFonts w:cs="Arial"/>
                <w:szCs w:val="22"/>
              </w:rPr>
            </w:pPr>
            <w:bookmarkStart w:id="18" w:name="OLE_LINK29"/>
            <w:bookmarkStart w:id="19" w:name="OLE_LINK30"/>
            <w:r w:rsidRPr="002C3696">
              <w:rPr>
                <w:rFonts w:cs="Arial"/>
                <w:szCs w:val="22"/>
              </w:rPr>
              <w:t>Records relating to complaints made about building certifiers</w:t>
            </w:r>
            <w:r>
              <w:rPr>
                <w:rFonts w:cs="Arial"/>
                <w:szCs w:val="22"/>
              </w:rPr>
              <w:t xml:space="preserve"> per s.190 of the </w:t>
            </w:r>
            <w:r w:rsidRPr="00B03116">
              <w:rPr>
                <w:rFonts w:cs="Arial"/>
                <w:i/>
                <w:iCs/>
                <w:szCs w:val="22"/>
              </w:rPr>
              <w:t>Building Act 1975</w:t>
            </w:r>
            <w:r w:rsidRPr="002C3696">
              <w:rPr>
                <w:rFonts w:cs="Arial"/>
                <w:szCs w:val="22"/>
              </w:rPr>
              <w:t xml:space="preserve">. </w:t>
            </w:r>
            <w:r>
              <w:rPr>
                <w:rFonts w:cs="Arial"/>
                <w:szCs w:val="22"/>
              </w:rPr>
              <w:t>Includes</w:t>
            </w:r>
            <w:r w:rsidRPr="002C3696">
              <w:rPr>
                <w:rFonts w:cs="Arial"/>
                <w:szCs w:val="22"/>
              </w:rPr>
              <w:t xml:space="preserve"> </w:t>
            </w:r>
            <w:r>
              <w:rPr>
                <w:rFonts w:cs="Arial"/>
                <w:szCs w:val="22"/>
              </w:rPr>
              <w:t xml:space="preserve">matters concerning the conduct of </w:t>
            </w:r>
            <w:r w:rsidRPr="002C3696">
              <w:rPr>
                <w:rFonts w:cs="Arial"/>
                <w:szCs w:val="22"/>
              </w:rPr>
              <w:t xml:space="preserve">building certifiers and allegations of unsatisfactory conduct or professional misconduct. </w:t>
            </w:r>
          </w:p>
          <w:p w14:paraId="64BCA7A3" w14:textId="0D6E919B" w:rsidR="00E74011" w:rsidRPr="002C3696" w:rsidRDefault="004E018E" w:rsidP="00B03116">
            <w:pPr>
              <w:spacing w:line="276" w:lineRule="auto"/>
              <w:rPr>
                <w:rFonts w:cs="Arial"/>
                <w:szCs w:val="22"/>
              </w:rPr>
            </w:pPr>
            <w:r>
              <w:rPr>
                <w:rFonts w:cs="Arial"/>
                <w:szCs w:val="22"/>
              </w:rPr>
              <w:t>Records may include</w:t>
            </w:r>
            <w:r w:rsidR="00E74011" w:rsidRPr="002C3696">
              <w:rPr>
                <w:rFonts w:cs="Arial"/>
                <w:szCs w:val="22"/>
              </w:rPr>
              <w:t>, but are not limited to:</w:t>
            </w:r>
          </w:p>
          <w:bookmarkEnd w:id="18"/>
          <w:bookmarkEnd w:id="19"/>
          <w:p w14:paraId="347808E8" w14:textId="01898B53" w:rsidR="00E74011" w:rsidRPr="00903E26" w:rsidRDefault="00E74011" w:rsidP="008D19B9">
            <w:pPr>
              <w:numPr>
                <w:ilvl w:val="0"/>
                <w:numId w:val="6"/>
              </w:numPr>
              <w:ind w:left="714" w:hanging="357"/>
              <w:jc w:val="both"/>
              <w:rPr>
                <w:rFonts w:cs="Arial"/>
                <w:szCs w:val="22"/>
                <w:lang w:eastAsia="en-AU"/>
              </w:rPr>
            </w:pPr>
            <w:r w:rsidRPr="00903E26">
              <w:rPr>
                <w:rFonts w:cs="Arial"/>
                <w:szCs w:val="22"/>
                <w:lang w:eastAsia="en-AU"/>
              </w:rPr>
              <w:t>Complaint documentation and copies of correspondence</w:t>
            </w:r>
          </w:p>
          <w:p w14:paraId="7BFA8D4F" w14:textId="37DFC656" w:rsidR="00E74011" w:rsidRPr="002C3696" w:rsidRDefault="00E74011" w:rsidP="008D19B9">
            <w:pPr>
              <w:numPr>
                <w:ilvl w:val="0"/>
                <w:numId w:val="6"/>
              </w:numPr>
              <w:ind w:left="714" w:hanging="357"/>
              <w:jc w:val="both"/>
              <w:rPr>
                <w:rFonts w:cs="Arial"/>
                <w:szCs w:val="22"/>
                <w:lang w:eastAsia="en-AU"/>
              </w:rPr>
            </w:pPr>
            <w:r>
              <w:rPr>
                <w:rFonts w:cs="Arial"/>
                <w:szCs w:val="22"/>
                <w:lang w:eastAsia="en-AU"/>
              </w:rPr>
              <w:t>E</w:t>
            </w:r>
            <w:r w:rsidRPr="002C3696">
              <w:rPr>
                <w:rFonts w:cs="Arial"/>
                <w:szCs w:val="22"/>
                <w:lang w:eastAsia="en-AU"/>
              </w:rPr>
              <w:t xml:space="preserve">ngagement </w:t>
            </w:r>
            <w:r>
              <w:rPr>
                <w:rFonts w:cs="Arial"/>
                <w:szCs w:val="22"/>
                <w:lang w:eastAsia="en-AU"/>
              </w:rPr>
              <w:t>A</w:t>
            </w:r>
            <w:r w:rsidRPr="002C3696">
              <w:rPr>
                <w:rFonts w:cs="Arial"/>
                <w:szCs w:val="22"/>
                <w:lang w:eastAsia="en-AU"/>
              </w:rPr>
              <w:t>greements</w:t>
            </w:r>
          </w:p>
          <w:p w14:paraId="560C1884" w14:textId="76AB9D17" w:rsidR="00E74011" w:rsidRPr="002C3696" w:rsidRDefault="00E74011" w:rsidP="008D19B9">
            <w:pPr>
              <w:numPr>
                <w:ilvl w:val="0"/>
                <w:numId w:val="6"/>
              </w:numPr>
              <w:ind w:left="714" w:hanging="357"/>
              <w:jc w:val="both"/>
              <w:rPr>
                <w:rFonts w:cs="Arial"/>
                <w:szCs w:val="22"/>
                <w:lang w:eastAsia="en-AU"/>
              </w:rPr>
            </w:pPr>
            <w:r>
              <w:rPr>
                <w:rFonts w:cs="Arial"/>
                <w:szCs w:val="22"/>
                <w:lang w:eastAsia="en-AU"/>
              </w:rPr>
              <w:t>D</w:t>
            </w:r>
            <w:r w:rsidRPr="002C3696">
              <w:rPr>
                <w:rFonts w:cs="Arial"/>
                <w:szCs w:val="22"/>
                <w:lang w:eastAsia="en-AU"/>
              </w:rPr>
              <w:t xml:space="preserve">ecision </w:t>
            </w:r>
            <w:r>
              <w:rPr>
                <w:rFonts w:cs="Arial"/>
                <w:szCs w:val="22"/>
                <w:lang w:eastAsia="en-AU"/>
              </w:rPr>
              <w:t>N</w:t>
            </w:r>
            <w:r w:rsidRPr="002C3696">
              <w:rPr>
                <w:rFonts w:cs="Arial"/>
                <w:szCs w:val="22"/>
                <w:lang w:eastAsia="en-AU"/>
              </w:rPr>
              <w:t>otices (</w:t>
            </w:r>
            <w:r>
              <w:rPr>
                <w:rFonts w:cs="Arial"/>
                <w:szCs w:val="22"/>
                <w:lang w:eastAsia="en-AU"/>
              </w:rPr>
              <w:t>B</w:t>
            </w:r>
            <w:r w:rsidRPr="002C3696">
              <w:rPr>
                <w:rFonts w:cs="Arial"/>
                <w:szCs w:val="22"/>
                <w:lang w:eastAsia="en-AU"/>
              </w:rPr>
              <w:t xml:space="preserve">uilding </w:t>
            </w:r>
            <w:r>
              <w:rPr>
                <w:rFonts w:cs="Arial"/>
                <w:szCs w:val="22"/>
                <w:lang w:eastAsia="en-AU"/>
              </w:rPr>
              <w:t>D</w:t>
            </w:r>
            <w:r w:rsidRPr="002C3696">
              <w:rPr>
                <w:rFonts w:cs="Arial"/>
                <w:szCs w:val="22"/>
                <w:lang w:eastAsia="en-AU"/>
              </w:rPr>
              <w:t xml:space="preserve">evelopment </w:t>
            </w:r>
            <w:r>
              <w:rPr>
                <w:rFonts w:cs="Arial"/>
                <w:szCs w:val="22"/>
                <w:lang w:eastAsia="en-AU"/>
              </w:rPr>
              <w:t>A</w:t>
            </w:r>
            <w:r w:rsidRPr="002C3696">
              <w:rPr>
                <w:rFonts w:cs="Arial"/>
                <w:szCs w:val="22"/>
                <w:lang w:eastAsia="en-AU"/>
              </w:rPr>
              <w:t>pprovals)</w:t>
            </w:r>
          </w:p>
          <w:p w14:paraId="380FDE36" w14:textId="73781474" w:rsidR="00E74011" w:rsidRPr="002A5E92" w:rsidRDefault="00E74011" w:rsidP="008D19B9">
            <w:pPr>
              <w:numPr>
                <w:ilvl w:val="0"/>
                <w:numId w:val="6"/>
              </w:numPr>
              <w:ind w:left="714" w:hanging="357"/>
              <w:jc w:val="both"/>
              <w:rPr>
                <w:rFonts w:cs="Arial"/>
                <w:szCs w:val="22"/>
                <w:lang w:eastAsia="en-AU"/>
              </w:rPr>
            </w:pPr>
            <w:r w:rsidRPr="002A5E92">
              <w:rPr>
                <w:rFonts w:cs="Arial"/>
                <w:szCs w:val="22"/>
                <w:lang w:eastAsia="en-AU"/>
              </w:rPr>
              <w:t>Plans</w:t>
            </w:r>
            <w:r w:rsidR="002A5E92" w:rsidRPr="002A5E92">
              <w:rPr>
                <w:rFonts w:cs="Arial"/>
                <w:szCs w:val="22"/>
                <w:lang w:eastAsia="en-AU"/>
              </w:rPr>
              <w:t>, Sp</w:t>
            </w:r>
            <w:r w:rsidRPr="002A5E92">
              <w:rPr>
                <w:rFonts w:cs="Arial"/>
                <w:szCs w:val="22"/>
                <w:lang w:eastAsia="en-AU"/>
              </w:rPr>
              <w:t>ecifications</w:t>
            </w:r>
            <w:r w:rsidR="002A5E92" w:rsidRPr="002A5E92">
              <w:rPr>
                <w:rFonts w:cs="Arial"/>
                <w:szCs w:val="22"/>
                <w:lang w:eastAsia="en-AU"/>
              </w:rPr>
              <w:t xml:space="preserve"> and </w:t>
            </w:r>
            <w:r w:rsidRPr="002A5E92">
              <w:rPr>
                <w:rFonts w:cs="Arial"/>
                <w:szCs w:val="22"/>
                <w:lang w:eastAsia="en-AU"/>
              </w:rPr>
              <w:t>Inspection Certificates</w:t>
            </w:r>
          </w:p>
          <w:p w14:paraId="2C9FC466" w14:textId="77777777" w:rsidR="00E74011" w:rsidRPr="00903E26" w:rsidRDefault="00E74011" w:rsidP="008D19B9">
            <w:pPr>
              <w:numPr>
                <w:ilvl w:val="0"/>
                <w:numId w:val="6"/>
              </w:numPr>
              <w:ind w:left="714" w:hanging="357"/>
              <w:jc w:val="both"/>
              <w:rPr>
                <w:rFonts w:cs="Arial"/>
                <w:b/>
                <w:i/>
                <w:szCs w:val="22"/>
              </w:rPr>
            </w:pPr>
            <w:r>
              <w:rPr>
                <w:rFonts w:cs="Arial"/>
                <w:szCs w:val="22"/>
                <w:lang w:eastAsia="en-AU"/>
              </w:rPr>
              <w:t>E</w:t>
            </w:r>
            <w:r w:rsidRPr="002C3696">
              <w:rPr>
                <w:rFonts w:cs="Arial"/>
                <w:szCs w:val="22"/>
                <w:lang w:eastAsia="en-AU"/>
              </w:rPr>
              <w:t xml:space="preserve">xpert </w:t>
            </w:r>
            <w:r>
              <w:rPr>
                <w:rFonts w:cs="Arial"/>
                <w:szCs w:val="22"/>
                <w:lang w:eastAsia="en-AU"/>
              </w:rPr>
              <w:t>A</w:t>
            </w:r>
            <w:r w:rsidRPr="002C3696">
              <w:rPr>
                <w:rFonts w:cs="Arial"/>
                <w:szCs w:val="22"/>
                <w:lang w:eastAsia="en-AU"/>
              </w:rPr>
              <w:t>dvice</w:t>
            </w:r>
            <w:r>
              <w:rPr>
                <w:rFonts w:cs="Arial"/>
                <w:szCs w:val="22"/>
                <w:lang w:eastAsia="en-AU"/>
              </w:rPr>
              <w:t xml:space="preserve"> and S</w:t>
            </w:r>
            <w:r w:rsidRPr="002C3696">
              <w:rPr>
                <w:rFonts w:cs="Arial"/>
                <w:szCs w:val="22"/>
                <w:lang w:eastAsia="en-AU"/>
              </w:rPr>
              <w:t xml:space="preserve">pecialist </w:t>
            </w:r>
            <w:r>
              <w:rPr>
                <w:rFonts w:cs="Arial"/>
                <w:szCs w:val="22"/>
                <w:lang w:eastAsia="en-AU"/>
              </w:rPr>
              <w:t>Reports</w:t>
            </w:r>
          </w:p>
          <w:p w14:paraId="03A7DF01" w14:textId="6AD20BA6" w:rsidR="00E74011" w:rsidRPr="00F63FDA" w:rsidRDefault="00E74011" w:rsidP="008D19B9">
            <w:pPr>
              <w:numPr>
                <w:ilvl w:val="0"/>
                <w:numId w:val="6"/>
              </w:numPr>
              <w:ind w:left="714" w:hanging="357"/>
              <w:jc w:val="both"/>
              <w:rPr>
                <w:rFonts w:cs="Arial"/>
                <w:b/>
                <w:i/>
                <w:szCs w:val="22"/>
              </w:rPr>
            </w:pPr>
            <w:r w:rsidRPr="00700D4A">
              <w:rPr>
                <w:rFonts w:cs="Arial"/>
                <w:szCs w:val="22"/>
                <w:lang w:eastAsia="en-AU"/>
              </w:rPr>
              <w:t xml:space="preserve">Notice of </w:t>
            </w:r>
            <w:r>
              <w:rPr>
                <w:rFonts w:cs="Arial"/>
                <w:szCs w:val="22"/>
                <w:lang w:eastAsia="en-AU"/>
              </w:rPr>
              <w:t>D</w:t>
            </w:r>
            <w:r w:rsidRPr="00700D4A">
              <w:rPr>
                <w:rFonts w:cs="Arial"/>
                <w:szCs w:val="22"/>
                <w:lang w:eastAsia="en-AU"/>
              </w:rPr>
              <w:t xml:space="preserve">ecision on </w:t>
            </w:r>
            <w:r>
              <w:rPr>
                <w:rFonts w:cs="Arial"/>
                <w:szCs w:val="22"/>
                <w:lang w:eastAsia="en-AU"/>
              </w:rPr>
              <w:t>Complaint</w:t>
            </w:r>
          </w:p>
          <w:p w14:paraId="5C3B3FA4" w14:textId="7AE86DC3" w:rsidR="002A5E92" w:rsidRPr="00F63FDA" w:rsidRDefault="00E74011" w:rsidP="008D19B9">
            <w:pPr>
              <w:numPr>
                <w:ilvl w:val="0"/>
                <w:numId w:val="6"/>
              </w:numPr>
              <w:ind w:left="714" w:hanging="357"/>
              <w:rPr>
                <w:rFonts w:cs="Arial"/>
                <w:b/>
                <w:i/>
                <w:szCs w:val="22"/>
              </w:rPr>
            </w:pPr>
            <w:r>
              <w:rPr>
                <w:rFonts w:cs="Arial"/>
                <w:szCs w:val="22"/>
                <w:lang w:eastAsia="en-AU"/>
              </w:rPr>
              <w:t>Dismissed complaints that are frivolous, vexatious or lacking in substance or credibility.</w:t>
            </w:r>
          </w:p>
        </w:tc>
        <w:tc>
          <w:tcPr>
            <w:tcW w:w="900" w:type="pct"/>
            <w:shd w:val="clear" w:color="auto" w:fill="auto"/>
          </w:tcPr>
          <w:p w14:paraId="68054B18" w14:textId="358EB01A" w:rsidR="00E74011" w:rsidRPr="00E048A8" w:rsidRDefault="00C27044" w:rsidP="00E74011">
            <w:pPr>
              <w:rPr>
                <w:rFonts w:cs="Arial"/>
                <w:szCs w:val="22"/>
              </w:rPr>
            </w:pPr>
            <w:r>
              <w:rPr>
                <w:rFonts w:cs="Arial"/>
                <w:szCs w:val="22"/>
              </w:rPr>
              <w:t>12</w:t>
            </w:r>
            <w:r w:rsidR="00E74011">
              <w:rPr>
                <w:rFonts w:cs="Arial"/>
                <w:szCs w:val="22"/>
              </w:rPr>
              <w:t xml:space="preserve"> y</w:t>
            </w:r>
            <w:r w:rsidR="00E74011" w:rsidRPr="00874912">
              <w:rPr>
                <w:rFonts w:cs="Arial"/>
                <w:szCs w:val="22"/>
              </w:rPr>
              <w:t xml:space="preserve">ears </w:t>
            </w:r>
            <w:r w:rsidR="00E74011">
              <w:rPr>
                <w:rFonts w:cs="Arial"/>
                <w:szCs w:val="22"/>
              </w:rPr>
              <w:t>after</w:t>
            </w:r>
            <w:r w:rsidR="00E74011" w:rsidRPr="00874912">
              <w:rPr>
                <w:rFonts w:cs="Arial"/>
                <w:szCs w:val="22"/>
              </w:rPr>
              <w:t xml:space="preserve"> </w:t>
            </w:r>
            <w:r w:rsidR="00E74011">
              <w:rPr>
                <w:rFonts w:cs="Arial"/>
                <w:szCs w:val="22"/>
              </w:rPr>
              <w:t>business action completed.</w:t>
            </w:r>
          </w:p>
        </w:tc>
        <w:tc>
          <w:tcPr>
            <w:tcW w:w="549" w:type="pct"/>
          </w:tcPr>
          <w:p w14:paraId="2E1ED3BA" w14:textId="78A22C11" w:rsidR="00E74011" w:rsidRDefault="00912862" w:rsidP="00E74011">
            <w:r>
              <w:t>15 December 2023</w:t>
            </w:r>
          </w:p>
        </w:tc>
      </w:tr>
      <w:tr w:rsidR="00E74011" w:rsidRPr="004D14B4" w14:paraId="59A42167" w14:textId="77777777" w:rsidTr="00587CE8">
        <w:tblPrEx>
          <w:tblCellMar>
            <w:top w:w="57" w:type="dxa"/>
            <w:left w:w="119" w:type="dxa"/>
            <w:right w:w="119" w:type="dxa"/>
          </w:tblCellMar>
        </w:tblPrEx>
        <w:tc>
          <w:tcPr>
            <w:tcW w:w="5000" w:type="pct"/>
            <w:gridSpan w:val="4"/>
            <w:shd w:val="clear" w:color="auto" w:fill="auto"/>
          </w:tcPr>
          <w:p w14:paraId="7DD9A42E" w14:textId="6EFECDF4" w:rsidR="00E74011" w:rsidRPr="002C3696" w:rsidRDefault="00E74011" w:rsidP="008F3DDA">
            <w:pPr>
              <w:pStyle w:val="Heading2"/>
            </w:pPr>
            <w:bookmarkStart w:id="20" w:name="_Toc234747982"/>
            <w:r w:rsidRPr="002C3696">
              <w:t xml:space="preserve">COMPLIANCE </w:t>
            </w:r>
            <w:bookmarkEnd w:id="20"/>
          </w:p>
          <w:p w14:paraId="041FF91B" w14:textId="69AC08C5" w:rsidR="00E74011" w:rsidRPr="00912862" w:rsidRDefault="00E74011" w:rsidP="00E74011">
            <w:pPr>
              <w:rPr>
                <w:i/>
                <w:iCs/>
                <w:szCs w:val="22"/>
              </w:rPr>
            </w:pPr>
            <w:r w:rsidRPr="00912862">
              <w:rPr>
                <w:rFonts w:cs="Arial"/>
                <w:i/>
                <w:iCs/>
                <w:szCs w:val="22"/>
              </w:rPr>
              <w:t>The activity of monitoring and auditing of statutory compliance and reporting to the Queensland Building and Construction Commission (QBCC).</w:t>
            </w:r>
          </w:p>
        </w:tc>
      </w:tr>
      <w:tr w:rsidR="00E74011" w:rsidRPr="004D14B4" w14:paraId="253E127D" w14:textId="77777777" w:rsidTr="006911D1">
        <w:tblPrEx>
          <w:tblCellMar>
            <w:top w:w="57" w:type="dxa"/>
            <w:left w:w="119" w:type="dxa"/>
            <w:right w:w="119" w:type="dxa"/>
          </w:tblCellMar>
        </w:tblPrEx>
        <w:tc>
          <w:tcPr>
            <w:tcW w:w="509" w:type="pct"/>
            <w:shd w:val="clear" w:color="auto" w:fill="auto"/>
          </w:tcPr>
          <w:p w14:paraId="698FE552" w14:textId="102166EB" w:rsidR="00E74011" w:rsidRDefault="009B52C1" w:rsidP="00E74011">
            <w:pPr>
              <w:pStyle w:val="Tabletext"/>
              <w:spacing w:before="60" w:after="60"/>
              <w:rPr>
                <w:sz w:val="22"/>
                <w:szCs w:val="22"/>
              </w:rPr>
            </w:pPr>
            <w:r>
              <w:rPr>
                <w:sz w:val="22"/>
                <w:szCs w:val="22"/>
              </w:rPr>
              <w:t>2773</w:t>
            </w:r>
          </w:p>
        </w:tc>
        <w:tc>
          <w:tcPr>
            <w:tcW w:w="3042" w:type="pct"/>
            <w:shd w:val="clear" w:color="auto" w:fill="auto"/>
          </w:tcPr>
          <w:p w14:paraId="08E133F2" w14:textId="4579D3C8" w:rsidR="00E74011" w:rsidRPr="00AC5216" w:rsidRDefault="00E74011" w:rsidP="00B03116">
            <w:pPr>
              <w:ind w:left="34" w:hanging="34"/>
              <w:rPr>
                <w:b/>
                <w:bCs/>
                <w:szCs w:val="22"/>
              </w:rPr>
            </w:pPr>
            <w:r>
              <w:rPr>
                <w:b/>
                <w:bCs/>
                <w:szCs w:val="22"/>
              </w:rPr>
              <w:t xml:space="preserve">Industry Education and Technical </w:t>
            </w:r>
            <w:r w:rsidRPr="00AC5216">
              <w:rPr>
                <w:b/>
                <w:bCs/>
                <w:szCs w:val="22"/>
              </w:rPr>
              <w:t>Training</w:t>
            </w:r>
          </w:p>
          <w:p w14:paraId="2BED75CD" w14:textId="3970B649" w:rsidR="00E74011" w:rsidRPr="004D1D61" w:rsidRDefault="00E74011" w:rsidP="000B2A4B">
            <w:pPr>
              <w:ind w:left="34" w:hanging="34"/>
              <w:rPr>
                <w:szCs w:val="22"/>
              </w:rPr>
            </w:pPr>
            <w:r w:rsidRPr="004D1D61">
              <w:rPr>
                <w:szCs w:val="22"/>
              </w:rPr>
              <w:t xml:space="preserve">Records relating to the </w:t>
            </w:r>
            <w:r>
              <w:rPr>
                <w:szCs w:val="22"/>
              </w:rPr>
              <w:t xml:space="preserve">delivery, </w:t>
            </w:r>
            <w:r w:rsidRPr="004D1D61">
              <w:rPr>
                <w:szCs w:val="22"/>
              </w:rPr>
              <w:t xml:space="preserve">development </w:t>
            </w:r>
            <w:r>
              <w:rPr>
                <w:szCs w:val="22"/>
              </w:rPr>
              <w:t xml:space="preserve">and/or assessment </w:t>
            </w:r>
            <w:r w:rsidRPr="004D1D61">
              <w:rPr>
                <w:szCs w:val="22"/>
              </w:rPr>
              <w:t xml:space="preserve">of </w:t>
            </w:r>
            <w:r w:rsidR="002A5E92">
              <w:rPr>
                <w:szCs w:val="22"/>
              </w:rPr>
              <w:t xml:space="preserve">industry </w:t>
            </w:r>
            <w:r w:rsidRPr="004D1D61">
              <w:rPr>
                <w:szCs w:val="22"/>
              </w:rPr>
              <w:t xml:space="preserve">training </w:t>
            </w:r>
            <w:r>
              <w:rPr>
                <w:szCs w:val="22"/>
              </w:rPr>
              <w:t xml:space="preserve">courses, </w:t>
            </w:r>
            <w:r w:rsidRPr="004D1D61">
              <w:rPr>
                <w:szCs w:val="22"/>
              </w:rPr>
              <w:t>programs, seminars</w:t>
            </w:r>
            <w:r>
              <w:rPr>
                <w:szCs w:val="22"/>
              </w:rPr>
              <w:t xml:space="preserve"> and </w:t>
            </w:r>
            <w:r w:rsidRPr="004D1D61">
              <w:rPr>
                <w:szCs w:val="22"/>
              </w:rPr>
              <w:t>workshops where</w:t>
            </w:r>
            <w:r>
              <w:rPr>
                <w:szCs w:val="22"/>
              </w:rPr>
              <w:t xml:space="preserve"> </w:t>
            </w:r>
            <w:r w:rsidRPr="004D1D61">
              <w:rPr>
                <w:szCs w:val="22"/>
              </w:rPr>
              <w:t>the agency is not a Registered Training</w:t>
            </w:r>
            <w:r>
              <w:rPr>
                <w:szCs w:val="22"/>
              </w:rPr>
              <w:t xml:space="preserve"> </w:t>
            </w:r>
            <w:r w:rsidRPr="004D1D61">
              <w:rPr>
                <w:szCs w:val="22"/>
              </w:rPr>
              <w:t>Organisation (RTO).</w:t>
            </w:r>
            <w:r>
              <w:rPr>
                <w:szCs w:val="22"/>
              </w:rPr>
              <w:t xml:space="preserve"> </w:t>
            </w:r>
          </w:p>
          <w:p w14:paraId="5A1C1BAA" w14:textId="77777777" w:rsidR="00E74011" w:rsidRPr="004D1D61" w:rsidRDefault="00E74011" w:rsidP="00B03116">
            <w:pPr>
              <w:ind w:left="34" w:hanging="34"/>
              <w:rPr>
                <w:szCs w:val="22"/>
              </w:rPr>
            </w:pPr>
            <w:r w:rsidRPr="004D1D61">
              <w:rPr>
                <w:szCs w:val="22"/>
              </w:rPr>
              <w:t>Records may include, but are not limited to:</w:t>
            </w:r>
          </w:p>
          <w:p w14:paraId="035E3063" w14:textId="3C9ABFA6" w:rsidR="00E74011" w:rsidRPr="00ED4977" w:rsidRDefault="00E74011" w:rsidP="008D19B9">
            <w:pPr>
              <w:numPr>
                <w:ilvl w:val="0"/>
                <w:numId w:val="6"/>
              </w:numPr>
              <w:ind w:left="714" w:hanging="357"/>
              <w:jc w:val="both"/>
              <w:rPr>
                <w:rFonts w:cs="Arial"/>
                <w:szCs w:val="22"/>
                <w:lang w:eastAsia="en-AU"/>
              </w:rPr>
            </w:pPr>
            <w:r>
              <w:rPr>
                <w:rFonts w:cs="Arial"/>
                <w:szCs w:val="22"/>
                <w:lang w:eastAsia="en-AU"/>
              </w:rPr>
              <w:t>Multimedia c</w:t>
            </w:r>
            <w:r w:rsidRPr="00ED4977">
              <w:rPr>
                <w:rFonts w:cs="Arial"/>
                <w:szCs w:val="22"/>
                <w:lang w:eastAsia="en-AU"/>
              </w:rPr>
              <w:t xml:space="preserve">ourse </w:t>
            </w:r>
            <w:r>
              <w:rPr>
                <w:rFonts w:cs="Arial"/>
                <w:szCs w:val="22"/>
                <w:lang w:eastAsia="en-AU"/>
              </w:rPr>
              <w:t>m</w:t>
            </w:r>
            <w:r w:rsidRPr="00ED4977">
              <w:rPr>
                <w:rFonts w:cs="Arial"/>
                <w:szCs w:val="22"/>
                <w:lang w:eastAsia="en-AU"/>
              </w:rPr>
              <w:t>aterial</w:t>
            </w:r>
            <w:r>
              <w:rPr>
                <w:rFonts w:cs="Arial"/>
                <w:szCs w:val="22"/>
                <w:lang w:eastAsia="en-AU"/>
              </w:rPr>
              <w:t xml:space="preserve"> (DVDs, CD ROMs, Floppy Disks, printed materials etc.)</w:t>
            </w:r>
          </w:p>
          <w:p w14:paraId="0A0BC7E3" w14:textId="0930348C" w:rsidR="00E74011" w:rsidRPr="00ED4977" w:rsidRDefault="00E74011" w:rsidP="008D19B9">
            <w:pPr>
              <w:numPr>
                <w:ilvl w:val="0"/>
                <w:numId w:val="6"/>
              </w:numPr>
              <w:ind w:left="714" w:hanging="357"/>
              <w:jc w:val="both"/>
              <w:rPr>
                <w:rFonts w:cs="Arial"/>
                <w:szCs w:val="22"/>
                <w:lang w:eastAsia="en-AU"/>
              </w:rPr>
            </w:pPr>
            <w:r w:rsidRPr="00ED4977">
              <w:rPr>
                <w:rFonts w:cs="Arial"/>
                <w:szCs w:val="22"/>
                <w:lang w:eastAsia="en-AU"/>
              </w:rPr>
              <w:t>Handouts and follow-up activities</w:t>
            </w:r>
          </w:p>
          <w:p w14:paraId="7B54E880" w14:textId="1F99D7B2" w:rsidR="00E74011" w:rsidRPr="00BA40F9" w:rsidRDefault="00E74011" w:rsidP="008D19B9">
            <w:pPr>
              <w:numPr>
                <w:ilvl w:val="0"/>
                <w:numId w:val="6"/>
              </w:numPr>
              <w:ind w:left="714" w:hanging="357"/>
              <w:jc w:val="both"/>
              <w:rPr>
                <w:rFonts w:cs="Arial"/>
                <w:szCs w:val="22"/>
                <w:lang w:eastAsia="en-AU"/>
              </w:rPr>
            </w:pPr>
            <w:r w:rsidRPr="00BA40F9">
              <w:rPr>
                <w:rFonts w:cs="Arial"/>
                <w:szCs w:val="22"/>
                <w:lang w:eastAsia="en-AU"/>
              </w:rPr>
              <w:t>Presentations and/or Programs</w:t>
            </w:r>
          </w:p>
          <w:p w14:paraId="4336655D" w14:textId="1A4FC4DE" w:rsidR="00E74011" w:rsidRDefault="00E74011" w:rsidP="008D19B9">
            <w:pPr>
              <w:numPr>
                <w:ilvl w:val="0"/>
                <w:numId w:val="6"/>
              </w:numPr>
              <w:ind w:left="714" w:hanging="357"/>
              <w:jc w:val="both"/>
              <w:rPr>
                <w:rFonts w:cs="Arial"/>
                <w:szCs w:val="22"/>
                <w:lang w:eastAsia="en-AU"/>
              </w:rPr>
            </w:pPr>
            <w:r w:rsidRPr="00ED4977">
              <w:rPr>
                <w:rFonts w:cs="Arial"/>
                <w:szCs w:val="22"/>
                <w:lang w:eastAsia="en-AU"/>
              </w:rPr>
              <w:t>Training Material</w:t>
            </w:r>
            <w:r>
              <w:rPr>
                <w:rFonts w:cs="Arial"/>
                <w:szCs w:val="22"/>
                <w:lang w:eastAsia="en-AU"/>
              </w:rPr>
              <w:t xml:space="preserve"> and Fact Sheets</w:t>
            </w:r>
          </w:p>
          <w:p w14:paraId="1EAEB409" w14:textId="7D42F648" w:rsidR="00E74011" w:rsidRPr="00BA40F9" w:rsidRDefault="00E74011" w:rsidP="008D19B9">
            <w:pPr>
              <w:numPr>
                <w:ilvl w:val="0"/>
                <w:numId w:val="6"/>
              </w:numPr>
              <w:ind w:left="714" w:hanging="357"/>
              <w:jc w:val="both"/>
              <w:rPr>
                <w:szCs w:val="22"/>
              </w:rPr>
            </w:pPr>
            <w:r>
              <w:rPr>
                <w:rFonts w:cs="Arial"/>
                <w:szCs w:val="22"/>
                <w:lang w:eastAsia="en-AU"/>
              </w:rPr>
              <w:t xml:space="preserve">Development and review of course content </w:t>
            </w:r>
            <w:r w:rsidR="002A5E92">
              <w:rPr>
                <w:rFonts w:cs="Arial"/>
                <w:szCs w:val="22"/>
                <w:lang w:eastAsia="en-AU"/>
              </w:rPr>
              <w:t>as provided by external organisations</w:t>
            </w:r>
            <w:r w:rsidR="007E02E6">
              <w:rPr>
                <w:rFonts w:cs="Arial"/>
                <w:szCs w:val="22"/>
                <w:lang w:eastAsia="en-AU"/>
              </w:rPr>
              <w:t>.</w:t>
            </w:r>
          </w:p>
          <w:p w14:paraId="505D6350" w14:textId="4B053064" w:rsidR="00E74011" w:rsidRPr="004D1D61" w:rsidRDefault="00E74011" w:rsidP="008D19B9">
            <w:pPr>
              <w:numPr>
                <w:ilvl w:val="0"/>
                <w:numId w:val="6"/>
              </w:numPr>
              <w:ind w:left="714" w:hanging="357"/>
              <w:jc w:val="both"/>
              <w:rPr>
                <w:szCs w:val="22"/>
              </w:rPr>
            </w:pPr>
            <w:r>
              <w:rPr>
                <w:rFonts w:cs="Arial"/>
                <w:szCs w:val="22"/>
                <w:lang w:eastAsia="en-AU"/>
              </w:rPr>
              <w:t>Brochures, pamphlets and booklets for use by the building and construction industry.</w:t>
            </w:r>
          </w:p>
        </w:tc>
        <w:tc>
          <w:tcPr>
            <w:tcW w:w="900" w:type="pct"/>
            <w:shd w:val="clear" w:color="auto" w:fill="auto"/>
          </w:tcPr>
          <w:p w14:paraId="34D35BD7" w14:textId="324789B9" w:rsidR="00E74011" w:rsidRPr="004D1D61" w:rsidRDefault="00E74011" w:rsidP="00E74011">
            <w:pPr>
              <w:rPr>
                <w:szCs w:val="22"/>
              </w:rPr>
            </w:pPr>
            <w:r w:rsidRPr="004D1D61">
              <w:rPr>
                <w:szCs w:val="22"/>
              </w:rPr>
              <w:t xml:space="preserve">7 years after </w:t>
            </w:r>
            <w:r>
              <w:rPr>
                <w:szCs w:val="22"/>
              </w:rPr>
              <w:t>business action completed.</w:t>
            </w:r>
          </w:p>
          <w:p w14:paraId="2B7722BF" w14:textId="77777777" w:rsidR="00E74011" w:rsidRPr="004D1D61" w:rsidRDefault="00E74011" w:rsidP="00E74011">
            <w:pPr>
              <w:rPr>
                <w:szCs w:val="22"/>
              </w:rPr>
            </w:pPr>
          </w:p>
          <w:p w14:paraId="29B7DCD0" w14:textId="77777777" w:rsidR="00E74011" w:rsidRPr="004D1D61" w:rsidRDefault="00E74011" w:rsidP="00E74011">
            <w:pPr>
              <w:rPr>
                <w:szCs w:val="22"/>
              </w:rPr>
            </w:pPr>
          </w:p>
        </w:tc>
        <w:tc>
          <w:tcPr>
            <w:tcW w:w="549" w:type="pct"/>
          </w:tcPr>
          <w:p w14:paraId="0D9EEEDB" w14:textId="6C13174D" w:rsidR="00E74011" w:rsidRPr="004D1D61" w:rsidRDefault="00912862" w:rsidP="00E74011">
            <w:pPr>
              <w:rPr>
                <w:szCs w:val="22"/>
              </w:rPr>
            </w:pPr>
            <w:r>
              <w:rPr>
                <w:szCs w:val="22"/>
              </w:rPr>
              <w:t>15 December 2023</w:t>
            </w:r>
          </w:p>
        </w:tc>
      </w:tr>
      <w:tr w:rsidR="00E74011" w:rsidRPr="004D14B4" w14:paraId="443EB17B" w14:textId="77777777" w:rsidTr="006911D1">
        <w:tblPrEx>
          <w:tblCellMar>
            <w:top w:w="57" w:type="dxa"/>
            <w:left w:w="119" w:type="dxa"/>
            <w:right w:w="119" w:type="dxa"/>
          </w:tblCellMar>
        </w:tblPrEx>
        <w:tc>
          <w:tcPr>
            <w:tcW w:w="509" w:type="pct"/>
            <w:shd w:val="clear" w:color="auto" w:fill="auto"/>
          </w:tcPr>
          <w:p w14:paraId="4F7BE797" w14:textId="6C434F0B" w:rsidR="00E74011" w:rsidRDefault="00C53658" w:rsidP="00E74011">
            <w:pPr>
              <w:pStyle w:val="Tabletext"/>
              <w:spacing w:before="60" w:after="60"/>
              <w:rPr>
                <w:sz w:val="22"/>
                <w:szCs w:val="22"/>
              </w:rPr>
            </w:pPr>
            <w:r>
              <w:rPr>
                <w:sz w:val="22"/>
                <w:szCs w:val="22"/>
              </w:rPr>
              <w:lastRenderedPageBreak/>
              <w:t>2774</w:t>
            </w:r>
          </w:p>
        </w:tc>
        <w:tc>
          <w:tcPr>
            <w:tcW w:w="3042" w:type="pct"/>
            <w:shd w:val="clear" w:color="auto" w:fill="auto"/>
          </w:tcPr>
          <w:p w14:paraId="64E0F017" w14:textId="3E7FB8F5" w:rsidR="00E74011" w:rsidRDefault="00A10A95" w:rsidP="00B03116">
            <w:pPr>
              <w:ind w:left="34" w:hanging="34"/>
              <w:rPr>
                <w:b/>
              </w:rPr>
            </w:pPr>
            <w:r>
              <w:rPr>
                <w:b/>
              </w:rPr>
              <w:t xml:space="preserve">Register of </w:t>
            </w:r>
            <w:r w:rsidR="000E3913">
              <w:rPr>
                <w:b/>
              </w:rPr>
              <w:t>Licensee</w:t>
            </w:r>
            <w:r>
              <w:rPr>
                <w:b/>
              </w:rPr>
              <w:t>s</w:t>
            </w:r>
          </w:p>
          <w:p w14:paraId="5E948F8F" w14:textId="2BE5CDED" w:rsidR="00125B6A" w:rsidRDefault="00E74011" w:rsidP="002A5E92">
            <w:pPr>
              <w:pStyle w:val="ListParagraph"/>
              <w:spacing w:line="276" w:lineRule="auto"/>
              <w:ind w:left="34"/>
              <w:rPr>
                <w:rFonts w:cs="Arial"/>
                <w:szCs w:val="22"/>
              </w:rPr>
            </w:pPr>
            <w:r w:rsidRPr="00B96AFB">
              <w:t>Records</w:t>
            </w:r>
            <w:r>
              <w:t xml:space="preserve"> in any format (physical books, digital or web</w:t>
            </w:r>
            <w:r w:rsidR="002A5E92">
              <w:t>-</w:t>
            </w:r>
            <w:r>
              <w:t xml:space="preserve">based) of registers </w:t>
            </w:r>
            <w:r w:rsidR="008B2517">
              <w:t xml:space="preserve">of licensees </w:t>
            </w:r>
            <w:r>
              <w:t xml:space="preserve">kept in accordance with the </w:t>
            </w:r>
            <w:r w:rsidRPr="00B03116">
              <w:rPr>
                <w:i/>
                <w:iCs/>
              </w:rPr>
              <w:t>Queensland Building &amp; Construction Act 1991</w:t>
            </w:r>
            <w:r>
              <w:t xml:space="preserve">, </w:t>
            </w:r>
            <w:r w:rsidR="000B2A4B">
              <w:t xml:space="preserve">the </w:t>
            </w:r>
            <w:r w:rsidRPr="00B03116">
              <w:rPr>
                <w:i/>
                <w:iCs/>
              </w:rPr>
              <w:t>Building Act 1975</w:t>
            </w:r>
            <w:r>
              <w:t xml:space="preserve"> and the </w:t>
            </w:r>
            <w:r w:rsidRPr="00B03116">
              <w:rPr>
                <w:rFonts w:cs="Arial"/>
                <w:i/>
                <w:iCs/>
                <w:szCs w:val="22"/>
              </w:rPr>
              <w:t>Plumbing</w:t>
            </w:r>
            <w:r w:rsidR="0016206F" w:rsidRPr="00B03116">
              <w:rPr>
                <w:rFonts w:cs="Arial"/>
                <w:i/>
                <w:iCs/>
                <w:szCs w:val="22"/>
              </w:rPr>
              <w:t xml:space="preserve"> and</w:t>
            </w:r>
            <w:r w:rsidRPr="00B03116">
              <w:rPr>
                <w:rFonts w:cs="Arial"/>
                <w:i/>
                <w:iCs/>
                <w:szCs w:val="22"/>
              </w:rPr>
              <w:t xml:space="preserve"> Drainage Act 2018</w:t>
            </w:r>
            <w:r w:rsidRPr="002475D8">
              <w:rPr>
                <w:rFonts w:cs="Arial"/>
                <w:szCs w:val="22"/>
              </w:rPr>
              <w:t>.</w:t>
            </w:r>
            <w:r>
              <w:rPr>
                <w:rFonts w:cs="Arial"/>
                <w:szCs w:val="22"/>
              </w:rPr>
              <w:t xml:space="preserve">  </w:t>
            </w:r>
          </w:p>
          <w:p w14:paraId="555F06D0" w14:textId="41388B8D" w:rsidR="00E74011" w:rsidRPr="00ED7ADC" w:rsidRDefault="004E018E" w:rsidP="002A5E92">
            <w:pPr>
              <w:pStyle w:val="ListParagraph"/>
              <w:spacing w:line="276" w:lineRule="auto"/>
              <w:ind w:left="34"/>
              <w:rPr>
                <w:rFonts w:cs="Arial"/>
                <w:szCs w:val="22"/>
              </w:rPr>
            </w:pPr>
            <w:r>
              <w:rPr>
                <w:rFonts w:cs="Arial"/>
                <w:szCs w:val="22"/>
              </w:rPr>
              <w:t>Records may include</w:t>
            </w:r>
            <w:r w:rsidR="00125B6A">
              <w:rPr>
                <w:rFonts w:cs="Arial"/>
                <w:szCs w:val="22"/>
              </w:rPr>
              <w:t xml:space="preserve">, </w:t>
            </w:r>
            <w:r w:rsidR="00E74011" w:rsidRPr="00ED7ADC">
              <w:rPr>
                <w:rFonts w:cs="Arial"/>
                <w:szCs w:val="22"/>
              </w:rPr>
              <w:t xml:space="preserve">but </w:t>
            </w:r>
            <w:r w:rsidR="00E74011">
              <w:rPr>
                <w:rFonts w:cs="Arial"/>
                <w:szCs w:val="22"/>
              </w:rPr>
              <w:t xml:space="preserve">are </w:t>
            </w:r>
            <w:r w:rsidR="00E74011" w:rsidRPr="00ED7ADC">
              <w:rPr>
                <w:rFonts w:cs="Arial"/>
                <w:szCs w:val="22"/>
              </w:rPr>
              <w:t>not limited to:</w:t>
            </w:r>
          </w:p>
          <w:p w14:paraId="5816E9C8" w14:textId="579224AA" w:rsidR="00E74011" w:rsidRDefault="00E74011" w:rsidP="008D19B9">
            <w:pPr>
              <w:numPr>
                <w:ilvl w:val="0"/>
                <w:numId w:val="6"/>
              </w:numPr>
              <w:ind w:left="714" w:hanging="357"/>
              <w:jc w:val="both"/>
              <w:rPr>
                <w:rFonts w:cs="Arial"/>
                <w:szCs w:val="22"/>
                <w:lang w:eastAsia="en-AU"/>
              </w:rPr>
            </w:pPr>
            <w:bookmarkStart w:id="21" w:name="OLE_LINK7"/>
            <w:r>
              <w:rPr>
                <w:rFonts w:cs="Arial"/>
                <w:szCs w:val="22"/>
                <w:lang w:eastAsia="en-AU"/>
              </w:rPr>
              <w:t>Licence Register, including Cancelled and Suspended Licensees</w:t>
            </w:r>
          </w:p>
          <w:p w14:paraId="0E10C85D" w14:textId="35E2FF03" w:rsidR="00E74011" w:rsidRDefault="00E74011" w:rsidP="008D19B9">
            <w:pPr>
              <w:numPr>
                <w:ilvl w:val="0"/>
                <w:numId w:val="6"/>
              </w:numPr>
              <w:ind w:left="714" w:hanging="357"/>
              <w:jc w:val="both"/>
              <w:rPr>
                <w:rFonts w:cs="Arial"/>
                <w:szCs w:val="22"/>
                <w:lang w:eastAsia="en-AU"/>
              </w:rPr>
            </w:pPr>
            <w:r>
              <w:rPr>
                <w:rFonts w:cs="Arial"/>
                <w:szCs w:val="22"/>
                <w:lang w:eastAsia="en-AU"/>
              </w:rPr>
              <w:t>Building Certifier Register</w:t>
            </w:r>
          </w:p>
          <w:p w14:paraId="1D10E254" w14:textId="6CD51F4B" w:rsidR="00E74011" w:rsidRDefault="00E74011" w:rsidP="008D19B9">
            <w:pPr>
              <w:numPr>
                <w:ilvl w:val="0"/>
                <w:numId w:val="6"/>
              </w:numPr>
              <w:ind w:left="714" w:hanging="357"/>
              <w:jc w:val="both"/>
              <w:rPr>
                <w:rFonts w:cs="Arial"/>
                <w:szCs w:val="22"/>
                <w:lang w:eastAsia="en-AU"/>
              </w:rPr>
            </w:pPr>
            <w:r>
              <w:rPr>
                <w:rFonts w:cs="Arial"/>
                <w:szCs w:val="22"/>
                <w:lang w:eastAsia="en-AU"/>
              </w:rPr>
              <w:t>Plumbing and Drainage Licensee Register</w:t>
            </w:r>
          </w:p>
          <w:bookmarkEnd w:id="21"/>
          <w:p w14:paraId="5F706924" w14:textId="6695C043" w:rsidR="00E74011" w:rsidRPr="00B96AFB" w:rsidRDefault="00E74011" w:rsidP="008D19B9">
            <w:pPr>
              <w:numPr>
                <w:ilvl w:val="0"/>
                <w:numId w:val="6"/>
              </w:numPr>
              <w:ind w:left="714" w:hanging="357"/>
              <w:jc w:val="both"/>
            </w:pPr>
            <w:r>
              <w:rPr>
                <w:rFonts w:cs="Arial"/>
                <w:szCs w:val="22"/>
                <w:lang w:eastAsia="en-AU"/>
              </w:rPr>
              <w:t>Legacy Bound Licensee Register Book - circa 1972 to 1992</w:t>
            </w:r>
          </w:p>
        </w:tc>
        <w:tc>
          <w:tcPr>
            <w:tcW w:w="900" w:type="pct"/>
            <w:shd w:val="clear" w:color="auto" w:fill="auto"/>
          </w:tcPr>
          <w:p w14:paraId="64258733" w14:textId="77777777" w:rsidR="00E74011" w:rsidRDefault="00E74011" w:rsidP="00E74011">
            <w:pPr>
              <w:rPr>
                <w:rFonts w:cs="Arial"/>
                <w:szCs w:val="22"/>
              </w:rPr>
            </w:pPr>
            <w:r>
              <w:rPr>
                <w:rFonts w:cs="Arial"/>
                <w:szCs w:val="22"/>
              </w:rPr>
              <w:t>Permanent.</w:t>
            </w:r>
          </w:p>
          <w:p w14:paraId="767E6962" w14:textId="52BF9497" w:rsidR="00E74011" w:rsidRPr="001321A9" w:rsidRDefault="00E74011" w:rsidP="00E74011">
            <w:pPr>
              <w:rPr>
                <w:rFonts w:cs="Arial"/>
                <w:szCs w:val="22"/>
              </w:rPr>
            </w:pPr>
            <w:r>
              <w:rPr>
                <w:rFonts w:cs="Arial"/>
                <w:szCs w:val="22"/>
              </w:rPr>
              <w:t>Transfer to QSA after business action completed.</w:t>
            </w:r>
          </w:p>
        </w:tc>
        <w:tc>
          <w:tcPr>
            <w:tcW w:w="549" w:type="pct"/>
          </w:tcPr>
          <w:p w14:paraId="6A9DD69A" w14:textId="019EA5EB" w:rsidR="00E74011" w:rsidRDefault="00912862" w:rsidP="00E74011">
            <w:r>
              <w:t>15 December 2023</w:t>
            </w:r>
          </w:p>
        </w:tc>
      </w:tr>
      <w:tr w:rsidR="00A10A95" w:rsidRPr="004D14B4" w14:paraId="7C001A85" w14:textId="77777777" w:rsidTr="006911D1">
        <w:tblPrEx>
          <w:tblCellMar>
            <w:top w:w="57" w:type="dxa"/>
            <w:left w:w="119" w:type="dxa"/>
            <w:right w:w="119" w:type="dxa"/>
          </w:tblCellMar>
        </w:tblPrEx>
        <w:tc>
          <w:tcPr>
            <w:tcW w:w="509" w:type="pct"/>
            <w:shd w:val="clear" w:color="auto" w:fill="auto"/>
          </w:tcPr>
          <w:p w14:paraId="3631EA4C" w14:textId="17744405" w:rsidR="00A10A95" w:rsidRDefault="00B838BE" w:rsidP="00A10A95">
            <w:pPr>
              <w:pStyle w:val="Tabletext"/>
              <w:spacing w:before="60" w:after="60"/>
              <w:rPr>
                <w:sz w:val="22"/>
                <w:szCs w:val="22"/>
              </w:rPr>
            </w:pPr>
            <w:r>
              <w:rPr>
                <w:sz w:val="22"/>
                <w:szCs w:val="22"/>
              </w:rPr>
              <w:t>2775</w:t>
            </w:r>
          </w:p>
        </w:tc>
        <w:tc>
          <w:tcPr>
            <w:tcW w:w="3042" w:type="pct"/>
            <w:shd w:val="clear" w:color="auto" w:fill="auto"/>
          </w:tcPr>
          <w:p w14:paraId="3F2F1840" w14:textId="161A83DE" w:rsidR="00A10A95" w:rsidRDefault="00A10A95" w:rsidP="00B03116">
            <w:pPr>
              <w:ind w:left="34" w:hanging="34"/>
              <w:rPr>
                <w:b/>
              </w:rPr>
            </w:pPr>
            <w:r>
              <w:rPr>
                <w:b/>
              </w:rPr>
              <w:t xml:space="preserve">Registers </w:t>
            </w:r>
            <w:r w:rsidR="00125B6A">
              <w:rPr>
                <w:b/>
              </w:rPr>
              <w:t>–</w:t>
            </w:r>
            <w:r>
              <w:rPr>
                <w:b/>
              </w:rPr>
              <w:t xml:space="preserve"> Other</w:t>
            </w:r>
          </w:p>
          <w:p w14:paraId="7547B212" w14:textId="059DF4EB" w:rsidR="00125B6A" w:rsidRDefault="00125B6A" w:rsidP="00B03116">
            <w:pPr>
              <w:ind w:left="34" w:hanging="34"/>
              <w:rPr>
                <w:rFonts w:cs="Arial"/>
                <w:szCs w:val="22"/>
              </w:rPr>
            </w:pPr>
            <w:r w:rsidRPr="00B96AFB">
              <w:t>Records</w:t>
            </w:r>
            <w:r>
              <w:t xml:space="preserve"> in any format (physical books, digital or web-based) of registers of those associated with the building industry kept in accordance with the </w:t>
            </w:r>
            <w:r w:rsidRPr="00B03116">
              <w:rPr>
                <w:i/>
                <w:iCs/>
              </w:rPr>
              <w:t>Queensland Building &amp; Construction Act 1991</w:t>
            </w:r>
            <w:r>
              <w:t xml:space="preserve">, </w:t>
            </w:r>
            <w:r w:rsidR="000B2A4B">
              <w:t xml:space="preserve">the </w:t>
            </w:r>
            <w:r w:rsidRPr="00B03116">
              <w:rPr>
                <w:i/>
                <w:iCs/>
              </w:rPr>
              <w:t>Building Act 1975</w:t>
            </w:r>
            <w:r>
              <w:t xml:space="preserve"> and the </w:t>
            </w:r>
            <w:r w:rsidRPr="00B03116">
              <w:rPr>
                <w:rFonts w:cs="Arial"/>
                <w:i/>
                <w:iCs/>
                <w:szCs w:val="22"/>
              </w:rPr>
              <w:t xml:space="preserve">Plumbing </w:t>
            </w:r>
            <w:r w:rsidR="004F49B7" w:rsidRPr="00B03116">
              <w:rPr>
                <w:rFonts w:cs="Arial"/>
                <w:i/>
                <w:iCs/>
                <w:szCs w:val="22"/>
              </w:rPr>
              <w:t xml:space="preserve">and </w:t>
            </w:r>
            <w:r w:rsidRPr="00B03116">
              <w:rPr>
                <w:rFonts w:cs="Arial"/>
                <w:i/>
                <w:iCs/>
                <w:szCs w:val="22"/>
              </w:rPr>
              <w:t>Drainage Act 2018</w:t>
            </w:r>
            <w:r w:rsidRPr="002475D8">
              <w:rPr>
                <w:rFonts w:cs="Arial"/>
                <w:szCs w:val="22"/>
              </w:rPr>
              <w:t>.</w:t>
            </w:r>
            <w:r>
              <w:rPr>
                <w:rFonts w:cs="Arial"/>
                <w:szCs w:val="22"/>
              </w:rPr>
              <w:t xml:space="preserve">  </w:t>
            </w:r>
          </w:p>
          <w:p w14:paraId="26DBD4DE" w14:textId="27AB2C25" w:rsidR="00125B6A" w:rsidRPr="00125B6A" w:rsidRDefault="004E018E" w:rsidP="00B03116">
            <w:pPr>
              <w:ind w:left="34" w:hanging="34"/>
            </w:pPr>
            <w:r>
              <w:t>Records may include</w:t>
            </w:r>
            <w:r w:rsidR="00125B6A" w:rsidRPr="00125B6A">
              <w:t xml:space="preserve">, but are not limited to: </w:t>
            </w:r>
          </w:p>
          <w:p w14:paraId="3F1E9D9A" w14:textId="77777777" w:rsidR="00A10A95" w:rsidRDefault="00A10A95" w:rsidP="008D19B9">
            <w:pPr>
              <w:numPr>
                <w:ilvl w:val="0"/>
                <w:numId w:val="6"/>
              </w:numPr>
              <w:ind w:left="714" w:hanging="357"/>
              <w:jc w:val="both"/>
              <w:rPr>
                <w:rFonts w:cs="Arial"/>
                <w:szCs w:val="22"/>
                <w:lang w:eastAsia="en-AU"/>
              </w:rPr>
            </w:pPr>
            <w:r>
              <w:rPr>
                <w:rFonts w:cs="Arial"/>
                <w:szCs w:val="22"/>
                <w:lang w:eastAsia="en-AU"/>
              </w:rPr>
              <w:t>Owner Builder Register</w:t>
            </w:r>
          </w:p>
          <w:p w14:paraId="3C2B51EE" w14:textId="1490E328" w:rsidR="00A10A95" w:rsidRDefault="00A10A95" w:rsidP="008D19B9">
            <w:pPr>
              <w:numPr>
                <w:ilvl w:val="0"/>
                <w:numId w:val="6"/>
              </w:numPr>
              <w:ind w:left="714" w:hanging="357"/>
              <w:jc w:val="both"/>
              <w:rPr>
                <w:rFonts w:cs="Arial"/>
                <w:szCs w:val="22"/>
                <w:lang w:eastAsia="en-AU"/>
              </w:rPr>
            </w:pPr>
            <w:r>
              <w:rPr>
                <w:rFonts w:cs="Arial"/>
                <w:szCs w:val="22"/>
                <w:lang w:eastAsia="en-AU"/>
              </w:rPr>
              <w:t>Developer Register</w:t>
            </w:r>
          </w:p>
          <w:p w14:paraId="09C18FAE" w14:textId="77777777" w:rsidR="00A10A95" w:rsidRPr="004E3149" w:rsidRDefault="00A10A95" w:rsidP="008D19B9">
            <w:pPr>
              <w:numPr>
                <w:ilvl w:val="0"/>
                <w:numId w:val="6"/>
              </w:numPr>
              <w:ind w:left="714" w:hanging="357"/>
              <w:jc w:val="both"/>
              <w:rPr>
                <w:rFonts w:cs="Arial"/>
                <w:szCs w:val="22"/>
              </w:rPr>
            </w:pPr>
            <w:r>
              <w:rPr>
                <w:rFonts w:cs="Arial"/>
                <w:szCs w:val="22"/>
              </w:rPr>
              <w:t xml:space="preserve">Register of </w:t>
            </w:r>
            <w:r w:rsidRPr="004E3149">
              <w:rPr>
                <w:rFonts w:cs="Arial"/>
                <w:szCs w:val="22"/>
              </w:rPr>
              <w:t xml:space="preserve">Pool </w:t>
            </w:r>
            <w:r>
              <w:rPr>
                <w:rFonts w:cs="Arial"/>
                <w:szCs w:val="22"/>
              </w:rPr>
              <w:t>Safety Inspectors</w:t>
            </w:r>
          </w:p>
          <w:p w14:paraId="33F6314A" w14:textId="42F2E514" w:rsidR="00A10A95" w:rsidRPr="004375B8" w:rsidRDefault="00A10A95" w:rsidP="008D19B9">
            <w:pPr>
              <w:numPr>
                <w:ilvl w:val="0"/>
                <w:numId w:val="6"/>
              </w:numPr>
              <w:ind w:left="714" w:hanging="357"/>
              <w:rPr>
                <w:b/>
              </w:rPr>
            </w:pPr>
            <w:r>
              <w:rPr>
                <w:rFonts w:cs="Arial"/>
                <w:szCs w:val="22"/>
              </w:rPr>
              <w:t xml:space="preserve">Pool </w:t>
            </w:r>
            <w:r w:rsidRPr="000C414E">
              <w:rPr>
                <w:rFonts w:cs="Arial"/>
                <w:szCs w:val="22"/>
              </w:rPr>
              <w:t xml:space="preserve">Register </w:t>
            </w:r>
            <w:r>
              <w:rPr>
                <w:rFonts w:cs="Arial"/>
                <w:szCs w:val="22"/>
              </w:rPr>
              <w:t xml:space="preserve">for </w:t>
            </w:r>
            <w:r w:rsidRPr="000C414E">
              <w:rPr>
                <w:rFonts w:cs="Arial"/>
                <w:szCs w:val="22"/>
              </w:rPr>
              <w:t>R</w:t>
            </w:r>
            <w:r>
              <w:rPr>
                <w:rFonts w:cs="Arial"/>
                <w:szCs w:val="22"/>
              </w:rPr>
              <w:t xml:space="preserve">egulated Pools / </w:t>
            </w:r>
            <w:r w:rsidRPr="000C414E">
              <w:rPr>
                <w:rFonts w:cs="Arial"/>
                <w:szCs w:val="22"/>
              </w:rPr>
              <w:t>Pool</w:t>
            </w:r>
            <w:r>
              <w:rPr>
                <w:rFonts w:cs="Arial"/>
                <w:szCs w:val="22"/>
              </w:rPr>
              <w:t xml:space="preserve"> Safety Certificate</w:t>
            </w:r>
            <w:r w:rsidRPr="000C414E">
              <w:rPr>
                <w:rFonts w:cs="Arial"/>
                <w:szCs w:val="22"/>
              </w:rPr>
              <w:t>s</w:t>
            </w:r>
            <w:r>
              <w:rPr>
                <w:rFonts w:cs="Arial"/>
                <w:szCs w:val="22"/>
              </w:rPr>
              <w:t xml:space="preserve"> etc.</w:t>
            </w:r>
          </w:p>
        </w:tc>
        <w:tc>
          <w:tcPr>
            <w:tcW w:w="900" w:type="pct"/>
            <w:shd w:val="clear" w:color="auto" w:fill="auto"/>
          </w:tcPr>
          <w:p w14:paraId="43836C8E" w14:textId="5E699017" w:rsidR="00D8157D" w:rsidRPr="0039186C" w:rsidRDefault="00D8157D" w:rsidP="00D8157D">
            <w:pPr>
              <w:rPr>
                <w:rFonts w:cs="Arial"/>
                <w:szCs w:val="22"/>
              </w:rPr>
            </w:pPr>
            <w:r w:rsidRPr="0039186C">
              <w:rPr>
                <w:rFonts w:cs="Arial"/>
                <w:szCs w:val="22"/>
              </w:rPr>
              <w:t>20 years after business action completed.</w:t>
            </w:r>
          </w:p>
          <w:p w14:paraId="77EA6A33" w14:textId="77777777" w:rsidR="00A10A95" w:rsidRDefault="00A10A95" w:rsidP="00A10A95">
            <w:pPr>
              <w:rPr>
                <w:rFonts w:cs="Arial"/>
                <w:szCs w:val="22"/>
              </w:rPr>
            </w:pPr>
          </w:p>
          <w:p w14:paraId="06CDA8E5" w14:textId="77777777" w:rsidR="00A10A95" w:rsidRDefault="00A10A95" w:rsidP="00A10A95">
            <w:pPr>
              <w:rPr>
                <w:rFonts w:cs="Arial"/>
                <w:szCs w:val="22"/>
              </w:rPr>
            </w:pPr>
          </w:p>
        </w:tc>
        <w:tc>
          <w:tcPr>
            <w:tcW w:w="549" w:type="pct"/>
          </w:tcPr>
          <w:p w14:paraId="1AD517D6" w14:textId="02D1CC25" w:rsidR="00A10A95" w:rsidRDefault="00912862" w:rsidP="00A10A95">
            <w:r>
              <w:t>15 December 2023</w:t>
            </w:r>
          </w:p>
        </w:tc>
      </w:tr>
      <w:tr w:rsidR="00A10A95" w:rsidRPr="004D14B4" w14:paraId="02451369" w14:textId="77777777" w:rsidTr="006911D1">
        <w:tblPrEx>
          <w:tblCellMar>
            <w:top w:w="57" w:type="dxa"/>
            <w:left w:w="119" w:type="dxa"/>
            <w:right w:w="119" w:type="dxa"/>
          </w:tblCellMar>
        </w:tblPrEx>
        <w:tc>
          <w:tcPr>
            <w:tcW w:w="509" w:type="pct"/>
            <w:shd w:val="clear" w:color="auto" w:fill="auto"/>
          </w:tcPr>
          <w:p w14:paraId="2A895B8F" w14:textId="70696A22" w:rsidR="00A10A95" w:rsidRDefault="00F664CC" w:rsidP="00A10A95">
            <w:pPr>
              <w:pStyle w:val="Tabletext"/>
              <w:spacing w:before="60" w:after="60"/>
              <w:rPr>
                <w:sz w:val="22"/>
                <w:szCs w:val="22"/>
              </w:rPr>
            </w:pPr>
            <w:r>
              <w:rPr>
                <w:sz w:val="22"/>
                <w:szCs w:val="22"/>
              </w:rPr>
              <w:t>2776</w:t>
            </w:r>
          </w:p>
        </w:tc>
        <w:tc>
          <w:tcPr>
            <w:tcW w:w="3042" w:type="pct"/>
            <w:shd w:val="clear" w:color="auto" w:fill="auto"/>
          </w:tcPr>
          <w:p w14:paraId="25805EF4" w14:textId="71C66467" w:rsidR="00A10A95" w:rsidRPr="004375B8" w:rsidRDefault="00A10A95" w:rsidP="00B03116">
            <w:pPr>
              <w:ind w:left="34" w:hanging="34"/>
              <w:rPr>
                <w:b/>
              </w:rPr>
            </w:pPr>
            <w:r w:rsidRPr="004375B8">
              <w:rPr>
                <w:b/>
              </w:rPr>
              <w:t>Complaints, Investigations</w:t>
            </w:r>
            <w:r>
              <w:rPr>
                <w:b/>
              </w:rPr>
              <w:t xml:space="preserve"> and Audits</w:t>
            </w:r>
          </w:p>
          <w:p w14:paraId="4768E0A7" w14:textId="17E66FCA" w:rsidR="00A10A95" w:rsidRPr="00D725F6" w:rsidRDefault="00A10A95" w:rsidP="00B03116">
            <w:pPr>
              <w:ind w:left="34" w:hanging="34"/>
            </w:pPr>
            <w:r w:rsidRPr="00D725F6">
              <w:t xml:space="preserve">Records relating </w:t>
            </w:r>
            <w:r>
              <w:t xml:space="preserve">to </w:t>
            </w:r>
            <w:r w:rsidRPr="00D725F6">
              <w:t xml:space="preserve">the investigation of offences under the </w:t>
            </w:r>
            <w:r w:rsidRPr="00B03116">
              <w:rPr>
                <w:i/>
                <w:iCs/>
              </w:rPr>
              <w:t>Queensland Building &amp; Construction Commission Act 1991</w:t>
            </w:r>
            <w:r w:rsidRPr="00D725F6">
              <w:t xml:space="preserve">, </w:t>
            </w:r>
            <w:r w:rsidR="00245307">
              <w:t xml:space="preserve">the </w:t>
            </w:r>
            <w:r w:rsidRPr="00B03116">
              <w:rPr>
                <w:i/>
                <w:iCs/>
              </w:rPr>
              <w:t>Building Industry Fairness Act 2017</w:t>
            </w:r>
            <w:r>
              <w:t xml:space="preserve"> </w:t>
            </w:r>
            <w:r w:rsidRPr="00D725F6">
              <w:t xml:space="preserve">and the </w:t>
            </w:r>
            <w:r w:rsidRPr="00B03116">
              <w:rPr>
                <w:i/>
                <w:iCs/>
              </w:rPr>
              <w:t>Plumbing and Drainage Act 2018</w:t>
            </w:r>
            <w:r w:rsidRPr="00D725F6">
              <w:t>.</w:t>
            </w:r>
            <w:r w:rsidR="004E018E">
              <w:t xml:space="preserve"> Includes records relating to monitoring of enforcement of compliance. </w:t>
            </w:r>
          </w:p>
          <w:p w14:paraId="0DBBBA2E" w14:textId="035E2793" w:rsidR="00A10A95" w:rsidRPr="00D725F6" w:rsidRDefault="004E018E" w:rsidP="00B03116">
            <w:pPr>
              <w:spacing w:line="276" w:lineRule="auto"/>
              <w:ind w:left="34" w:hanging="34"/>
            </w:pPr>
            <w:r>
              <w:t>Records may include</w:t>
            </w:r>
            <w:r w:rsidR="00A10A95" w:rsidRPr="00D725F6">
              <w:t>, but are not limited to:</w:t>
            </w:r>
          </w:p>
          <w:p w14:paraId="525F4EBD" w14:textId="0B4974CD" w:rsidR="00A10A95" w:rsidRPr="00D725F6" w:rsidRDefault="00A10A95" w:rsidP="008D19B9">
            <w:pPr>
              <w:pStyle w:val="ListParagraph"/>
              <w:numPr>
                <w:ilvl w:val="0"/>
                <w:numId w:val="12"/>
              </w:numPr>
              <w:jc w:val="both"/>
            </w:pPr>
            <w:r w:rsidRPr="00D725F6">
              <w:t>Enforcement Notices</w:t>
            </w:r>
          </w:p>
          <w:p w14:paraId="20E7C64D" w14:textId="12405036" w:rsidR="00A10A95" w:rsidRPr="00D725F6" w:rsidRDefault="00A10A95" w:rsidP="008D19B9">
            <w:pPr>
              <w:pStyle w:val="ListParagraph"/>
              <w:numPr>
                <w:ilvl w:val="0"/>
                <w:numId w:val="12"/>
              </w:numPr>
              <w:jc w:val="both"/>
            </w:pPr>
            <w:r w:rsidRPr="00D725F6">
              <w:t xml:space="preserve">Notifiable Work </w:t>
            </w:r>
            <w:r>
              <w:t xml:space="preserve">Notices </w:t>
            </w:r>
            <w:r w:rsidRPr="00D725F6">
              <w:t>(Plumbing Form 4)</w:t>
            </w:r>
          </w:p>
          <w:p w14:paraId="4F3CFA97" w14:textId="3727C9F1" w:rsidR="00A10A95" w:rsidRPr="00D725F6" w:rsidRDefault="00A10A95" w:rsidP="008D19B9">
            <w:pPr>
              <w:pStyle w:val="ListParagraph"/>
              <w:numPr>
                <w:ilvl w:val="0"/>
                <w:numId w:val="12"/>
              </w:numPr>
              <w:jc w:val="both"/>
            </w:pPr>
            <w:r w:rsidRPr="00D725F6">
              <w:t>Show Cause Notices for Failing to Give Notice of Notifiable Work</w:t>
            </w:r>
          </w:p>
          <w:p w14:paraId="0C7AFFB1" w14:textId="2A4649C4" w:rsidR="00A10A95" w:rsidRDefault="00A10A95" w:rsidP="008D19B9">
            <w:pPr>
              <w:pStyle w:val="ListParagraph"/>
              <w:numPr>
                <w:ilvl w:val="0"/>
                <w:numId w:val="12"/>
              </w:numPr>
              <w:jc w:val="both"/>
            </w:pPr>
            <w:r w:rsidRPr="00D725F6">
              <w:lastRenderedPageBreak/>
              <w:t>Consent to Enter Notices and Notices of Disciplinary Action</w:t>
            </w:r>
          </w:p>
          <w:p w14:paraId="3103CC05" w14:textId="75047796" w:rsidR="00A10A95" w:rsidRPr="00D725F6" w:rsidRDefault="00A10A95" w:rsidP="008D19B9">
            <w:pPr>
              <w:pStyle w:val="ListParagraph"/>
              <w:numPr>
                <w:ilvl w:val="0"/>
                <w:numId w:val="12"/>
              </w:numPr>
              <w:jc w:val="both"/>
            </w:pPr>
            <w:r w:rsidRPr="00D725F6">
              <w:t xml:space="preserve">Investigations into </w:t>
            </w:r>
            <w:r>
              <w:t>S</w:t>
            </w:r>
            <w:r w:rsidRPr="00D725F6">
              <w:t xml:space="preserve">uspected </w:t>
            </w:r>
            <w:r>
              <w:t>U</w:t>
            </w:r>
            <w:r w:rsidRPr="00D725F6">
              <w:t xml:space="preserve">nlicensed </w:t>
            </w:r>
            <w:r>
              <w:t>C</w:t>
            </w:r>
            <w:r w:rsidRPr="00D725F6">
              <w:t>ontracting</w:t>
            </w:r>
          </w:p>
          <w:p w14:paraId="71FC18D9" w14:textId="54B1DBFD" w:rsidR="00A10A95" w:rsidRPr="00D725F6" w:rsidRDefault="00A10A95" w:rsidP="008D19B9">
            <w:pPr>
              <w:pStyle w:val="ListParagraph"/>
              <w:numPr>
                <w:ilvl w:val="0"/>
                <w:numId w:val="12"/>
              </w:numPr>
              <w:jc w:val="both"/>
            </w:pPr>
            <w:r w:rsidRPr="00D725F6">
              <w:t xml:space="preserve">Investigations and </w:t>
            </w:r>
            <w:r>
              <w:t>A</w:t>
            </w:r>
            <w:r w:rsidRPr="00D725F6">
              <w:t xml:space="preserve">udits of </w:t>
            </w:r>
            <w:r>
              <w:t>A</w:t>
            </w:r>
            <w:r w:rsidRPr="00D725F6">
              <w:t xml:space="preserve">dvertisements by </w:t>
            </w:r>
            <w:r>
              <w:t>U</w:t>
            </w:r>
            <w:r w:rsidRPr="00D725F6">
              <w:t xml:space="preserve">nlicensed </w:t>
            </w:r>
            <w:r>
              <w:t>C</w:t>
            </w:r>
            <w:r w:rsidRPr="00D725F6">
              <w:t>ontractors</w:t>
            </w:r>
          </w:p>
          <w:p w14:paraId="6F52220F" w14:textId="320C3E15" w:rsidR="00A10A95" w:rsidRPr="00D725F6" w:rsidRDefault="00A10A95" w:rsidP="008D19B9">
            <w:pPr>
              <w:pStyle w:val="ListParagraph"/>
              <w:numPr>
                <w:ilvl w:val="0"/>
                <w:numId w:val="12"/>
              </w:numPr>
              <w:jc w:val="both"/>
            </w:pPr>
            <w:r w:rsidRPr="00D725F6">
              <w:t xml:space="preserve">Investigations and </w:t>
            </w:r>
            <w:r>
              <w:t>A</w:t>
            </w:r>
            <w:r w:rsidRPr="00D725F6">
              <w:t xml:space="preserve">udits of </w:t>
            </w:r>
            <w:r>
              <w:t>S</w:t>
            </w:r>
            <w:r w:rsidRPr="00D725F6">
              <w:t xml:space="preserve">uspected </w:t>
            </w:r>
            <w:r>
              <w:t>Non-Payment</w:t>
            </w:r>
            <w:r w:rsidRPr="00D725F6">
              <w:t xml:space="preserve"> of </w:t>
            </w:r>
            <w:r>
              <w:t>I</w:t>
            </w:r>
            <w:r w:rsidRPr="00D725F6">
              <w:t xml:space="preserve">nsurance </w:t>
            </w:r>
            <w:r>
              <w:t>P</w:t>
            </w:r>
            <w:r w:rsidRPr="00D725F6">
              <w:t>remiums</w:t>
            </w:r>
          </w:p>
          <w:p w14:paraId="3CF18293" w14:textId="20F239D8" w:rsidR="00A10A95" w:rsidRPr="00D725F6" w:rsidRDefault="00A10A95" w:rsidP="008D19B9">
            <w:pPr>
              <w:pStyle w:val="ListParagraph"/>
              <w:numPr>
                <w:ilvl w:val="0"/>
                <w:numId w:val="12"/>
              </w:numPr>
              <w:jc w:val="both"/>
            </w:pPr>
            <w:r w:rsidRPr="00D725F6">
              <w:t xml:space="preserve">Investigations into </w:t>
            </w:r>
            <w:r>
              <w:t>I</w:t>
            </w:r>
            <w:r w:rsidRPr="00D725F6">
              <w:t xml:space="preserve">mproper </w:t>
            </w:r>
            <w:r>
              <w:t>U</w:t>
            </w:r>
            <w:r w:rsidRPr="00D725F6">
              <w:t xml:space="preserve">se of a </w:t>
            </w:r>
            <w:r>
              <w:t>L</w:t>
            </w:r>
            <w:r w:rsidRPr="00D725F6">
              <w:t xml:space="preserve">icence and </w:t>
            </w:r>
            <w:r>
              <w:t>L</w:t>
            </w:r>
            <w:r w:rsidRPr="00D725F6">
              <w:t xml:space="preserve">icensee </w:t>
            </w:r>
            <w:r w:rsidR="002A5E92">
              <w:t>T</w:t>
            </w:r>
            <w:r w:rsidRPr="00D725F6">
              <w:t xml:space="preserve">ype </w:t>
            </w:r>
            <w:r>
              <w:t>P</w:t>
            </w:r>
            <w:r w:rsidRPr="00D725F6">
              <w:t xml:space="preserve">retence </w:t>
            </w:r>
            <w:r>
              <w:t>O</w:t>
            </w:r>
            <w:r w:rsidRPr="00D725F6">
              <w:t>ffences</w:t>
            </w:r>
          </w:p>
          <w:p w14:paraId="182B1540" w14:textId="7995FA1F" w:rsidR="00A10A95" w:rsidRPr="00D725F6" w:rsidRDefault="00A10A95" w:rsidP="008D19B9">
            <w:pPr>
              <w:pStyle w:val="ListParagraph"/>
              <w:numPr>
                <w:ilvl w:val="0"/>
                <w:numId w:val="12"/>
              </w:numPr>
              <w:jc w:val="both"/>
            </w:pPr>
            <w:r w:rsidRPr="00D725F6">
              <w:t xml:space="preserve">Investigations and </w:t>
            </w:r>
            <w:r>
              <w:t>A</w:t>
            </w:r>
            <w:r w:rsidRPr="00D725F6">
              <w:t xml:space="preserve">udits of </w:t>
            </w:r>
            <w:r>
              <w:t>C</w:t>
            </w:r>
            <w:r w:rsidRPr="00D725F6">
              <w:t xml:space="preserve">ommercial </w:t>
            </w:r>
            <w:r>
              <w:t>H</w:t>
            </w:r>
            <w:r w:rsidRPr="00D725F6">
              <w:t xml:space="preserve">ead </w:t>
            </w:r>
            <w:r>
              <w:t>C</w:t>
            </w:r>
            <w:r w:rsidRPr="00D725F6">
              <w:t xml:space="preserve">ontracts </w:t>
            </w:r>
            <w:r>
              <w:t>O</w:t>
            </w:r>
            <w:r w:rsidRPr="00D725F6">
              <w:t>ffences</w:t>
            </w:r>
          </w:p>
          <w:p w14:paraId="47DAF58B" w14:textId="0FD1B816" w:rsidR="00A10A95" w:rsidRPr="00D725F6" w:rsidRDefault="00A10A95" w:rsidP="008D19B9">
            <w:pPr>
              <w:pStyle w:val="ListParagraph"/>
              <w:numPr>
                <w:ilvl w:val="0"/>
                <w:numId w:val="12"/>
              </w:numPr>
              <w:jc w:val="both"/>
            </w:pPr>
            <w:r w:rsidRPr="00D725F6">
              <w:t xml:space="preserve">Investigations and </w:t>
            </w:r>
            <w:r>
              <w:t>A</w:t>
            </w:r>
            <w:r w:rsidRPr="00D725F6">
              <w:t xml:space="preserve">udits of </w:t>
            </w:r>
            <w:r>
              <w:t>S</w:t>
            </w:r>
            <w:r w:rsidRPr="00D725F6">
              <w:t xml:space="preserve">ubcontract </w:t>
            </w:r>
            <w:r>
              <w:t>O</w:t>
            </w:r>
            <w:r w:rsidRPr="00D725F6">
              <w:t>ffences</w:t>
            </w:r>
          </w:p>
          <w:p w14:paraId="360A9F4D" w14:textId="17BA8755" w:rsidR="00A10A95" w:rsidRPr="00D725F6" w:rsidRDefault="00A10A95" w:rsidP="008D19B9">
            <w:pPr>
              <w:pStyle w:val="ListParagraph"/>
              <w:numPr>
                <w:ilvl w:val="0"/>
                <w:numId w:val="12"/>
              </w:numPr>
              <w:jc w:val="both"/>
            </w:pPr>
            <w:r w:rsidRPr="00D725F6">
              <w:t xml:space="preserve">Investigations and </w:t>
            </w:r>
            <w:r>
              <w:t>A</w:t>
            </w:r>
            <w:r w:rsidRPr="00D725F6">
              <w:t xml:space="preserve">udits of </w:t>
            </w:r>
            <w:r>
              <w:t>D</w:t>
            </w:r>
            <w:r w:rsidRPr="00D725F6">
              <w:t xml:space="preserve">omestic </w:t>
            </w:r>
            <w:r>
              <w:t>B</w:t>
            </w:r>
            <w:r w:rsidRPr="00D725F6">
              <w:t xml:space="preserve">uilding </w:t>
            </w:r>
            <w:r>
              <w:t>W</w:t>
            </w:r>
            <w:r w:rsidRPr="00D725F6">
              <w:t xml:space="preserve">ork </w:t>
            </w:r>
            <w:r>
              <w:t>O</w:t>
            </w:r>
            <w:r w:rsidRPr="00D725F6">
              <w:t>ffences</w:t>
            </w:r>
          </w:p>
          <w:p w14:paraId="508E2397" w14:textId="4632167D" w:rsidR="00A10A95" w:rsidRPr="00D725F6" w:rsidRDefault="00A10A95" w:rsidP="008D19B9">
            <w:pPr>
              <w:pStyle w:val="ListParagraph"/>
              <w:numPr>
                <w:ilvl w:val="0"/>
                <w:numId w:val="12"/>
              </w:numPr>
              <w:jc w:val="both"/>
            </w:pPr>
            <w:r>
              <w:t>Investigations and A</w:t>
            </w:r>
            <w:r w:rsidRPr="00D725F6">
              <w:t xml:space="preserve">udits of </w:t>
            </w:r>
            <w:r>
              <w:t>S</w:t>
            </w:r>
            <w:r w:rsidRPr="00D725F6">
              <w:t xml:space="preserve">ite </w:t>
            </w:r>
            <w:r>
              <w:t>S</w:t>
            </w:r>
            <w:r w:rsidRPr="00D725F6">
              <w:t xml:space="preserve">ign and </w:t>
            </w:r>
            <w:r>
              <w:t>A</w:t>
            </w:r>
            <w:r w:rsidRPr="00D725F6">
              <w:t xml:space="preserve">dvertising </w:t>
            </w:r>
            <w:r>
              <w:t>O</w:t>
            </w:r>
            <w:r w:rsidRPr="00D725F6">
              <w:t xml:space="preserve">ffences by the </w:t>
            </w:r>
            <w:r>
              <w:t>L</w:t>
            </w:r>
            <w:r w:rsidRPr="00D725F6">
              <w:t>icensee</w:t>
            </w:r>
          </w:p>
          <w:p w14:paraId="45EC9A17" w14:textId="77777777" w:rsidR="00A10A95" w:rsidRDefault="00A10A95" w:rsidP="008D19B9">
            <w:pPr>
              <w:pStyle w:val="ListParagraph"/>
              <w:numPr>
                <w:ilvl w:val="0"/>
                <w:numId w:val="12"/>
              </w:numPr>
            </w:pPr>
            <w:r w:rsidRPr="00D725F6">
              <w:t xml:space="preserve">Investigations into </w:t>
            </w:r>
            <w:r>
              <w:t>F</w:t>
            </w:r>
            <w:r w:rsidRPr="00D725F6">
              <w:t xml:space="preserve">alse and </w:t>
            </w:r>
            <w:r>
              <w:t>M</w:t>
            </w:r>
            <w:r w:rsidRPr="00D725F6">
              <w:t xml:space="preserve">isleading </w:t>
            </w:r>
            <w:r>
              <w:t>i</w:t>
            </w:r>
            <w:r w:rsidRPr="00D725F6">
              <w:t>nformation provided to the QBCC,</w:t>
            </w:r>
          </w:p>
          <w:p w14:paraId="77F830CB" w14:textId="7BB2688D" w:rsidR="00A10A95" w:rsidRPr="00D725F6" w:rsidRDefault="00A10A95" w:rsidP="00A10A95">
            <w:pPr>
              <w:pStyle w:val="ListParagraph"/>
            </w:pPr>
            <w:r w:rsidRPr="00D725F6">
              <w:t xml:space="preserve">including </w:t>
            </w:r>
            <w:r>
              <w:t>A</w:t>
            </w:r>
            <w:r w:rsidRPr="00D725F6">
              <w:t xml:space="preserve">ccountants in relation to </w:t>
            </w:r>
            <w:r>
              <w:t>F</w:t>
            </w:r>
            <w:r w:rsidRPr="00D725F6">
              <w:t xml:space="preserve">inancial </w:t>
            </w:r>
            <w:r>
              <w:t>I</w:t>
            </w:r>
            <w:r w:rsidRPr="00D725F6">
              <w:t>nformation</w:t>
            </w:r>
          </w:p>
          <w:p w14:paraId="0774CCE4" w14:textId="185FB1EA" w:rsidR="00A10A95" w:rsidRPr="00D725F6" w:rsidRDefault="00A10A95" w:rsidP="008D19B9">
            <w:pPr>
              <w:pStyle w:val="ListParagraph"/>
              <w:numPr>
                <w:ilvl w:val="0"/>
                <w:numId w:val="12"/>
              </w:numPr>
              <w:jc w:val="both"/>
            </w:pPr>
            <w:r w:rsidRPr="00D725F6">
              <w:t xml:space="preserve">Investigations into </w:t>
            </w:r>
            <w:r>
              <w:t>U</w:t>
            </w:r>
            <w:r w:rsidRPr="00D725F6">
              <w:t xml:space="preserve">nlicensed </w:t>
            </w:r>
            <w:r>
              <w:t>A</w:t>
            </w:r>
            <w:r w:rsidRPr="00D725F6">
              <w:t xml:space="preserve">ctivities or </w:t>
            </w:r>
            <w:r>
              <w:t>I</w:t>
            </w:r>
            <w:r w:rsidRPr="00D725F6">
              <w:t xml:space="preserve">nadequate </w:t>
            </w:r>
            <w:r>
              <w:t>S</w:t>
            </w:r>
            <w:r w:rsidRPr="00D725F6">
              <w:t>upervision</w:t>
            </w:r>
          </w:p>
          <w:p w14:paraId="5DDD289D" w14:textId="48E36871" w:rsidR="00A10A95" w:rsidRPr="00D725F6" w:rsidRDefault="00A10A95" w:rsidP="008D19B9">
            <w:pPr>
              <w:pStyle w:val="ListParagraph"/>
              <w:numPr>
                <w:ilvl w:val="0"/>
                <w:numId w:val="12"/>
              </w:numPr>
            </w:pPr>
            <w:r w:rsidRPr="00D725F6">
              <w:t xml:space="preserve">Investigations into </w:t>
            </w:r>
            <w:r>
              <w:t>B</w:t>
            </w:r>
            <w:r w:rsidRPr="00D725F6">
              <w:t>reaches of the B</w:t>
            </w:r>
            <w:r>
              <w:t xml:space="preserve">uilding </w:t>
            </w:r>
            <w:r w:rsidRPr="00D725F6">
              <w:t>I</w:t>
            </w:r>
            <w:r>
              <w:t xml:space="preserve">ndustry </w:t>
            </w:r>
            <w:r w:rsidRPr="00D725F6">
              <w:t>F</w:t>
            </w:r>
            <w:r>
              <w:t>airness</w:t>
            </w:r>
            <w:r w:rsidRPr="00D725F6">
              <w:t xml:space="preserve"> Act </w:t>
            </w:r>
            <w:r>
              <w:t xml:space="preserve">(2017) </w:t>
            </w:r>
            <w:r w:rsidRPr="00D725F6">
              <w:t xml:space="preserve">that includes </w:t>
            </w:r>
            <w:r>
              <w:t>O</w:t>
            </w:r>
            <w:r w:rsidRPr="00D725F6">
              <w:t>ffences involving</w:t>
            </w:r>
            <w:r>
              <w:t xml:space="preserve"> Government P</w:t>
            </w:r>
            <w:r w:rsidRPr="00D725F6">
              <w:t>roject Bank Accounts</w:t>
            </w:r>
            <w:r>
              <w:t xml:space="preserve"> (PBAs)</w:t>
            </w:r>
            <w:r w:rsidRPr="00D725F6">
              <w:t xml:space="preserve">, Adjudication </w:t>
            </w:r>
            <w:r>
              <w:t>O</w:t>
            </w:r>
            <w:r w:rsidRPr="00D725F6">
              <w:t>ffences etc.</w:t>
            </w:r>
          </w:p>
          <w:p w14:paraId="7AE314E5" w14:textId="649940BD" w:rsidR="00A10A95" w:rsidRPr="00D725F6" w:rsidRDefault="00A10A95" w:rsidP="008D19B9">
            <w:pPr>
              <w:pStyle w:val="ListParagraph"/>
              <w:numPr>
                <w:ilvl w:val="0"/>
                <w:numId w:val="12"/>
              </w:numPr>
            </w:pPr>
            <w:r w:rsidRPr="00D725F6">
              <w:t>Investigations into Defective Plumbing and/or Drainage works including</w:t>
            </w:r>
            <w:r w:rsidR="002A5E92">
              <w:t>:</w:t>
            </w:r>
          </w:p>
          <w:p w14:paraId="65F5EF04" w14:textId="07A1C899" w:rsidR="00A10A95" w:rsidRPr="00D725F6" w:rsidRDefault="00A10A95" w:rsidP="001C6E39">
            <w:pPr>
              <w:pStyle w:val="ListParagraph"/>
              <w:numPr>
                <w:ilvl w:val="1"/>
                <w:numId w:val="12"/>
              </w:numPr>
              <w:jc w:val="both"/>
            </w:pPr>
            <w:r w:rsidRPr="00D725F6">
              <w:t xml:space="preserve">Reports, </w:t>
            </w:r>
            <w:r>
              <w:t>O</w:t>
            </w:r>
            <w:r w:rsidRPr="00D725F6">
              <w:t xml:space="preserve">nsite </w:t>
            </w:r>
            <w:r>
              <w:t>I</w:t>
            </w:r>
            <w:r w:rsidRPr="00D725F6">
              <w:t xml:space="preserve">nspections and </w:t>
            </w:r>
            <w:r>
              <w:t>P</w:t>
            </w:r>
            <w:r w:rsidRPr="00D725F6">
              <w:t xml:space="preserve">hotographic </w:t>
            </w:r>
            <w:r>
              <w:t>E</w:t>
            </w:r>
            <w:r w:rsidRPr="00D725F6">
              <w:t>vidence</w:t>
            </w:r>
          </w:p>
          <w:p w14:paraId="7C4B9F12" w14:textId="78B57611" w:rsidR="00A10A95" w:rsidRPr="00D725F6" w:rsidRDefault="00A10A95" w:rsidP="008D19B9">
            <w:pPr>
              <w:pStyle w:val="ListParagraph"/>
              <w:numPr>
                <w:ilvl w:val="0"/>
                <w:numId w:val="12"/>
              </w:numPr>
              <w:spacing w:line="276" w:lineRule="auto"/>
              <w:jc w:val="both"/>
            </w:pPr>
            <w:r w:rsidRPr="00D725F6">
              <w:t>Investigations into Failing to Give Notice of Notifiable Work (Plumbing)</w:t>
            </w:r>
          </w:p>
          <w:p w14:paraId="3316CA8D" w14:textId="3AB7D21F" w:rsidR="00A10A95" w:rsidRDefault="00A10A95" w:rsidP="008D19B9">
            <w:pPr>
              <w:pStyle w:val="ListParagraph"/>
              <w:numPr>
                <w:ilvl w:val="0"/>
                <w:numId w:val="12"/>
              </w:numPr>
              <w:spacing w:line="276" w:lineRule="auto"/>
            </w:pPr>
            <w:r w:rsidRPr="00D725F6">
              <w:t xml:space="preserve">Legacy Plumbing </w:t>
            </w:r>
            <w:r>
              <w:t xml:space="preserve">Audit and </w:t>
            </w:r>
            <w:r w:rsidRPr="00D725F6">
              <w:t>Investigation</w:t>
            </w:r>
            <w:r>
              <w:t xml:space="preserve"> </w:t>
            </w:r>
            <w:r w:rsidRPr="00D725F6">
              <w:t xml:space="preserve">files </w:t>
            </w:r>
            <w:r>
              <w:t xml:space="preserve">including Penalty Infringement Notices (PINs) </w:t>
            </w:r>
            <w:r w:rsidR="00422887">
              <w:t xml:space="preserve">and decision reviews </w:t>
            </w:r>
            <w:r>
              <w:t xml:space="preserve">from the former </w:t>
            </w:r>
            <w:r w:rsidRPr="006000BF">
              <w:rPr>
                <w:rFonts w:cs="Arial"/>
                <w:szCs w:val="22"/>
              </w:rPr>
              <w:t xml:space="preserve">Plumbing Industry Council </w:t>
            </w:r>
            <w:r>
              <w:rPr>
                <w:rFonts w:cs="Arial"/>
                <w:szCs w:val="22"/>
              </w:rPr>
              <w:t xml:space="preserve">and/or Plumbers &amp; Drainers Board </w:t>
            </w:r>
            <w:r w:rsidR="00C90339">
              <w:rPr>
                <w:rFonts w:cs="Arial"/>
                <w:szCs w:val="22"/>
              </w:rPr>
              <w:t xml:space="preserve">and/or Building Codes Queensland (BCQ) </w:t>
            </w:r>
            <w:r>
              <w:t xml:space="preserve">gained by MOG changes </w:t>
            </w:r>
            <w:r w:rsidR="00C90339">
              <w:t xml:space="preserve">from the </w:t>
            </w:r>
            <w:r>
              <w:t>former</w:t>
            </w:r>
            <w:r w:rsidR="00C90339">
              <w:t xml:space="preserve"> </w:t>
            </w:r>
            <w:r>
              <w:t>Dep</w:t>
            </w:r>
            <w:r w:rsidR="00C90339">
              <w:t xml:space="preserve">artment </w:t>
            </w:r>
            <w:r>
              <w:t xml:space="preserve">of </w:t>
            </w:r>
            <w:r w:rsidRPr="00D725F6">
              <w:t>Development, Infrastructure &amp; Planning</w:t>
            </w:r>
            <w:r>
              <w:t>.</w:t>
            </w:r>
          </w:p>
          <w:p w14:paraId="382E62E0" w14:textId="77777777" w:rsidR="00912862" w:rsidRDefault="00912862" w:rsidP="00912862">
            <w:pPr>
              <w:rPr>
                <w:i/>
                <w:iCs/>
              </w:rPr>
            </w:pPr>
          </w:p>
          <w:p w14:paraId="728A530A" w14:textId="4F097084" w:rsidR="009D68F2" w:rsidRPr="009D68F2" w:rsidRDefault="009D68F2" w:rsidP="00912862">
            <w:pPr>
              <w:rPr>
                <w:i/>
                <w:iCs/>
                <w:color w:val="00B050"/>
              </w:rPr>
            </w:pPr>
            <w:r w:rsidRPr="00477B06">
              <w:rPr>
                <w:i/>
                <w:iCs/>
              </w:rPr>
              <w:t xml:space="preserve">See </w:t>
            </w:r>
            <w:hyperlink r:id="rId23" w:history="1">
              <w:r w:rsidRPr="00F1371E">
                <w:rPr>
                  <w:rStyle w:val="Hyperlink"/>
                  <w:i/>
                  <w:iCs/>
                </w:rPr>
                <w:t>G</w:t>
              </w:r>
              <w:r w:rsidR="00011482" w:rsidRPr="00F1371E">
                <w:rPr>
                  <w:rStyle w:val="Hyperlink"/>
                  <w:i/>
                  <w:iCs/>
                </w:rPr>
                <w:t xml:space="preserve">eneral Retention and Disposal Schedule - </w:t>
              </w:r>
              <w:r w:rsidRPr="00F1371E">
                <w:rPr>
                  <w:rStyle w:val="Hyperlink"/>
                  <w:i/>
                  <w:iCs/>
                </w:rPr>
                <w:t>LITIGATION AND PROSECUTIONS</w:t>
              </w:r>
              <w:r w:rsidRPr="00F1371E">
                <w:rPr>
                  <w:rStyle w:val="Hyperlink"/>
                </w:rPr>
                <w:t xml:space="preserve"> - </w:t>
              </w:r>
              <w:r w:rsidRPr="00F1371E">
                <w:rPr>
                  <w:rStyle w:val="Hyperlink"/>
                  <w:i/>
                  <w:iCs/>
                </w:rPr>
                <w:t xml:space="preserve">Matters - </w:t>
              </w:r>
              <w:r w:rsidR="00367F1E" w:rsidRPr="00F1371E">
                <w:rPr>
                  <w:rStyle w:val="Hyperlink"/>
                  <w:i/>
                  <w:iCs/>
                </w:rPr>
                <w:t>sig</w:t>
              </w:r>
              <w:r w:rsidRPr="00F1371E">
                <w:rPr>
                  <w:rStyle w:val="Hyperlink"/>
                  <w:i/>
                  <w:iCs/>
                </w:rPr>
                <w:t>nificant</w:t>
              </w:r>
            </w:hyperlink>
            <w:r w:rsidRPr="00477B06">
              <w:rPr>
                <w:i/>
                <w:iCs/>
              </w:rPr>
              <w:t xml:space="preserve"> for records relating to issues, claims or case matters which are of significance to the agency and/or to the wider community.</w:t>
            </w:r>
          </w:p>
        </w:tc>
        <w:tc>
          <w:tcPr>
            <w:tcW w:w="900" w:type="pct"/>
            <w:shd w:val="clear" w:color="auto" w:fill="auto"/>
          </w:tcPr>
          <w:p w14:paraId="4BAE1E5A" w14:textId="4A3A99C6" w:rsidR="00A10A95" w:rsidRDefault="00A10A95" w:rsidP="00A10A95">
            <w:pPr>
              <w:rPr>
                <w:rFonts w:cs="Arial"/>
                <w:szCs w:val="22"/>
              </w:rPr>
            </w:pPr>
            <w:r>
              <w:rPr>
                <w:rFonts w:cs="Arial"/>
                <w:szCs w:val="22"/>
              </w:rPr>
              <w:lastRenderedPageBreak/>
              <w:t xml:space="preserve">7 </w:t>
            </w:r>
            <w:r w:rsidRPr="001321A9">
              <w:rPr>
                <w:rFonts w:cs="Arial"/>
                <w:szCs w:val="22"/>
              </w:rPr>
              <w:t xml:space="preserve">years after </w:t>
            </w:r>
            <w:r>
              <w:rPr>
                <w:rFonts w:cs="Arial"/>
                <w:szCs w:val="22"/>
              </w:rPr>
              <w:t>business action completed.</w:t>
            </w:r>
          </w:p>
          <w:p w14:paraId="28EA7848" w14:textId="77777777" w:rsidR="00A10A95" w:rsidRDefault="00A10A95" w:rsidP="00A10A95">
            <w:pPr>
              <w:rPr>
                <w:rFonts w:cs="Arial"/>
                <w:szCs w:val="22"/>
              </w:rPr>
            </w:pPr>
          </w:p>
          <w:p w14:paraId="3FA09B85" w14:textId="096C8333" w:rsidR="00A10A95" w:rsidRPr="00EA3F4C" w:rsidRDefault="00A10A95" w:rsidP="00A10A95">
            <w:pPr>
              <w:rPr>
                <w:rFonts w:cs="Arial"/>
                <w:b/>
                <w:szCs w:val="22"/>
              </w:rPr>
            </w:pPr>
          </w:p>
        </w:tc>
        <w:tc>
          <w:tcPr>
            <w:tcW w:w="549" w:type="pct"/>
          </w:tcPr>
          <w:p w14:paraId="0F7B24F2" w14:textId="22A4E4DB" w:rsidR="00A10A95" w:rsidRDefault="00912862" w:rsidP="00A10A95">
            <w:r>
              <w:t>15 December 2023</w:t>
            </w:r>
          </w:p>
        </w:tc>
      </w:tr>
      <w:tr w:rsidR="00A10A95" w:rsidRPr="004D14B4" w14:paraId="32CC3349" w14:textId="77777777" w:rsidTr="006911D1">
        <w:tblPrEx>
          <w:tblCellMar>
            <w:top w:w="57" w:type="dxa"/>
            <w:left w:w="119" w:type="dxa"/>
            <w:right w:w="119" w:type="dxa"/>
          </w:tblCellMar>
        </w:tblPrEx>
        <w:tc>
          <w:tcPr>
            <w:tcW w:w="509" w:type="pct"/>
            <w:shd w:val="clear" w:color="auto" w:fill="auto"/>
          </w:tcPr>
          <w:p w14:paraId="53AC2C78" w14:textId="68EE2823" w:rsidR="00A10A95" w:rsidRDefault="00097C98" w:rsidP="00A10A95">
            <w:pPr>
              <w:pStyle w:val="Tabletext"/>
              <w:spacing w:before="60" w:after="60"/>
              <w:rPr>
                <w:sz w:val="22"/>
                <w:szCs w:val="22"/>
              </w:rPr>
            </w:pPr>
            <w:r>
              <w:rPr>
                <w:sz w:val="22"/>
                <w:szCs w:val="22"/>
              </w:rPr>
              <w:t>2777</w:t>
            </w:r>
          </w:p>
        </w:tc>
        <w:tc>
          <w:tcPr>
            <w:tcW w:w="3042" w:type="pct"/>
            <w:shd w:val="clear" w:color="auto" w:fill="auto"/>
          </w:tcPr>
          <w:p w14:paraId="65ACF017" w14:textId="75B50C6B" w:rsidR="00A10A95" w:rsidRPr="0042319E" w:rsidRDefault="00A10A95" w:rsidP="00B03116">
            <w:pPr>
              <w:spacing w:line="276" w:lineRule="auto"/>
              <w:ind w:left="34" w:hanging="34"/>
              <w:rPr>
                <w:b/>
                <w:bCs/>
              </w:rPr>
            </w:pPr>
            <w:r w:rsidRPr="0042319E">
              <w:rPr>
                <w:b/>
                <w:bCs/>
              </w:rPr>
              <w:t>Financial Compliance</w:t>
            </w:r>
          </w:p>
          <w:p w14:paraId="28C8BF5D" w14:textId="65FC73B3" w:rsidR="006B6C2C" w:rsidRDefault="00A10A95" w:rsidP="00C90339">
            <w:pPr>
              <w:spacing w:line="276" w:lineRule="auto"/>
              <w:ind w:left="34" w:hanging="34"/>
            </w:pPr>
            <w:r w:rsidRPr="00D725F6">
              <w:lastRenderedPageBreak/>
              <w:t xml:space="preserve">Records relating </w:t>
            </w:r>
            <w:r w:rsidR="00011482">
              <w:t xml:space="preserve">to </w:t>
            </w:r>
            <w:r w:rsidRPr="00D725F6">
              <w:t>the</w:t>
            </w:r>
            <w:r>
              <w:t xml:space="preserve"> monitoring, auditing, assessment, reporting and enforcement of financial compliance for licensees in accordance with </w:t>
            </w:r>
            <w:r w:rsidRPr="00B03116">
              <w:rPr>
                <w:i/>
                <w:iCs/>
              </w:rPr>
              <w:t xml:space="preserve">Minimum Financial Requirements Regulation </w:t>
            </w:r>
            <w:r>
              <w:t xml:space="preserve">(MFR) </w:t>
            </w:r>
            <w:r w:rsidRPr="00B03116">
              <w:rPr>
                <w:i/>
                <w:iCs/>
              </w:rPr>
              <w:t>2018</w:t>
            </w:r>
            <w:r>
              <w:t xml:space="preserve">. </w:t>
            </w:r>
          </w:p>
          <w:p w14:paraId="35B91B99" w14:textId="1EF7F041" w:rsidR="00A10A95" w:rsidRPr="00D725F6" w:rsidRDefault="004E018E" w:rsidP="00C90339">
            <w:pPr>
              <w:spacing w:line="276" w:lineRule="auto"/>
              <w:ind w:left="34" w:hanging="34"/>
            </w:pPr>
            <w:r>
              <w:t>Records may include</w:t>
            </w:r>
            <w:r w:rsidR="00A10A95" w:rsidRPr="00D725F6">
              <w:t>, but are not limited to:</w:t>
            </w:r>
          </w:p>
          <w:p w14:paraId="50B75D90" w14:textId="619799F2" w:rsidR="00A10A95" w:rsidRDefault="00A10A95" w:rsidP="008D19B9">
            <w:pPr>
              <w:pStyle w:val="ListParagraph"/>
              <w:numPr>
                <w:ilvl w:val="0"/>
                <w:numId w:val="15"/>
              </w:numPr>
              <w:jc w:val="both"/>
            </w:pPr>
            <w:r>
              <w:t xml:space="preserve">Forensic </w:t>
            </w:r>
            <w:r w:rsidR="00C90339">
              <w:t>A</w:t>
            </w:r>
            <w:r>
              <w:t xml:space="preserve">ccounting </w:t>
            </w:r>
            <w:r w:rsidR="00C90339">
              <w:t>E</w:t>
            </w:r>
            <w:r>
              <w:t xml:space="preserve">nquiries and </w:t>
            </w:r>
            <w:r w:rsidR="00C90339">
              <w:t>A</w:t>
            </w:r>
            <w:r>
              <w:t>ssessments.</w:t>
            </w:r>
          </w:p>
          <w:p w14:paraId="52F87CF8" w14:textId="5E40BB6F" w:rsidR="00A10A95" w:rsidRPr="00DC7B86" w:rsidRDefault="00A10A95" w:rsidP="008D19B9">
            <w:pPr>
              <w:pStyle w:val="ListParagraph"/>
              <w:numPr>
                <w:ilvl w:val="0"/>
                <w:numId w:val="15"/>
              </w:numPr>
              <w:jc w:val="both"/>
              <w:rPr>
                <w:bCs/>
              </w:rPr>
            </w:pPr>
            <w:r w:rsidRPr="00DC7B86">
              <w:rPr>
                <w:bCs/>
              </w:rPr>
              <w:t xml:space="preserve">MFR Financial Reports as submitted to the agency. </w:t>
            </w:r>
          </w:p>
          <w:p w14:paraId="042EB14A" w14:textId="58658AD8" w:rsidR="00A10A95" w:rsidRPr="00DC7B86" w:rsidRDefault="00A10A95" w:rsidP="008D19B9">
            <w:pPr>
              <w:pStyle w:val="ListParagraph"/>
              <w:numPr>
                <w:ilvl w:val="0"/>
                <w:numId w:val="15"/>
              </w:numPr>
              <w:rPr>
                <w:bCs/>
              </w:rPr>
            </w:pPr>
            <w:r>
              <w:rPr>
                <w:bCs/>
              </w:rPr>
              <w:t>Nett Tangible Assets (NTA) Change</w:t>
            </w:r>
            <w:r w:rsidRPr="00DC7B86">
              <w:rPr>
                <w:bCs/>
              </w:rPr>
              <w:t xml:space="preserve"> Reports and </w:t>
            </w:r>
            <w:r>
              <w:rPr>
                <w:bCs/>
              </w:rPr>
              <w:t xml:space="preserve">Financial Information </w:t>
            </w:r>
            <w:r w:rsidRPr="00DC7B86">
              <w:rPr>
                <w:bCs/>
              </w:rPr>
              <w:t>Statements.</w:t>
            </w:r>
          </w:p>
          <w:p w14:paraId="4A751EA1" w14:textId="6C233067" w:rsidR="00A10A95" w:rsidRPr="00DC7B86" w:rsidRDefault="00A10A95" w:rsidP="008D19B9">
            <w:pPr>
              <w:pStyle w:val="ListParagraph"/>
              <w:numPr>
                <w:ilvl w:val="0"/>
                <w:numId w:val="15"/>
              </w:numPr>
              <w:rPr>
                <w:bCs/>
              </w:rPr>
            </w:pPr>
            <w:r w:rsidRPr="00DC7B86">
              <w:rPr>
                <w:bCs/>
              </w:rPr>
              <w:t>Allocation of Demerit Points to licensees / contractors / companies for Failure</w:t>
            </w:r>
            <w:r w:rsidR="00C90339">
              <w:rPr>
                <w:bCs/>
              </w:rPr>
              <w:t xml:space="preserve"> </w:t>
            </w:r>
            <w:r w:rsidRPr="00DC7B86">
              <w:rPr>
                <w:bCs/>
              </w:rPr>
              <w:t>to Comply</w:t>
            </w:r>
            <w:r>
              <w:rPr>
                <w:bCs/>
              </w:rPr>
              <w:t xml:space="preserve"> with MFR requirements</w:t>
            </w:r>
            <w:r w:rsidRPr="00DC7B86">
              <w:rPr>
                <w:bCs/>
              </w:rPr>
              <w:t>.</w:t>
            </w:r>
          </w:p>
          <w:p w14:paraId="0F32D495" w14:textId="7F528DC0" w:rsidR="00A10A95" w:rsidRPr="00DC7B86" w:rsidRDefault="00A10A95" w:rsidP="008D19B9">
            <w:pPr>
              <w:pStyle w:val="ListParagraph"/>
              <w:numPr>
                <w:ilvl w:val="0"/>
                <w:numId w:val="15"/>
              </w:numPr>
              <w:jc w:val="both"/>
              <w:rPr>
                <w:bCs/>
              </w:rPr>
            </w:pPr>
            <w:r w:rsidRPr="00DC7B86">
              <w:rPr>
                <w:bCs/>
              </w:rPr>
              <w:t>Compliance Audits of Deeds of Covenant as submitted to and held by the agency.</w:t>
            </w:r>
          </w:p>
        </w:tc>
        <w:tc>
          <w:tcPr>
            <w:tcW w:w="900" w:type="pct"/>
            <w:shd w:val="clear" w:color="auto" w:fill="auto"/>
          </w:tcPr>
          <w:p w14:paraId="16E4C1E4" w14:textId="3057B280" w:rsidR="00A10A95" w:rsidRDefault="00A10A95" w:rsidP="00A10A95">
            <w:pPr>
              <w:rPr>
                <w:rFonts w:cs="Arial"/>
                <w:szCs w:val="22"/>
              </w:rPr>
            </w:pPr>
            <w:r>
              <w:rPr>
                <w:rFonts w:cs="Arial"/>
                <w:szCs w:val="22"/>
              </w:rPr>
              <w:lastRenderedPageBreak/>
              <w:t xml:space="preserve">12 </w:t>
            </w:r>
            <w:r w:rsidRPr="001321A9">
              <w:rPr>
                <w:rFonts w:cs="Arial"/>
                <w:szCs w:val="22"/>
              </w:rPr>
              <w:t xml:space="preserve">years after </w:t>
            </w:r>
            <w:r>
              <w:rPr>
                <w:rFonts w:cs="Arial"/>
                <w:szCs w:val="22"/>
              </w:rPr>
              <w:t>business action completed.</w:t>
            </w:r>
          </w:p>
          <w:p w14:paraId="2C121B91" w14:textId="77777777" w:rsidR="00A10A95" w:rsidRDefault="00A10A95" w:rsidP="00A10A95">
            <w:pPr>
              <w:rPr>
                <w:rFonts w:cs="Arial"/>
                <w:szCs w:val="22"/>
              </w:rPr>
            </w:pPr>
          </w:p>
        </w:tc>
        <w:tc>
          <w:tcPr>
            <w:tcW w:w="549" w:type="pct"/>
          </w:tcPr>
          <w:p w14:paraId="4DB84F6F" w14:textId="40089573" w:rsidR="00A10A95" w:rsidRDefault="00912862" w:rsidP="00A10A95">
            <w:r>
              <w:t>15 December 2023</w:t>
            </w:r>
          </w:p>
        </w:tc>
      </w:tr>
      <w:tr w:rsidR="00747648" w:rsidRPr="004D14B4" w14:paraId="31BFF2FE" w14:textId="77777777" w:rsidTr="006911D1">
        <w:tblPrEx>
          <w:tblCellMar>
            <w:top w:w="57" w:type="dxa"/>
            <w:left w:w="119" w:type="dxa"/>
            <w:right w:w="119" w:type="dxa"/>
          </w:tblCellMar>
        </w:tblPrEx>
        <w:tc>
          <w:tcPr>
            <w:tcW w:w="509" w:type="pct"/>
            <w:shd w:val="clear" w:color="auto" w:fill="auto"/>
          </w:tcPr>
          <w:p w14:paraId="79CEE503" w14:textId="6E7F4E67" w:rsidR="00747648" w:rsidRDefault="00C20A24" w:rsidP="00747648">
            <w:pPr>
              <w:pStyle w:val="Tabletext"/>
              <w:spacing w:before="60" w:after="60"/>
              <w:rPr>
                <w:sz w:val="22"/>
                <w:szCs w:val="22"/>
              </w:rPr>
            </w:pPr>
            <w:r>
              <w:rPr>
                <w:sz w:val="22"/>
                <w:szCs w:val="22"/>
              </w:rPr>
              <w:t>2778</w:t>
            </w:r>
          </w:p>
        </w:tc>
        <w:tc>
          <w:tcPr>
            <w:tcW w:w="3042" w:type="pct"/>
            <w:shd w:val="clear" w:color="auto" w:fill="auto"/>
          </w:tcPr>
          <w:p w14:paraId="086C5237" w14:textId="5674CD97" w:rsidR="00747648" w:rsidRPr="0042319E" w:rsidRDefault="00747648" w:rsidP="00B03116">
            <w:pPr>
              <w:spacing w:line="276" w:lineRule="auto"/>
              <w:ind w:left="34" w:hanging="34"/>
              <w:rPr>
                <w:b/>
                <w:bCs/>
              </w:rPr>
            </w:pPr>
            <w:r w:rsidRPr="0042319E">
              <w:rPr>
                <w:b/>
                <w:bCs/>
              </w:rPr>
              <w:t>Swimming Pool Safety</w:t>
            </w:r>
            <w:r>
              <w:rPr>
                <w:b/>
                <w:bCs/>
              </w:rPr>
              <w:t xml:space="preserve"> </w:t>
            </w:r>
            <w:r w:rsidR="00FE00E9">
              <w:rPr>
                <w:b/>
                <w:bCs/>
              </w:rPr>
              <w:t>–</w:t>
            </w:r>
            <w:r>
              <w:rPr>
                <w:b/>
                <w:bCs/>
              </w:rPr>
              <w:t xml:space="preserve"> Significan</w:t>
            </w:r>
            <w:r w:rsidR="00FE00E9">
              <w:rPr>
                <w:b/>
                <w:bCs/>
              </w:rPr>
              <w:t>t</w:t>
            </w:r>
          </w:p>
          <w:p w14:paraId="0BEFDE55" w14:textId="11AA8F61" w:rsidR="00747648" w:rsidRDefault="00747648" w:rsidP="00C90339">
            <w:pPr>
              <w:ind w:left="34" w:hanging="34"/>
            </w:pPr>
            <w:r w:rsidRPr="0042319E">
              <w:t>Records relating</w:t>
            </w:r>
            <w:r w:rsidR="00011482">
              <w:t xml:space="preserve"> to</w:t>
            </w:r>
            <w:r w:rsidRPr="0042319E">
              <w:t xml:space="preserve"> the investigation of </w:t>
            </w:r>
            <w:r>
              <w:t xml:space="preserve">serious </w:t>
            </w:r>
            <w:r w:rsidRPr="0042319E">
              <w:t xml:space="preserve">offences under the </w:t>
            </w:r>
            <w:r w:rsidRPr="00B03116">
              <w:rPr>
                <w:i/>
                <w:iCs/>
              </w:rPr>
              <w:t>Building Act 1975</w:t>
            </w:r>
            <w:r w:rsidRPr="0042319E">
              <w:t xml:space="preserve"> </w:t>
            </w:r>
            <w:r>
              <w:t>involving</w:t>
            </w:r>
            <w:r w:rsidR="00FE00E9">
              <w:t xml:space="preserve"> </w:t>
            </w:r>
            <w:r w:rsidR="00F81375">
              <w:t xml:space="preserve">matters </w:t>
            </w:r>
            <w:r>
              <w:t>which show consistent disregard to</w:t>
            </w:r>
            <w:r w:rsidR="00DB10CD">
              <w:t xml:space="preserve"> </w:t>
            </w:r>
            <w:r w:rsidR="00F81375">
              <w:t xml:space="preserve">pool safety </w:t>
            </w:r>
            <w:r w:rsidR="00DB10CD">
              <w:t xml:space="preserve">regulations </w:t>
            </w:r>
            <w:r>
              <w:t xml:space="preserve">and/or </w:t>
            </w:r>
            <w:r w:rsidR="00FE00E9">
              <w:t>incidents of</w:t>
            </w:r>
            <w:r>
              <w:t xml:space="preserve"> </w:t>
            </w:r>
            <w:r w:rsidR="00FE00E9">
              <w:t>serious accidents</w:t>
            </w:r>
            <w:r w:rsidR="00DB10CD">
              <w:t xml:space="preserve">, injury or </w:t>
            </w:r>
            <w:r w:rsidR="00FE00E9">
              <w:t>death.</w:t>
            </w:r>
          </w:p>
          <w:p w14:paraId="44B22EBF" w14:textId="20A21954" w:rsidR="00FE00E9" w:rsidRDefault="004E018E" w:rsidP="00FE00E9">
            <w:pPr>
              <w:spacing w:line="276" w:lineRule="auto"/>
            </w:pPr>
            <w:r>
              <w:t>Records may include</w:t>
            </w:r>
            <w:r w:rsidR="00FE00E9">
              <w:t>, but are not limited to:</w:t>
            </w:r>
          </w:p>
          <w:p w14:paraId="5F632C71" w14:textId="58C5AC30" w:rsidR="00747648" w:rsidRPr="0042319E" w:rsidRDefault="00747648" w:rsidP="008D19B9">
            <w:pPr>
              <w:pStyle w:val="ListParagraph"/>
              <w:numPr>
                <w:ilvl w:val="0"/>
                <w:numId w:val="12"/>
              </w:numPr>
              <w:jc w:val="both"/>
            </w:pPr>
            <w:r w:rsidRPr="0042319E">
              <w:t xml:space="preserve">Pool Safety Investigations </w:t>
            </w:r>
          </w:p>
          <w:p w14:paraId="70B25215" w14:textId="34A84890" w:rsidR="00747648" w:rsidRPr="00B44D2E" w:rsidRDefault="00747648" w:rsidP="008D19B9">
            <w:pPr>
              <w:pStyle w:val="ListParagraph"/>
              <w:numPr>
                <w:ilvl w:val="0"/>
                <w:numId w:val="12"/>
              </w:numPr>
              <w:jc w:val="both"/>
              <w:rPr>
                <w:b/>
                <w:bCs/>
              </w:rPr>
            </w:pPr>
            <w:r w:rsidRPr="0042319E">
              <w:t>Pool Safety Notice</w:t>
            </w:r>
            <w:r>
              <w:t>s</w:t>
            </w:r>
            <w:r w:rsidR="00B44D2E">
              <w:t xml:space="preserve">, </w:t>
            </w:r>
            <w:r w:rsidRPr="00B44D2E">
              <w:rPr>
                <w:rFonts w:cs="Arial"/>
                <w:szCs w:val="22"/>
              </w:rPr>
              <w:t>Suspension</w:t>
            </w:r>
            <w:r w:rsidR="00B44D2E">
              <w:rPr>
                <w:rFonts w:cs="Arial"/>
                <w:szCs w:val="22"/>
              </w:rPr>
              <w:t xml:space="preserve">s </w:t>
            </w:r>
            <w:r w:rsidRPr="00B44D2E">
              <w:rPr>
                <w:rFonts w:cs="Arial"/>
                <w:szCs w:val="22"/>
              </w:rPr>
              <w:t xml:space="preserve">and Cancellations </w:t>
            </w:r>
          </w:p>
          <w:p w14:paraId="1134B022" w14:textId="3ED51EA9" w:rsidR="006C1BEA" w:rsidRPr="0042319E" w:rsidRDefault="006C1BEA" w:rsidP="008D19B9">
            <w:pPr>
              <w:pStyle w:val="ListParagraph"/>
              <w:numPr>
                <w:ilvl w:val="0"/>
                <w:numId w:val="12"/>
              </w:numPr>
              <w:jc w:val="both"/>
              <w:rPr>
                <w:b/>
                <w:bCs/>
              </w:rPr>
            </w:pPr>
            <w:r w:rsidRPr="0042319E">
              <w:t>Pool Owner Investigations</w:t>
            </w:r>
          </w:p>
        </w:tc>
        <w:tc>
          <w:tcPr>
            <w:tcW w:w="900" w:type="pct"/>
            <w:shd w:val="clear" w:color="auto" w:fill="auto"/>
          </w:tcPr>
          <w:p w14:paraId="5822078C" w14:textId="77777777" w:rsidR="00B02E26" w:rsidRDefault="00B02E26" w:rsidP="00B02E26">
            <w:pPr>
              <w:rPr>
                <w:rFonts w:cs="Arial"/>
                <w:szCs w:val="22"/>
              </w:rPr>
            </w:pPr>
            <w:r>
              <w:rPr>
                <w:rFonts w:cs="Arial"/>
                <w:szCs w:val="22"/>
              </w:rPr>
              <w:t xml:space="preserve">80 years after business action completed. </w:t>
            </w:r>
          </w:p>
          <w:p w14:paraId="2D55CE90" w14:textId="536155B6" w:rsidR="00747648" w:rsidRDefault="00747648" w:rsidP="00747648">
            <w:pPr>
              <w:rPr>
                <w:rFonts w:cs="Arial"/>
                <w:szCs w:val="22"/>
              </w:rPr>
            </w:pPr>
          </w:p>
        </w:tc>
        <w:tc>
          <w:tcPr>
            <w:tcW w:w="549" w:type="pct"/>
          </w:tcPr>
          <w:p w14:paraId="52ACA6BB" w14:textId="525AE14A" w:rsidR="00747648" w:rsidRDefault="00912862" w:rsidP="00747648">
            <w:r>
              <w:t>15 December 2023</w:t>
            </w:r>
          </w:p>
          <w:p w14:paraId="4FE2255B" w14:textId="77777777" w:rsidR="00747648" w:rsidRDefault="00747648" w:rsidP="00747648"/>
        </w:tc>
      </w:tr>
      <w:tr w:rsidR="00747648" w:rsidRPr="004D14B4" w14:paraId="221C7E19" w14:textId="77777777" w:rsidTr="006911D1">
        <w:tblPrEx>
          <w:tblCellMar>
            <w:top w:w="57" w:type="dxa"/>
            <w:left w:w="119" w:type="dxa"/>
            <w:right w:w="119" w:type="dxa"/>
          </w:tblCellMar>
        </w:tblPrEx>
        <w:tc>
          <w:tcPr>
            <w:tcW w:w="509" w:type="pct"/>
            <w:shd w:val="clear" w:color="auto" w:fill="auto"/>
          </w:tcPr>
          <w:p w14:paraId="45C3E8E6" w14:textId="0D4BD98E" w:rsidR="00747648" w:rsidRDefault="00E613B8" w:rsidP="00747648">
            <w:pPr>
              <w:pStyle w:val="Tabletext"/>
              <w:spacing w:before="60" w:after="60"/>
              <w:rPr>
                <w:sz w:val="22"/>
                <w:szCs w:val="22"/>
              </w:rPr>
            </w:pPr>
            <w:r>
              <w:rPr>
                <w:sz w:val="22"/>
                <w:szCs w:val="22"/>
              </w:rPr>
              <w:t>2779</w:t>
            </w:r>
          </w:p>
        </w:tc>
        <w:tc>
          <w:tcPr>
            <w:tcW w:w="3042" w:type="pct"/>
            <w:shd w:val="clear" w:color="auto" w:fill="auto"/>
          </w:tcPr>
          <w:p w14:paraId="34D3960B" w14:textId="5E47BE2D" w:rsidR="00747648" w:rsidRPr="0042319E" w:rsidRDefault="00747648" w:rsidP="00B03116">
            <w:pPr>
              <w:spacing w:line="276" w:lineRule="auto"/>
              <w:ind w:left="34" w:hanging="34"/>
              <w:rPr>
                <w:b/>
                <w:bCs/>
              </w:rPr>
            </w:pPr>
            <w:r w:rsidRPr="0042319E">
              <w:rPr>
                <w:b/>
                <w:bCs/>
              </w:rPr>
              <w:t>Swimming Pool Safety</w:t>
            </w:r>
            <w:r>
              <w:rPr>
                <w:b/>
                <w:bCs/>
              </w:rPr>
              <w:t xml:space="preserve"> </w:t>
            </w:r>
            <w:r w:rsidR="005C2BC2">
              <w:rPr>
                <w:b/>
                <w:bCs/>
              </w:rPr>
              <w:t>–</w:t>
            </w:r>
            <w:r>
              <w:rPr>
                <w:b/>
                <w:bCs/>
              </w:rPr>
              <w:t xml:space="preserve"> Other</w:t>
            </w:r>
            <w:r w:rsidR="005C2BC2">
              <w:rPr>
                <w:b/>
                <w:bCs/>
              </w:rPr>
              <w:t xml:space="preserve"> </w:t>
            </w:r>
          </w:p>
          <w:p w14:paraId="34300448" w14:textId="7AB18E4E" w:rsidR="00747648" w:rsidRPr="0042319E" w:rsidRDefault="00747648" w:rsidP="00DB10CD">
            <w:pPr>
              <w:spacing w:line="276" w:lineRule="auto"/>
              <w:ind w:left="34" w:hanging="34"/>
            </w:pPr>
            <w:r w:rsidRPr="0042319E">
              <w:t xml:space="preserve">Records relating </w:t>
            </w:r>
            <w:r w:rsidR="008D19B9">
              <w:t xml:space="preserve">to </w:t>
            </w:r>
            <w:r w:rsidRPr="0042319E">
              <w:t xml:space="preserve">the monitoring and enforcement of compliance, investigation of offences under the </w:t>
            </w:r>
            <w:r w:rsidRPr="00B03116">
              <w:rPr>
                <w:i/>
                <w:iCs/>
              </w:rPr>
              <w:t>Building Act 1975</w:t>
            </w:r>
            <w:r w:rsidRPr="0042319E">
              <w:t xml:space="preserve"> and maintenance of the pools register. Activities associated are - advice, complaints, reporting, compliant barriers, regulated or shared pools, show cause notices, pool fencing and all other pool related matters.</w:t>
            </w:r>
          </w:p>
          <w:p w14:paraId="02B8202B" w14:textId="2A7F5F14" w:rsidR="00FE00E9" w:rsidRDefault="004E018E" w:rsidP="00FE00E9">
            <w:pPr>
              <w:spacing w:line="276" w:lineRule="auto"/>
            </w:pPr>
            <w:r>
              <w:t>Records may include</w:t>
            </w:r>
            <w:r w:rsidR="00FE00E9">
              <w:t>, but are not limited to:</w:t>
            </w:r>
          </w:p>
          <w:p w14:paraId="5A3B6A7E" w14:textId="78DE40A4" w:rsidR="00747648" w:rsidRPr="0042319E" w:rsidRDefault="00747648" w:rsidP="008D19B9">
            <w:pPr>
              <w:pStyle w:val="ListParagraph"/>
              <w:numPr>
                <w:ilvl w:val="0"/>
                <w:numId w:val="15"/>
              </w:numPr>
              <w:jc w:val="both"/>
            </w:pPr>
            <w:r w:rsidRPr="0042319E">
              <w:t>Pool Immersion Incident Notifications</w:t>
            </w:r>
          </w:p>
          <w:p w14:paraId="14194724" w14:textId="77777777" w:rsidR="00747648" w:rsidRPr="0042319E" w:rsidRDefault="00747648" w:rsidP="008D19B9">
            <w:pPr>
              <w:pStyle w:val="ListParagraph"/>
              <w:numPr>
                <w:ilvl w:val="0"/>
                <w:numId w:val="15"/>
              </w:numPr>
              <w:jc w:val="both"/>
            </w:pPr>
            <w:r w:rsidRPr="0042319E">
              <w:t>Pool Safety Investigations &amp; Infringements</w:t>
            </w:r>
          </w:p>
          <w:p w14:paraId="48129368" w14:textId="71934D8D" w:rsidR="00747648" w:rsidRPr="0042319E" w:rsidRDefault="00747648" w:rsidP="008D19B9">
            <w:pPr>
              <w:pStyle w:val="ListParagraph"/>
              <w:numPr>
                <w:ilvl w:val="0"/>
                <w:numId w:val="15"/>
              </w:numPr>
              <w:jc w:val="both"/>
            </w:pPr>
            <w:r w:rsidRPr="0042319E">
              <w:t>Pool Safety Non-Conformity Notice / Non-Compliant Pools</w:t>
            </w:r>
          </w:p>
          <w:p w14:paraId="7A6BFE24" w14:textId="44FEF126" w:rsidR="00747648" w:rsidRPr="0042319E" w:rsidRDefault="00747648" w:rsidP="008D19B9">
            <w:pPr>
              <w:pStyle w:val="ListParagraph"/>
              <w:numPr>
                <w:ilvl w:val="0"/>
                <w:numId w:val="15"/>
              </w:numPr>
              <w:jc w:val="both"/>
            </w:pPr>
            <w:r w:rsidRPr="0042319E">
              <w:t xml:space="preserve">Pool Owner Investigations </w:t>
            </w:r>
            <w:r>
              <w:t>and</w:t>
            </w:r>
            <w:r w:rsidRPr="0042319E">
              <w:t xml:space="preserve"> Audits</w:t>
            </w:r>
          </w:p>
          <w:p w14:paraId="6834EF31" w14:textId="70DC2F81" w:rsidR="00747648" w:rsidRPr="0042319E" w:rsidRDefault="00747648" w:rsidP="008D19B9">
            <w:pPr>
              <w:pStyle w:val="ListParagraph"/>
              <w:numPr>
                <w:ilvl w:val="0"/>
                <w:numId w:val="15"/>
              </w:numPr>
              <w:jc w:val="both"/>
            </w:pPr>
            <w:r w:rsidRPr="0042319E">
              <w:lastRenderedPageBreak/>
              <w:t>Pool Safety Management Plan (PSMP) Approvals</w:t>
            </w:r>
          </w:p>
          <w:p w14:paraId="3F7FC50B" w14:textId="77777777" w:rsidR="00747648" w:rsidRPr="0037695D" w:rsidRDefault="00747648" w:rsidP="008D19B9">
            <w:pPr>
              <w:pStyle w:val="ListParagraph"/>
              <w:numPr>
                <w:ilvl w:val="0"/>
                <w:numId w:val="12"/>
              </w:numPr>
              <w:jc w:val="both"/>
              <w:rPr>
                <w:rFonts w:cs="Arial"/>
                <w:szCs w:val="22"/>
              </w:rPr>
            </w:pPr>
            <w:r w:rsidRPr="0037695D">
              <w:rPr>
                <w:rFonts w:cs="Arial"/>
                <w:szCs w:val="22"/>
              </w:rPr>
              <w:t xml:space="preserve">Pool Safety </w:t>
            </w:r>
            <w:r>
              <w:rPr>
                <w:rFonts w:cs="Arial"/>
                <w:szCs w:val="22"/>
              </w:rPr>
              <w:t xml:space="preserve">Accreditation / </w:t>
            </w:r>
            <w:r w:rsidRPr="0037695D">
              <w:rPr>
                <w:rFonts w:cs="Arial"/>
                <w:szCs w:val="22"/>
              </w:rPr>
              <w:t>Continuing Professional Development (CPD</w:t>
            </w:r>
            <w:r>
              <w:rPr>
                <w:rFonts w:cs="Arial"/>
                <w:szCs w:val="22"/>
              </w:rPr>
              <w:t xml:space="preserve"> / CCPD</w:t>
            </w:r>
            <w:r w:rsidRPr="0037695D">
              <w:rPr>
                <w:rFonts w:cs="Arial"/>
                <w:szCs w:val="22"/>
              </w:rPr>
              <w:t>)</w:t>
            </w:r>
          </w:p>
          <w:p w14:paraId="23B70C91" w14:textId="77777777" w:rsidR="00747648" w:rsidRPr="00B42B85" w:rsidRDefault="00747648" w:rsidP="008D19B9">
            <w:pPr>
              <w:pStyle w:val="ListParagraph"/>
              <w:numPr>
                <w:ilvl w:val="0"/>
                <w:numId w:val="12"/>
              </w:numPr>
              <w:jc w:val="both"/>
              <w:rPr>
                <w:rFonts w:cs="Arial"/>
                <w:szCs w:val="22"/>
              </w:rPr>
            </w:pPr>
            <w:r w:rsidRPr="00500A46">
              <w:rPr>
                <w:rFonts w:cs="Arial"/>
                <w:szCs w:val="22"/>
              </w:rPr>
              <w:t xml:space="preserve">Pool Safety </w:t>
            </w:r>
            <w:r>
              <w:rPr>
                <w:rFonts w:cs="Arial"/>
                <w:szCs w:val="22"/>
              </w:rPr>
              <w:t xml:space="preserve">Exemptions, Inspections, Certificates, Suspension </w:t>
            </w:r>
            <w:r w:rsidRPr="00500A46">
              <w:rPr>
                <w:rFonts w:cs="Arial"/>
                <w:szCs w:val="22"/>
              </w:rPr>
              <w:t>and Cancellations</w:t>
            </w:r>
          </w:p>
          <w:p w14:paraId="4069DAC9" w14:textId="77777777" w:rsidR="00747648" w:rsidRPr="00B42B85" w:rsidRDefault="00747648" w:rsidP="008D19B9">
            <w:pPr>
              <w:pStyle w:val="ListParagraph"/>
              <w:numPr>
                <w:ilvl w:val="0"/>
                <w:numId w:val="12"/>
              </w:numPr>
              <w:jc w:val="both"/>
              <w:rPr>
                <w:rFonts w:cs="Arial"/>
                <w:szCs w:val="22"/>
              </w:rPr>
            </w:pPr>
            <w:r>
              <w:rPr>
                <w:rFonts w:cs="Arial"/>
                <w:szCs w:val="22"/>
              </w:rPr>
              <w:t>Pool Safety Inspector (PSI) Applications, Changes and Notifications</w:t>
            </w:r>
          </w:p>
          <w:p w14:paraId="37FB2F21" w14:textId="4783FE0F" w:rsidR="00747648" w:rsidRDefault="00747648" w:rsidP="008D19B9">
            <w:pPr>
              <w:pStyle w:val="ListParagraph"/>
              <w:numPr>
                <w:ilvl w:val="0"/>
                <w:numId w:val="12"/>
              </w:numPr>
              <w:jc w:val="both"/>
              <w:rPr>
                <w:rFonts w:cs="Arial"/>
                <w:szCs w:val="22"/>
              </w:rPr>
            </w:pPr>
            <w:r w:rsidRPr="00B42B85">
              <w:rPr>
                <w:rFonts w:cs="Arial"/>
                <w:szCs w:val="22"/>
              </w:rPr>
              <w:t>Pool Register Enquiries &amp; Maintenance</w:t>
            </w:r>
            <w:r>
              <w:rPr>
                <w:rFonts w:cs="Arial"/>
                <w:szCs w:val="22"/>
              </w:rPr>
              <w:t xml:space="preserve"> </w:t>
            </w:r>
          </w:p>
          <w:p w14:paraId="2DB64FDB" w14:textId="46224632" w:rsidR="00747648" w:rsidRDefault="00747648" w:rsidP="008D19B9">
            <w:pPr>
              <w:pStyle w:val="ListParagraph"/>
              <w:numPr>
                <w:ilvl w:val="0"/>
                <w:numId w:val="12"/>
              </w:numPr>
              <w:jc w:val="both"/>
              <w:rPr>
                <w:rFonts w:cs="Arial"/>
                <w:szCs w:val="22"/>
              </w:rPr>
            </w:pPr>
            <w:r>
              <w:rPr>
                <w:rFonts w:cs="Arial"/>
                <w:szCs w:val="22"/>
              </w:rPr>
              <w:t>Notice of No Pool Safety Certificate</w:t>
            </w:r>
          </w:p>
          <w:p w14:paraId="1C019614" w14:textId="016D2D1C" w:rsidR="00747648" w:rsidRPr="00B42B85" w:rsidRDefault="00747648" w:rsidP="008D19B9">
            <w:pPr>
              <w:pStyle w:val="ListParagraph"/>
              <w:numPr>
                <w:ilvl w:val="0"/>
                <w:numId w:val="12"/>
              </w:numPr>
              <w:jc w:val="both"/>
              <w:rPr>
                <w:rFonts w:cs="Arial"/>
                <w:szCs w:val="22"/>
              </w:rPr>
            </w:pPr>
            <w:r w:rsidRPr="00B42B85">
              <w:rPr>
                <w:rFonts w:cs="Arial"/>
                <w:szCs w:val="22"/>
              </w:rPr>
              <w:t xml:space="preserve">Legacy Pools Complaints and Investigation </w:t>
            </w:r>
            <w:r>
              <w:rPr>
                <w:rFonts w:cs="Arial"/>
                <w:szCs w:val="22"/>
              </w:rPr>
              <w:t>f</w:t>
            </w:r>
            <w:r w:rsidRPr="00B42B85">
              <w:rPr>
                <w:rFonts w:cs="Arial"/>
                <w:szCs w:val="22"/>
              </w:rPr>
              <w:t>iles, including Penalty Infringement Notices (PINs)</w:t>
            </w:r>
            <w:r w:rsidR="00B44D2E">
              <w:rPr>
                <w:rFonts w:cs="Arial"/>
                <w:szCs w:val="22"/>
              </w:rPr>
              <w:t>, decision reviews &amp; A</w:t>
            </w:r>
            <w:r>
              <w:rPr>
                <w:rFonts w:cs="Arial"/>
                <w:szCs w:val="22"/>
              </w:rPr>
              <w:t xml:space="preserve">udits </w:t>
            </w:r>
            <w:r w:rsidRPr="00B42B85">
              <w:rPr>
                <w:rFonts w:cs="Arial"/>
                <w:szCs w:val="22"/>
              </w:rPr>
              <w:t>from the Plumbing Industry Council (PIC)</w:t>
            </w:r>
            <w:r>
              <w:rPr>
                <w:rFonts w:cs="Arial"/>
                <w:szCs w:val="22"/>
              </w:rPr>
              <w:t xml:space="preserve"> </w:t>
            </w:r>
            <w:r w:rsidR="009011B9">
              <w:rPr>
                <w:rFonts w:cs="Arial"/>
                <w:szCs w:val="22"/>
              </w:rPr>
              <w:t>-</w:t>
            </w:r>
            <w:r>
              <w:rPr>
                <w:rFonts w:cs="Arial"/>
                <w:szCs w:val="22"/>
              </w:rPr>
              <w:t xml:space="preserve"> </w:t>
            </w:r>
            <w:r w:rsidRPr="00B42B85">
              <w:rPr>
                <w:rFonts w:cs="Arial"/>
                <w:szCs w:val="22"/>
              </w:rPr>
              <w:t xml:space="preserve">original owner per MOG was </w:t>
            </w:r>
            <w:r>
              <w:rPr>
                <w:rFonts w:cs="Arial"/>
                <w:szCs w:val="22"/>
              </w:rPr>
              <w:t xml:space="preserve">the </w:t>
            </w:r>
            <w:r w:rsidRPr="00B42B85">
              <w:rPr>
                <w:rFonts w:cs="Arial"/>
                <w:szCs w:val="22"/>
              </w:rPr>
              <w:t>Dep</w:t>
            </w:r>
            <w:r>
              <w:rPr>
                <w:rFonts w:cs="Arial"/>
                <w:szCs w:val="22"/>
              </w:rPr>
              <w:t>ar</w:t>
            </w:r>
            <w:r w:rsidRPr="00B42B85">
              <w:rPr>
                <w:rFonts w:cs="Arial"/>
                <w:szCs w:val="22"/>
              </w:rPr>
              <w:t>t</w:t>
            </w:r>
            <w:r>
              <w:rPr>
                <w:rFonts w:cs="Arial"/>
                <w:szCs w:val="22"/>
              </w:rPr>
              <w:t>ment</w:t>
            </w:r>
            <w:r w:rsidRPr="00B42B85">
              <w:rPr>
                <w:rFonts w:cs="Arial"/>
                <w:szCs w:val="22"/>
              </w:rPr>
              <w:t xml:space="preserve"> of Development, Infrastructure &amp; Planning </w:t>
            </w:r>
            <w:r>
              <w:rPr>
                <w:rFonts w:cs="Arial"/>
                <w:szCs w:val="22"/>
              </w:rPr>
              <w:t>under DLG</w:t>
            </w:r>
          </w:p>
          <w:p w14:paraId="22CD070E" w14:textId="77777777" w:rsidR="00747648" w:rsidRDefault="00747648" w:rsidP="008D19B9">
            <w:pPr>
              <w:pStyle w:val="ListParagraph"/>
              <w:numPr>
                <w:ilvl w:val="0"/>
                <w:numId w:val="12"/>
              </w:numPr>
              <w:jc w:val="both"/>
              <w:rPr>
                <w:rFonts w:cs="Arial"/>
                <w:szCs w:val="22"/>
              </w:rPr>
            </w:pPr>
            <w:r w:rsidRPr="00945B67">
              <w:rPr>
                <w:rFonts w:cs="Arial"/>
                <w:szCs w:val="22"/>
              </w:rPr>
              <w:t xml:space="preserve">Local Government </w:t>
            </w:r>
            <w:r>
              <w:rPr>
                <w:rFonts w:cs="Arial"/>
                <w:szCs w:val="22"/>
              </w:rPr>
              <w:t xml:space="preserve">Compliance </w:t>
            </w:r>
            <w:r w:rsidRPr="00945B67">
              <w:rPr>
                <w:rFonts w:cs="Arial"/>
                <w:szCs w:val="22"/>
              </w:rPr>
              <w:t>Impracticalit</w:t>
            </w:r>
            <w:r>
              <w:rPr>
                <w:rFonts w:cs="Arial"/>
                <w:szCs w:val="22"/>
              </w:rPr>
              <w:t>y and Disability Exemptions</w:t>
            </w:r>
          </w:p>
          <w:p w14:paraId="07CA91D4" w14:textId="129DB70C" w:rsidR="00747648" w:rsidRPr="00A97C59" w:rsidRDefault="00747648" w:rsidP="008D19B9">
            <w:pPr>
              <w:pStyle w:val="ListParagraph"/>
              <w:numPr>
                <w:ilvl w:val="0"/>
                <w:numId w:val="12"/>
              </w:numPr>
              <w:jc w:val="both"/>
              <w:rPr>
                <w:rFonts w:cs="Arial"/>
                <w:szCs w:val="22"/>
              </w:rPr>
            </w:pPr>
            <w:r>
              <w:rPr>
                <w:rFonts w:cs="Arial"/>
                <w:szCs w:val="22"/>
              </w:rPr>
              <w:t xml:space="preserve">Notice of Decision / Notice of Exemption / Notice of Revocation </w:t>
            </w:r>
          </w:p>
        </w:tc>
        <w:tc>
          <w:tcPr>
            <w:tcW w:w="900" w:type="pct"/>
            <w:shd w:val="clear" w:color="auto" w:fill="auto"/>
          </w:tcPr>
          <w:p w14:paraId="1266ACD9" w14:textId="77777777" w:rsidR="00B02E26" w:rsidRPr="00B02E26" w:rsidRDefault="00B02E26" w:rsidP="00747648">
            <w:r w:rsidRPr="00B02E26">
              <w:lastRenderedPageBreak/>
              <w:t xml:space="preserve">10 years after business action completed </w:t>
            </w:r>
          </w:p>
          <w:p w14:paraId="43B714A6" w14:textId="77777777" w:rsidR="00B02E26" w:rsidRPr="00B02E26" w:rsidRDefault="00B02E26" w:rsidP="00747648">
            <w:r w:rsidRPr="00B02E26">
              <w:t xml:space="preserve">OR </w:t>
            </w:r>
          </w:p>
          <w:p w14:paraId="2B64F839" w14:textId="0801AF84" w:rsidR="00747648" w:rsidRPr="00B02E26" w:rsidRDefault="00B02E26" w:rsidP="00747648">
            <w:pPr>
              <w:rPr>
                <w:rFonts w:cs="Arial"/>
                <w:szCs w:val="22"/>
              </w:rPr>
            </w:pPr>
            <w:r w:rsidRPr="00B02E26">
              <w:t>10 years after any minor involved in a pool immersion incident turns 18, whichever is later.</w:t>
            </w:r>
          </w:p>
          <w:p w14:paraId="5B937E7E" w14:textId="47019FDE" w:rsidR="00747648" w:rsidRDefault="00747648" w:rsidP="00747648">
            <w:pPr>
              <w:rPr>
                <w:rFonts w:cs="Arial"/>
                <w:b/>
                <w:szCs w:val="22"/>
              </w:rPr>
            </w:pPr>
            <w:r w:rsidRPr="00EA3F4C">
              <w:rPr>
                <w:rFonts w:cs="Arial"/>
                <w:b/>
                <w:szCs w:val="22"/>
              </w:rPr>
              <w:t xml:space="preserve"> </w:t>
            </w:r>
          </w:p>
          <w:p w14:paraId="4468952B" w14:textId="77777777" w:rsidR="00747648" w:rsidRDefault="00747648" w:rsidP="00747648">
            <w:pPr>
              <w:rPr>
                <w:rFonts w:cs="Arial"/>
                <w:b/>
                <w:szCs w:val="22"/>
              </w:rPr>
            </w:pPr>
          </w:p>
          <w:p w14:paraId="0149366E" w14:textId="429A2CCE" w:rsidR="00747648" w:rsidRPr="001321A9" w:rsidRDefault="00747648" w:rsidP="00747648">
            <w:pPr>
              <w:rPr>
                <w:rFonts w:cs="Arial"/>
                <w:szCs w:val="22"/>
              </w:rPr>
            </w:pPr>
          </w:p>
        </w:tc>
        <w:tc>
          <w:tcPr>
            <w:tcW w:w="549" w:type="pct"/>
          </w:tcPr>
          <w:p w14:paraId="2700A43D" w14:textId="52291B16" w:rsidR="00747648" w:rsidRDefault="00912862" w:rsidP="00747648">
            <w:r>
              <w:t>15 December 2023</w:t>
            </w:r>
          </w:p>
          <w:p w14:paraId="70B9C737" w14:textId="77777777" w:rsidR="00747648" w:rsidRDefault="00747648" w:rsidP="00747648"/>
        </w:tc>
      </w:tr>
      <w:tr w:rsidR="00747648" w:rsidRPr="004D14B4" w14:paraId="1BB3EFED" w14:textId="77777777" w:rsidTr="006911D1">
        <w:tblPrEx>
          <w:tblCellMar>
            <w:top w:w="57" w:type="dxa"/>
            <w:left w:w="119" w:type="dxa"/>
            <w:right w:w="119" w:type="dxa"/>
          </w:tblCellMar>
        </w:tblPrEx>
        <w:tc>
          <w:tcPr>
            <w:tcW w:w="509" w:type="pct"/>
            <w:shd w:val="clear" w:color="auto" w:fill="auto"/>
          </w:tcPr>
          <w:p w14:paraId="0BA50EE1" w14:textId="4337E49A" w:rsidR="00747648" w:rsidRDefault="00400828" w:rsidP="00747648">
            <w:pPr>
              <w:pStyle w:val="Tabletext"/>
              <w:spacing w:before="60" w:after="60"/>
              <w:rPr>
                <w:sz w:val="22"/>
                <w:szCs w:val="22"/>
              </w:rPr>
            </w:pPr>
            <w:r>
              <w:rPr>
                <w:sz w:val="22"/>
                <w:szCs w:val="22"/>
              </w:rPr>
              <w:t>2780</w:t>
            </w:r>
          </w:p>
        </w:tc>
        <w:tc>
          <w:tcPr>
            <w:tcW w:w="3042" w:type="pct"/>
            <w:shd w:val="clear" w:color="auto" w:fill="auto"/>
          </w:tcPr>
          <w:p w14:paraId="4239C4E1" w14:textId="615CAAAE" w:rsidR="00747648" w:rsidRPr="0042319E" w:rsidRDefault="00747648" w:rsidP="00747648">
            <w:pPr>
              <w:rPr>
                <w:rFonts w:cs="Arial"/>
                <w:b/>
                <w:bCs/>
                <w:szCs w:val="22"/>
              </w:rPr>
            </w:pPr>
            <w:r w:rsidRPr="0042319E">
              <w:rPr>
                <w:rFonts w:cs="Arial"/>
                <w:b/>
                <w:bCs/>
                <w:szCs w:val="22"/>
              </w:rPr>
              <w:t xml:space="preserve">Audits </w:t>
            </w:r>
            <w:r w:rsidR="00AF21BC">
              <w:rPr>
                <w:rFonts w:cs="Arial"/>
                <w:b/>
                <w:bCs/>
                <w:szCs w:val="22"/>
              </w:rPr>
              <w:t xml:space="preserve">and Reporting </w:t>
            </w:r>
            <w:r w:rsidR="005C2BC2">
              <w:rPr>
                <w:rFonts w:cs="Arial"/>
                <w:b/>
                <w:bCs/>
                <w:szCs w:val="22"/>
              </w:rPr>
              <w:t>–</w:t>
            </w:r>
            <w:r w:rsidRPr="0042319E">
              <w:rPr>
                <w:rFonts w:cs="Arial"/>
                <w:b/>
                <w:bCs/>
                <w:szCs w:val="22"/>
              </w:rPr>
              <w:t xml:space="preserve"> Other</w:t>
            </w:r>
            <w:r w:rsidR="005C2BC2">
              <w:rPr>
                <w:rFonts w:cs="Arial"/>
                <w:b/>
                <w:bCs/>
                <w:szCs w:val="22"/>
              </w:rPr>
              <w:t xml:space="preserve"> </w:t>
            </w:r>
          </w:p>
          <w:p w14:paraId="3D42CBB9" w14:textId="6B359131" w:rsidR="00747648" w:rsidRPr="0042319E" w:rsidRDefault="00747648" w:rsidP="00747648">
            <w:pPr>
              <w:rPr>
                <w:rFonts w:cs="Arial"/>
                <w:szCs w:val="22"/>
              </w:rPr>
            </w:pPr>
            <w:r w:rsidRPr="0042319E">
              <w:rPr>
                <w:rFonts w:cs="Arial"/>
                <w:szCs w:val="22"/>
              </w:rPr>
              <w:t xml:space="preserve">Records relating to </w:t>
            </w:r>
            <w:r w:rsidR="00895FF0">
              <w:rPr>
                <w:rFonts w:cs="Arial"/>
                <w:szCs w:val="22"/>
              </w:rPr>
              <w:t xml:space="preserve">reports and/or </w:t>
            </w:r>
            <w:r w:rsidRPr="0042319E">
              <w:rPr>
                <w:rFonts w:cs="Arial"/>
                <w:szCs w:val="22"/>
              </w:rPr>
              <w:t xml:space="preserve">audits that </w:t>
            </w:r>
            <w:r w:rsidR="00011482">
              <w:rPr>
                <w:rFonts w:cs="Arial"/>
                <w:szCs w:val="22"/>
              </w:rPr>
              <w:t>do</w:t>
            </w:r>
            <w:r w:rsidR="00895FF0">
              <w:rPr>
                <w:rFonts w:cs="Arial"/>
                <w:szCs w:val="22"/>
              </w:rPr>
              <w:t xml:space="preserve"> </w:t>
            </w:r>
            <w:r w:rsidRPr="0042319E">
              <w:rPr>
                <w:rFonts w:cs="Arial"/>
                <w:szCs w:val="22"/>
              </w:rPr>
              <w:t xml:space="preserve">not require further </w:t>
            </w:r>
            <w:r w:rsidR="00AF21BC">
              <w:rPr>
                <w:rFonts w:cs="Arial"/>
                <w:szCs w:val="22"/>
              </w:rPr>
              <w:t xml:space="preserve">action or </w:t>
            </w:r>
            <w:r w:rsidRPr="0042319E">
              <w:rPr>
                <w:rFonts w:cs="Arial"/>
                <w:szCs w:val="22"/>
              </w:rPr>
              <w:t xml:space="preserve">investigation involving </w:t>
            </w:r>
            <w:r w:rsidR="00AF21BC">
              <w:rPr>
                <w:rFonts w:cs="Arial"/>
                <w:szCs w:val="22"/>
              </w:rPr>
              <w:t xml:space="preserve">the building industry and/or </w:t>
            </w:r>
            <w:r w:rsidRPr="0042319E">
              <w:rPr>
                <w:rFonts w:cs="Arial"/>
                <w:szCs w:val="22"/>
              </w:rPr>
              <w:t xml:space="preserve">builders, contractors, sub-contractors and certifiers licensed under the </w:t>
            </w:r>
            <w:r w:rsidRPr="00B03116">
              <w:rPr>
                <w:rFonts w:cs="Arial"/>
                <w:i/>
                <w:iCs/>
                <w:szCs w:val="22"/>
              </w:rPr>
              <w:t>Queensland Building and Construction Commission Act 1991</w:t>
            </w:r>
            <w:r w:rsidRPr="0042319E">
              <w:rPr>
                <w:rFonts w:cs="Arial"/>
                <w:szCs w:val="22"/>
              </w:rPr>
              <w:t xml:space="preserve">, the </w:t>
            </w:r>
            <w:r w:rsidRPr="00B03116">
              <w:rPr>
                <w:rFonts w:cs="Arial"/>
                <w:i/>
                <w:iCs/>
                <w:szCs w:val="22"/>
              </w:rPr>
              <w:t>Building Act 1975</w:t>
            </w:r>
            <w:r w:rsidRPr="0042319E">
              <w:rPr>
                <w:rFonts w:cs="Arial"/>
                <w:szCs w:val="22"/>
              </w:rPr>
              <w:t xml:space="preserve"> and the </w:t>
            </w:r>
            <w:r w:rsidRPr="00B03116">
              <w:rPr>
                <w:rFonts w:cs="Arial"/>
                <w:i/>
                <w:iCs/>
                <w:szCs w:val="22"/>
              </w:rPr>
              <w:t>Plumbing and Drainage Act 2018</w:t>
            </w:r>
            <w:r w:rsidRPr="0042319E">
              <w:rPr>
                <w:rFonts w:cs="Arial"/>
                <w:szCs w:val="22"/>
              </w:rPr>
              <w:t xml:space="preserve">. </w:t>
            </w:r>
          </w:p>
          <w:p w14:paraId="468E45D5" w14:textId="126C86A3" w:rsidR="00747648" w:rsidRPr="0042319E" w:rsidRDefault="004E018E" w:rsidP="00747648">
            <w:pPr>
              <w:rPr>
                <w:rFonts w:cs="Arial"/>
                <w:szCs w:val="22"/>
              </w:rPr>
            </w:pPr>
            <w:r>
              <w:rPr>
                <w:rFonts w:cs="Arial"/>
                <w:szCs w:val="22"/>
              </w:rPr>
              <w:t>Records may include</w:t>
            </w:r>
            <w:r w:rsidR="00747648" w:rsidRPr="0042319E">
              <w:rPr>
                <w:rFonts w:cs="Arial"/>
                <w:szCs w:val="22"/>
              </w:rPr>
              <w:t>, but are not limited to:</w:t>
            </w:r>
          </w:p>
          <w:p w14:paraId="7AA07B42" w14:textId="3334C48A" w:rsidR="00747648" w:rsidRPr="0042319E" w:rsidRDefault="00747648" w:rsidP="008D19B9">
            <w:pPr>
              <w:pStyle w:val="ListParagraph"/>
              <w:numPr>
                <w:ilvl w:val="0"/>
                <w:numId w:val="11"/>
              </w:numPr>
              <w:ind w:left="487" w:hanging="284"/>
            </w:pPr>
            <w:r w:rsidRPr="0042319E">
              <w:t>Licensee Audits / Licence Audits</w:t>
            </w:r>
          </w:p>
          <w:p w14:paraId="799DCE34" w14:textId="19AB0CA4" w:rsidR="00747648" w:rsidRPr="0042319E" w:rsidRDefault="00747648" w:rsidP="008D19B9">
            <w:pPr>
              <w:pStyle w:val="ListParagraph"/>
              <w:numPr>
                <w:ilvl w:val="0"/>
                <w:numId w:val="11"/>
              </w:numPr>
              <w:ind w:left="487" w:hanging="284"/>
            </w:pPr>
            <w:r w:rsidRPr="0042319E">
              <w:t>Notifiable Work Audits per s.47 of the PDA</w:t>
            </w:r>
          </w:p>
          <w:p w14:paraId="2DE84111" w14:textId="0BABAE7C" w:rsidR="00747648" w:rsidRPr="0042319E" w:rsidRDefault="00747648" w:rsidP="008D19B9">
            <w:pPr>
              <w:pStyle w:val="ListParagraph"/>
              <w:numPr>
                <w:ilvl w:val="0"/>
                <w:numId w:val="11"/>
              </w:numPr>
              <w:ind w:left="487" w:hanging="284"/>
            </w:pPr>
            <w:r w:rsidRPr="0042319E">
              <w:t>Audit checking of Hot Water System and Backflow Device Installations</w:t>
            </w:r>
          </w:p>
          <w:p w14:paraId="0C9D707B" w14:textId="5BB9BD5D" w:rsidR="00747648" w:rsidRPr="0042319E" w:rsidRDefault="00747648" w:rsidP="008D19B9">
            <w:pPr>
              <w:pStyle w:val="ListParagraph"/>
              <w:numPr>
                <w:ilvl w:val="0"/>
                <w:numId w:val="11"/>
              </w:numPr>
              <w:ind w:left="487" w:hanging="284"/>
            </w:pPr>
            <w:r w:rsidRPr="0042319E">
              <w:t>Random Audits and Compliance Audits for Real Estate Agents</w:t>
            </w:r>
            <w:r w:rsidR="00DB10CD">
              <w:t xml:space="preserve"> (Pools)</w:t>
            </w:r>
          </w:p>
          <w:p w14:paraId="1244A600" w14:textId="44DB96A8" w:rsidR="00747648" w:rsidRPr="0042319E" w:rsidRDefault="00747648" w:rsidP="008D19B9">
            <w:pPr>
              <w:pStyle w:val="ListParagraph"/>
              <w:numPr>
                <w:ilvl w:val="0"/>
                <w:numId w:val="11"/>
              </w:numPr>
              <w:ind w:left="487" w:hanging="284"/>
            </w:pPr>
            <w:r w:rsidRPr="0042319E">
              <w:t>Property Valuations and Audit Decision Notice</w:t>
            </w:r>
          </w:p>
          <w:p w14:paraId="2D8CF477" w14:textId="5D917536" w:rsidR="00747648" w:rsidRPr="00895FF0" w:rsidRDefault="00747648" w:rsidP="008D19B9">
            <w:pPr>
              <w:pStyle w:val="ListParagraph"/>
              <w:numPr>
                <w:ilvl w:val="0"/>
                <w:numId w:val="11"/>
              </w:numPr>
              <w:ind w:left="487" w:hanging="284"/>
              <w:rPr>
                <w:rFonts w:cs="Arial"/>
                <w:szCs w:val="22"/>
                <w:lang w:eastAsia="en-AU"/>
              </w:rPr>
            </w:pPr>
            <w:r w:rsidRPr="0042319E">
              <w:t xml:space="preserve">Audits of Adjudication Applications prepared by Authorised Nominating Authorities (ANAs) conducted in accordance with the former </w:t>
            </w:r>
            <w:r w:rsidRPr="00B03116">
              <w:rPr>
                <w:i/>
                <w:iCs/>
              </w:rPr>
              <w:t>Building and Construction Industry Payments Act 2004</w:t>
            </w:r>
            <w:r w:rsidRPr="0042319E">
              <w:t xml:space="preserve">. </w:t>
            </w:r>
            <w:r>
              <w:t>I</w:t>
            </w:r>
            <w:r w:rsidRPr="0042319E">
              <w:t xml:space="preserve">ncludes </w:t>
            </w:r>
            <w:r>
              <w:t>–</w:t>
            </w:r>
            <w:r w:rsidRPr="0042319E">
              <w:t xml:space="preserve"> </w:t>
            </w:r>
            <w:r>
              <w:t xml:space="preserve">ANA </w:t>
            </w:r>
            <w:r w:rsidRPr="0042319E">
              <w:t>Audit Reports and Notices to ANAs.</w:t>
            </w:r>
          </w:p>
          <w:p w14:paraId="563877B2" w14:textId="003EC873" w:rsidR="00895FF0" w:rsidRPr="005C5BDB" w:rsidRDefault="00895FF0" w:rsidP="008D19B9">
            <w:pPr>
              <w:pStyle w:val="ListParagraph"/>
              <w:numPr>
                <w:ilvl w:val="0"/>
                <w:numId w:val="11"/>
              </w:numPr>
              <w:ind w:left="487" w:hanging="284"/>
              <w:rPr>
                <w:rFonts w:cs="Arial"/>
                <w:szCs w:val="22"/>
                <w:lang w:eastAsia="en-AU"/>
              </w:rPr>
            </w:pPr>
            <w:r>
              <w:rPr>
                <w:rFonts w:cs="Arial"/>
                <w:szCs w:val="22"/>
                <w:lang w:eastAsia="en-AU"/>
              </w:rPr>
              <w:t xml:space="preserve">Reports from Local Government Councils on </w:t>
            </w:r>
            <w:r w:rsidR="00AF21BC">
              <w:rPr>
                <w:rFonts w:cs="Arial"/>
                <w:szCs w:val="22"/>
                <w:lang w:eastAsia="en-AU"/>
              </w:rPr>
              <w:t>local</w:t>
            </w:r>
            <w:r w:rsidR="004053B8">
              <w:rPr>
                <w:rFonts w:cs="Arial"/>
                <w:szCs w:val="22"/>
                <w:lang w:eastAsia="en-AU"/>
              </w:rPr>
              <w:t xml:space="preserve">ised or regional </w:t>
            </w:r>
            <w:r>
              <w:rPr>
                <w:rFonts w:cs="Arial"/>
                <w:szCs w:val="22"/>
                <w:lang w:eastAsia="en-AU"/>
              </w:rPr>
              <w:t>LGA Building Activities, Operations, Approvals, Statistics etc.</w:t>
            </w:r>
          </w:p>
        </w:tc>
        <w:tc>
          <w:tcPr>
            <w:tcW w:w="900" w:type="pct"/>
            <w:shd w:val="clear" w:color="auto" w:fill="auto"/>
          </w:tcPr>
          <w:p w14:paraId="7E5F7283" w14:textId="16DC254C" w:rsidR="00747648" w:rsidRPr="004D064C" w:rsidRDefault="00747648" w:rsidP="00747648">
            <w:pPr>
              <w:rPr>
                <w:rFonts w:cs="Arial"/>
                <w:szCs w:val="22"/>
              </w:rPr>
            </w:pPr>
            <w:r w:rsidRPr="004D064C">
              <w:rPr>
                <w:rFonts w:cs="Arial"/>
                <w:szCs w:val="22"/>
              </w:rPr>
              <w:t xml:space="preserve">7 years after </w:t>
            </w:r>
            <w:r>
              <w:rPr>
                <w:rFonts w:cs="Arial"/>
                <w:szCs w:val="22"/>
              </w:rPr>
              <w:t>business action completed.</w:t>
            </w:r>
          </w:p>
          <w:p w14:paraId="45EC46C2" w14:textId="77777777" w:rsidR="00747648" w:rsidRDefault="00747648" w:rsidP="00747648">
            <w:pPr>
              <w:rPr>
                <w:rFonts w:cs="Arial"/>
                <w:szCs w:val="22"/>
              </w:rPr>
            </w:pPr>
          </w:p>
          <w:p w14:paraId="2E6B1354" w14:textId="77777777" w:rsidR="00747648" w:rsidRDefault="00747648" w:rsidP="00747648">
            <w:pPr>
              <w:rPr>
                <w:rFonts w:cs="Arial"/>
                <w:szCs w:val="22"/>
              </w:rPr>
            </w:pPr>
          </w:p>
          <w:p w14:paraId="4F54DD13" w14:textId="2AA2DA17" w:rsidR="00747648" w:rsidRPr="00E048A8" w:rsidRDefault="00747648" w:rsidP="00747648">
            <w:pPr>
              <w:rPr>
                <w:rFonts w:cs="Arial"/>
                <w:szCs w:val="22"/>
              </w:rPr>
            </w:pPr>
          </w:p>
        </w:tc>
        <w:tc>
          <w:tcPr>
            <w:tcW w:w="549" w:type="pct"/>
          </w:tcPr>
          <w:p w14:paraId="05B213F2" w14:textId="609D72BD" w:rsidR="00747648" w:rsidRDefault="00912862" w:rsidP="00747648">
            <w:r>
              <w:t>15 December 2023</w:t>
            </w:r>
          </w:p>
        </w:tc>
      </w:tr>
      <w:tr w:rsidR="00747648" w:rsidRPr="004D14B4" w14:paraId="051AC40D" w14:textId="77777777" w:rsidTr="00587CE8">
        <w:tblPrEx>
          <w:tblCellMar>
            <w:top w:w="57" w:type="dxa"/>
            <w:left w:w="119" w:type="dxa"/>
            <w:right w:w="119" w:type="dxa"/>
          </w:tblCellMar>
        </w:tblPrEx>
        <w:tc>
          <w:tcPr>
            <w:tcW w:w="5000" w:type="pct"/>
            <w:gridSpan w:val="4"/>
            <w:shd w:val="clear" w:color="auto" w:fill="auto"/>
          </w:tcPr>
          <w:p w14:paraId="29CE726E" w14:textId="7FA28FEB" w:rsidR="00747648" w:rsidRDefault="00747648" w:rsidP="008F3DDA">
            <w:pPr>
              <w:pStyle w:val="Heading2"/>
            </w:pPr>
            <w:r w:rsidRPr="008843B1">
              <w:t>INTERNAL REVIEW</w:t>
            </w:r>
            <w:r>
              <w:t xml:space="preserve"> OF DECISIONS</w:t>
            </w:r>
          </w:p>
          <w:p w14:paraId="1ACEA849" w14:textId="350CD902" w:rsidR="00747648" w:rsidRPr="009F4197" w:rsidRDefault="00747648" w:rsidP="008F3DDA">
            <w:pPr>
              <w:pStyle w:val="Heading2"/>
              <w:rPr>
                <w:b w:val="0"/>
                <w:bCs/>
                <w:i/>
                <w:iCs/>
              </w:rPr>
            </w:pPr>
            <w:r w:rsidRPr="009F4197">
              <w:rPr>
                <w:b w:val="0"/>
                <w:bCs/>
                <w:i/>
                <w:iCs/>
              </w:rPr>
              <w:lastRenderedPageBreak/>
              <w:t xml:space="preserve">The activities involved with providing an independent internal review service to reduce the number of administrative reviews made through the Queensland Civil and Administrative Tribunal (QCAT) in accordance with the s.86 of the Queensland Building and Construction </w:t>
            </w:r>
            <w:r w:rsidR="005A3383">
              <w:rPr>
                <w:b w:val="0"/>
                <w:bCs/>
                <w:i/>
                <w:iCs/>
              </w:rPr>
              <w:t xml:space="preserve">Commission </w:t>
            </w:r>
            <w:r w:rsidRPr="009F4197">
              <w:rPr>
                <w:b w:val="0"/>
                <w:bCs/>
                <w:i/>
                <w:iCs/>
              </w:rPr>
              <w:t xml:space="preserve">Act 1991. </w:t>
            </w:r>
          </w:p>
        </w:tc>
      </w:tr>
      <w:tr w:rsidR="00747648" w:rsidRPr="004D14B4" w14:paraId="2D3E015B" w14:textId="77777777" w:rsidTr="006911D1">
        <w:tblPrEx>
          <w:tblCellMar>
            <w:top w:w="57" w:type="dxa"/>
            <w:left w:w="119" w:type="dxa"/>
            <w:right w:w="119" w:type="dxa"/>
          </w:tblCellMar>
        </w:tblPrEx>
        <w:tc>
          <w:tcPr>
            <w:tcW w:w="509" w:type="pct"/>
            <w:shd w:val="clear" w:color="auto" w:fill="auto"/>
          </w:tcPr>
          <w:p w14:paraId="4FCEFA89" w14:textId="515EF121" w:rsidR="00747648" w:rsidRDefault="005E7CFB" w:rsidP="00747648">
            <w:pPr>
              <w:pStyle w:val="Tabletext"/>
              <w:spacing w:before="60" w:after="60"/>
              <w:rPr>
                <w:sz w:val="22"/>
                <w:szCs w:val="22"/>
              </w:rPr>
            </w:pPr>
            <w:r>
              <w:rPr>
                <w:sz w:val="22"/>
                <w:szCs w:val="22"/>
              </w:rPr>
              <w:lastRenderedPageBreak/>
              <w:t>2781</w:t>
            </w:r>
          </w:p>
        </w:tc>
        <w:tc>
          <w:tcPr>
            <w:tcW w:w="3042" w:type="pct"/>
            <w:shd w:val="clear" w:color="auto" w:fill="auto"/>
          </w:tcPr>
          <w:p w14:paraId="4A0A8BAF" w14:textId="0857E5EE" w:rsidR="00747648" w:rsidRPr="00F257C1" w:rsidRDefault="00747648" w:rsidP="00747648">
            <w:pPr>
              <w:rPr>
                <w:rFonts w:cs="Arial"/>
                <w:b/>
                <w:bCs/>
                <w:szCs w:val="22"/>
              </w:rPr>
            </w:pPr>
            <w:r>
              <w:rPr>
                <w:rFonts w:cs="Arial"/>
                <w:b/>
                <w:bCs/>
                <w:szCs w:val="22"/>
              </w:rPr>
              <w:t xml:space="preserve">Internal Review of </w:t>
            </w:r>
            <w:r w:rsidRPr="00F257C1">
              <w:rPr>
                <w:rFonts w:cs="Arial"/>
                <w:b/>
                <w:bCs/>
                <w:szCs w:val="22"/>
              </w:rPr>
              <w:t>Decision</w:t>
            </w:r>
            <w:r>
              <w:rPr>
                <w:rFonts w:cs="Arial"/>
                <w:b/>
                <w:bCs/>
                <w:szCs w:val="22"/>
              </w:rPr>
              <w:t>s</w:t>
            </w:r>
          </w:p>
          <w:p w14:paraId="68867BDD" w14:textId="1DE2035F" w:rsidR="00747648" w:rsidRDefault="00747648" w:rsidP="00747648">
            <w:r w:rsidRPr="00CE5563">
              <w:rPr>
                <w:rFonts w:cs="Arial"/>
                <w:szCs w:val="22"/>
              </w:rPr>
              <w:t>Records relating</w:t>
            </w:r>
            <w:r>
              <w:rPr>
                <w:rFonts w:cs="Arial"/>
                <w:szCs w:val="22"/>
              </w:rPr>
              <w:t xml:space="preserve"> to requests to </w:t>
            </w:r>
            <w:r>
              <w:t xml:space="preserve">review a nominated </w:t>
            </w:r>
            <w:r w:rsidR="008D61A0">
              <w:t>d</w:t>
            </w:r>
            <w:r>
              <w:t>ecision including:</w:t>
            </w:r>
          </w:p>
          <w:p w14:paraId="70869F6D" w14:textId="7AE4745D" w:rsidR="00747648" w:rsidRDefault="00747648" w:rsidP="008D19B9">
            <w:pPr>
              <w:pStyle w:val="ListParagraph"/>
              <w:numPr>
                <w:ilvl w:val="0"/>
                <w:numId w:val="11"/>
              </w:numPr>
              <w:ind w:left="487" w:hanging="284"/>
            </w:pPr>
            <w:r>
              <w:t>Issuance or not to issue a direction to rectify and/or complete work.</w:t>
            </w:r>
          </w:p>
          <w:p w14:paraId="779F1A72" w14:textId="2951200D" w:rsidR="00747648" w:rsidRDefault="00747648" w:rsidP="008D19B9">
            <w:pPr>
              <w:pStyle w:val="ListParagraph"/>
              <w:numPr>
                <w:ilvl w:val="0"/>
                <w:numId w:val="11"/>
              </w:numPr>
              <w:ind w:left="487" w:hanging="284"/>
            </w:pPr>
            <w:r>
              <w:t>Rectification / completion of work is or is not of a satisfactory standard.</w:t>
            </w:r>
          </w:p>
          <w:p w14:paraId="2DC67F60" w14:textId="60C27619" w:rsidR="00747648" w:rsidRDefault="00747648" w:rsidP="008D19B9">
            <w:pPr>
              <w:pStyle w:val="ListParagraph"/>
              <w:numPr>
                <w:ilvl w:val="0"/>
                <w:numId w:val="11"/>
              </w:numPr>
              <w:ind w:left="487" w:hanging="284"/>
            </w:pPr>
            <w:r>
              <w:t>Scope of works for an insurance claim</w:t>
            </w:r>
            <w:r w:rsidR="004F6679">
              <w:t>.</w:t>
            </w:r>
          </w:p>
          <w:p w14:paraId="75926D29" w14:textId="1F397F17" w:rsidR="00747648" w:rsidRDefault="00747648" w:rsidP="008D19B9">
            <w:pPr>
              <w:pStyle w:val="ListParagraph"/>
              <w:numPr>
                <w:ilvl w:val="0"/>
                <w:numId w:val="11"/>
              </w:numPr>
              <w:ind w:left="487" w:hanging="284"/>
            </w:pPr>
            <w:r>
              <w:t>Disallowance of part or whole of an insurance claim</w:t>
            </w:r>
            <w:r w:rsidR="004F6679">
              <w:t>.</w:t>
            </w:r>
          </w:p>
          <w:p w14:paraId="3B780DD4" w14:textId="50486F81" w:rsidR="00747648" w:rsidRDefault="00747648" w:rsidP="008D19B9">
            <w:pPr>
              <w:pStyle w:val="ListParagraph"/>
              <w:numPr>
                <w:ilvl w:val="0"/>
                <w:numId w:val="11"/>
              </w:numPr>
              <w:ind w:left="487" w:hanging="284"/>
            </w:pPr>
            <w:r>
              <w:t>Whether a certifier has engaged in unsatisfactory conduct or professional misconduct</w:t>
            </w:r>
            <w:r w:rsidR="008D61A0">
              <w:t>.</w:t>
            </w:r>
          </w:p>
          <w:p w14:paraId="526E46B7" w14:textId="56749E11" w:rsidR="00EA0066" w:rsidRPr="008843B1" w:rsidRDefault="00747648" w:rsidP="008D19B9">
            <w:pPr>
              <w:pStyle w:val="ListParagraph"/>
              <w:numPr>
                <w:ilvl w:val="0"/>
                <w:numId w:val="11"/>
              </w:numPr>
              <w:ind w:left="487" w:hanging="284"/>
            </w:pPr>
            <w:r>
              <w:t>Suspension or cancell</w:t>
            </w:r>
            <w:r w:rsidRPr="008843B1">
              <w:t>a</w:t>
            </w:r>
            <w:r>
              <w:t>tion of a</w:t>
            </w:r>
            <w:r w:rsidRPr="008843B1">
              <w:t xml:space="preserve"> licence</w:t>
            </w:r>
            <w:r w:rsidR="008D61A0">
              <w:t>.</w:t>
            </w:r>
          </w:p>
        </w:tc>
        <w:tc>
          <w:tcPr>
            <w:tcW w:w="900" w:type="pct"/>
            <w:shd w:val="clear" w:color="auto" w:fill="auto"/>
          </w:tcPr>
          <w:p w14:paraId="6B9BB85D" w14:textId="1518165C" w:rsidR="00747648" w:rsidRPr="00E048A8" w:rsidRDefault="00747648" w:rsidP="00747648">
            <w:pPr>
              <w:rPr>
                <w:rFonts w:cs="Arial"/>
                <w:szCs w:val="22"/>
              </w:rPr>
            </w:pPr>
            <w:r>
              <w:rPr>
                <w:rFonts w:cs="Arial"/>
                <w:szCs w:val="22"/>
              </w:rPr>
              <w:t xml:space="preserve">15 </w:t>
            </w:r>
            <w:r w:rsidRPr="002F2943">
              <w:rPr>
                <w:rFonts w:cs="Arial"/>
                <w:szCs w:val="22"/>
              </w:rPr>
              <w:t xml:space="preserve">years after </w:t>
            </w:r>
            <w:r>
              <w:rPr>
                <w:rFonts w:cs="Arial"/>
                <w:szCs w:val="22"/>
              </w:rPr>
              <w:t>business action completed</w:t>
            </w:r>
            <w:r w:rsidRPr="002F2943">
              <w:rPr>
                <w:rFonts w:cs="Arial"/>
                <w:szCs w:val="22"/>
              </w:rPr>
              <w:t>.</w:t>
            </w:r>
          </w:p>
        </w:tc>
        <w:tc>
          <w:tcPr>
            <w:tcW w:w="549" w:type="pct"/>
          </w:tcPr>
          <w:p w14:paraId="4FFCB87A" w14:textId="1FC25C37" w:rsidR="00747648" w:rsidRPr="00912862" w:rsidRDefault="00912862" w:rsidP="00747648">
            <w:pPr>
              <w:rPr>
                <w:szCs w:val="22"/>
              </w:rPr>
            </w:pPr>
            <w:r w:rsidRPr="00912862">
              <w:rPr>
                <w:szCs w:val="22"/>
              </w:rPr>
              <w:t>15 December 2023</w:t>
            </w:r>
          </w:p>
        </w:tc>
      </w:tr>
    </w:tbl>
    <w:p w14:paraId="7F1611E2" w14:textId="77777777" w:rsidR="001C6E39" w:rsidRDefault="001C6E39" w:rsidP="00E70426">
      <w:pPr>
        <w:spacing w:before="0" w:after="0"/>
        <w:rPr>
          <w:rStyle w:val="Heading2Char"/>
          <w:b w:val="0"/>
          <w:noProof/>
          <w:sz w:val="28"/>
          <w:szCs w:val="28"/>
          <w:lang w:eastAsia="en-AU"/>
        </w:rPr>
      </w:pPr>
    </w:p>
    <w:p w14:paraId="30FF2C27" w14:textId="77777777" w:rsidR="001C6E39" w:rsidRDefault="001C6E39">
      <w:pPr>
        <w:spacing w:before="0" w:after="0"/>
        <w:rPr>
          <w:rStyle w:val="Heading2Char"/>
          <w:b w:val="0"/>
          <w:noProof/>
          <w:sz w:val="28"/>
          <w:szCs w:val="28"/>
          <w:lang w:eastAsia="en-AU"/>
        </w:rPr>
      </w:pPr>
      <w:r>
        <w:rPr>
          <w:rStyle w:val="Heading2Char"/>
          <w:b w:val="0"/>
          <w:noProof/>
          <w:sz w:val="28"/>
          <w:szCs w:val="28"/>
          <w:lang w:eastAsia="en-AU"/>
        </w:rPr>
        <w:br w:type="page"/>
      </w:r>
    </w:p>
    <w:p w14:paraId="5C7D12B9" w14:textId="0CB904F0" w:rsidR="00242F03" w:rsidRPr="00280672" w:rsidRDefault="008F36AE" w:rsidP="00E70426">
      <w:pPr>
        <w:spacing w:before="0" w:after="0"/>
        <w:rPr>
          <w:sz w:val="28"/>
          <w:szCs w:val="28"/>
        </w:rPr>
      </w:pPr>
      <w:r>
        <w:rPr>
          <w:rStyle w:val="Heading2Char"/>
          <w:b w:val="0"/>
          <w:noProof/>
          <w:sz w:val="28"/>
          <w:szCs w:val="28"/>
          <w:lang w:eastAsia="en-AU"/>
        </w:rPr>
        <w:lastRenderedPageBreak/>
        <w:fldChar w:fldCharType="begin">
          <w:ffData>
            <w:name w:val=""/>
            <w:enabled/>
            <w:calcOnExit w:val="0"/>
            <w:textInput>
              <w:default w:val="2. INSURANCE SCHEME MANAGEMENT"/>
              <w:format w:val="UPPERCASE"/>
            </w:textInput>
          </w:ffData>
        </w:fldChar>
      </w:r>
      <w:r>
        <w:rPr>
          <w:rStyle w:val="Heading2Char"/>
          <w:noProof/>
          <w:sz w:val="28"/>
          <w:szCs w:val="28"/>
          <w:lang w:eastAsia="en-AU"/>
        </w:rPr>
        <w:instrText xml:space="preserve"> FORMTEXT </w:instrText>
      </w:r>
      <w:r>
        <w:rPr>
          <w:rStyle w:val="Heading2Char"/>
          <w:b w:val="0"/>
          <w:noProof/>
          <w:sz w:val="28"/>
          <w:szCs w:val="28"/>
          <w:lang w:eastAsia="en-AU"/>
        </w:rPr>
      </w:r>
      <w:r>
        <w:rPr>
          <w:rStyle w:val="Heading2Char"/>
          <w:b w:val="0"/>
          <w:noProof/>
          <w:sz w:val="28"/>
          <w:szCs w:val="28"/>
          <w:lang w:eastAsia="en-AU"/>
        </w:rPr>
        <w:fldChar w:fldCharType="separate"/>
      </w:r>
      <w:bookmarkStart w:id="22" w:name="_Toc139025778"/>
      <w:r>
        <w:rPr>
          <w:rStyle w:val="Heading2Char"/>
          <w:noProof/>
          <w:sz w:val="28"/>
          <w:szCs w:val="28"/>
          <w:lang w:eastAsia="en-AU"/>
        </w:rPr>
        <w:t>2. INSURANCE SCHEME MANAGEMENT</w:t>
      </w:r>
      <w:bookmarkEnd w:id="22"/>
      <w:r>
        <w:rPr>
          <w:rStyle w:val="Heading2Char"/>
          <w:b w:val="0"/>
          <w:noProof/>
          <w:sz w:val="28"/>
          <w:szCs w:val="28"/>
          <w:lang w:eastAsia="en-AU"/>
        </w:rPr>
        <w:fldChar w:fldCharType="end"/>
      </w:r>
    </w:p>
    <w:p w14:paraId="2C8F8D65" w14:textId="71FEE50D" w:rsidR="00242F03" w:rsidRPr="00FF27D6" w:rsidRDefault="00223ED4" w:rsidP="00492E7B">
      <w:pPr>
        <w:pStyle w:val="ScopeNote"/>
        <w:rPr>
          <w:i w:val="0"/>
        </w:rPr>
      </w:pPr>
      <w:r>
        <w:fldChar w:fldCharType="begin">
          <w:ffData>
            <w:name w:val="Text7"/>
            <w:enabled/>
            <w:calcOnExit w:val="0"/>
            <w:textInput>
              <w:default w:val="The function of managing the Queensland Building and Construction Commission Home Warranty Insurance Scheme and investigating defective work claims."/>
            </w:textInput>
          </w:ffData>
        </w:fldChar>
      </w:r>
      <w:bookmarkStart w:id="23" w:name="Text7"/>
      <w:r>
        <w:instrText xml:space="preserve"> FORMTEXT </w:instrText>
      </w:r>
      <w:r>
        <w:fldChar w:fldCharType="separate"/>
      </w:r>
      <w:r>
        <w:rPr>
          <w:noProof/>
        </w:rPr>
        <w:t>The function of managing the Queensland Building and Construction Commission Home Warranty Insurance Scheme and investigating defective work claims.</w:t>
      </w:r>
      <w:r>
        <w:fldChar w:fldCharType="end"/>
      </w:r>
      <w:bookmarkEnd w:id="23"/>
      <w:r w:rsidR="00FF27D6">
        <w:t xml:space="preserve"> </w:t>
      </w:r>
    </w:p>
    <w:tbl>
      <w:tblPr>
        <w:tblpPr w:leftFromText="180" w:rightFromText="180" w:vertAnchor="text" w:tblpXSpec="inside" w:tblpY="1"/>
        <w:tblOverlap w:val="neve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28" w:type="dxa"/>
          <w:right w:w="113" w:type="dxa"/>
        </w:tblCellMar>
        <w:tblLook w:val="01E0" w:firstRow="1" w:lastRow="1" w:firstColumn="1" w:lastColumn="1" w:noHBand="0" w:noVBand="0"/>
      </w:tblPr>
      <w:tblGrid>
        <w:gridCol w:w="1526"/>
        <w:gridCol w:w="9218"/>
        <w:gridCol w:w="2647"/>
        <w:gridCol w:w="1750"/>
      </w:tblGrid>
      <w:tr w:rsidR="00261EDB" w:rsidRPr="004977CE" w14:paraId="54CBBD3D" w14:textId="77777777" w:rsidTr="00454727">
        <w:trPr>
          <w:tblHeader/>
        </w:trPr>
        <w:tc>
          <w:tcPr>
            <w:tcW w:w="504" w:type="pct"/>
            <w:shd w:val="clear" w:color="auto" w:fill="FFFFFF"/>
          </w:tcPr>
          <w:p w14:paraId="1A3017C9" w14:textId="77777777" w:rsidR="00261EDB" w:rsidRPr="004D14B4" w:rsidRDefault="00261EDB" w:rsidP="00E02632">
            <w:pPr>
              <w:pStyle w:val="Tableheadings"/>
            </w:pPr>
            <w:r>
              <w:t>Disposal Authorisation</w:t>
            </w:r>
          </w:p>
        </w:tc>
        <w:tc>
          <w:tcPr>
            <w:tcW w:w="3044" w:type="pct"/>
            <w:shd w:val="clear" w:color="auto" w:fill="FFFFFF"/>
          </w:tcPr>
          <w:p w14:paraId="420D476C" w14:textId="77777777" w:rsidR="00261EDB" w:rsidRPr="004D14B4" w:rsidRDefault="00261EDB" w:rsidP="00E02632">
            <w:pPr>
              <w:pStyle w:val="Tableheadings"/>
            </w:pPr>
            <w:r w:rsidRPr="004D14B4">
              <w:t>Description of records</w:t>
            </w:r>
          </w:p>
        </w:tc>
        <w:tc>
          <w:tcPr>
            <w:tcW w:w="874" w:type="pct"/>
            <w:shd w:val="clear" w:color="auto" w:fill="FFFFFF"/>
          </w:tcPr>
          <w:p w14:paraId="1279C611" w14:textId="77777777" w:rsidR="00261EDB" w:rsidRPr="004D14B4" w:rsidRDefault="00261EDB" w:rsidP="00E02632">
            <w:pPr>
              <w:pStyle w:val="Tabletext"/>
              <w:spacing w:before="60" w:after="60"/>
              <w:jc w:val="center"/>
              <w:rPr>
                <w:b/>
              </w:rPr>
            </w:pPr>
            <w:r>
              <w:rPr>
                <w:b/>
              </w:rPr>
              <w:t>Retention period &amp; trigger</w:t>
            </w:r>
          </w:p>
        </w:tc>
        <w:tc>
          <w:tcPr>
            <w:tcW w:w="578" w:type="pct"/>
            <w:shd w:val="clear" w:color="auto" w:fill="FFFFFF"/>
          </w:tcPr>
          <w:p w14:paraId="64B026C2" w14:textId="77777777" w:rsidR="00261EDB" w:rsidRDefault="00261EDB" w:rsidP="00E02632">
            <w:pPr>
              <w:pStyle w:val="Tabletext"/>
              <w:spacing w:before="60" w:after="60"/>
              <w:jc w:val="center"/>
              <w:rPr>
                <w:b/>
              </w:rPr>
            </w:pPr>
            <w:r>
              <w:rPr>
                <w:b/>
              </w:rPr>
              <w:t>Date authorised</w:t>
            </w:r>
          </w:p>
        </w:tc>
      </w:tr>
      <w:tr w:rsidR="00261EDB" w:rsidRPr="004D14B4" w14:paraId="051A5F18" w14:textId="77777777" w:rsidTr="00454727">
        <w:tblPrEx>
          <w:tblCellMar>
            <w:top w:w="57" w:type="dxa"/>
            <w:left w:w="119" w:type="dxa"/>
            <w:right w:w="119" w:type="dxa"/>
          </w:tblCellMar>
        </w:tblPrEx>
        <w:tc>
          <w:tcPr>
            <w:tcW w:w="5000" w:type="pct"/>
            <w:gridSpan w:val="4"/>
            <w:shd w:val="clear" w:color="auto" w:fill="auto"/>
          </w:tcPr>
          <w:p w14:paraId="6277AB41" w14:textId="3485FA60" w:rsidR="009D721E" w:rsidRPr="009D721E" w:rsidRDefault="00280672" w:rsidP="008F3DDA">
            <w:pPr>
              <w:pStyle w:val="Heading2"/>
            </w:pPr>
            <w:r>
              <w:fldChar w:fldCharType="begin">
                <w:ffData>
                  <w:name w:val=""/>
                  <w:enabled/>
                  <w:calcOnExit w:val="0"/>
                  <w:textInput>
                    <w:default w:val="STATUTORY INSURANCE SCHEME"/>
                    <w:format w:val="UPPERCASE"/>
                  </w:textInput>
                </w:ffData>
              </w:fldChar>
            </w:r>
            <w:r>
              <w:instrText xml:space="preserve"> FORMTEXT </w:instrText>
            </w:r>
            <w:r>
              <w:fldChar w:fldCharType="separate"/>
            </w:r>
            <w:r>
              <w:t>STATUTORY INSURANCE SCHEME</w:t>
            </w:r>
            <w:r>
              <w:fldChar w:fldCharType="end"/>
            </w:r>
          </w:p>
          <w:p w14:paraId="3680C535" w14:textId="5845492E" w:rsidR="00261EDB" w:rsidRPr="009F4197" w:rsidRDefault="007C7BD0" w:rsidP="008F3DDA">
            <w:pPr>
              <w:pStyle w:val="Heading2"/>
              <w:rPr>
                <w:b w:val="0"/>
                <w:bCs/>
                <w:i/>
                <w:iCs/>
              </w:rPr>
            </w:pPr>
            <w:r w:rsidRPr="009F4197">
              <w:rPr>
                <w:b w:val="0"/>
                <w:bCs/>
                <w:i/>
                <w:iCs/>
              </w:rPr>
              <w:fldChar w:fldCharType="begin">
                <w:ffData>
                  <w:name w:val="Text9"/>
                  <w:enabled/>
                  <w:calcOnExit w:val="0"/>
                  <w:textInput>
                    <w:default w:val="The activities associated with mananging claims and notifying and advising customers about the Queensland Home Warranty Scheme."/>
                  </w:textInput>
                </w:ffData>
              </w:fldChar>
            </w:r>
            <w:bookmarkStart w:id="24" w:name="Text9"/>
            <w:r w:rsidRPr="009F4197">
              <w:rPr>
                <w:b w:val="0"/>
                <w:bCs/>
                <w:i/>
                <w:iCs/>
              </w:rPr>
              <w:instrText xml:space="preserve"> FORMTEXT </w:instrText>
            </w:r>
            <w:r w:rsidRPr="009F4197">
              <w:rPr>
                <w:b w:val="0"/>
                <w:bCs/>
                <w:i/>
                <w:iCs/>
              </w:rPr>
            </w:r>
            <w:r w:rsidRPr="009F4197">
              <w:rPr>
                <w:b w:val="0"/>
                <w:bCs/>
                <w:i/>
                <w:iCs/>
              </w:rPr>
              <w:fldChar w:fldCharType="separate"/>
            </w:r>
            <w:r w:rsidRPr="009F4197">
              <w:rPr>
                <w:b w:val="0"/>
                <w:bCs/>
                <w:i/>
                <w:iCs/>
              </w:rPr>
              <w:t>The activities associated with mananging claims and notifying and advising customers about the Queensland Home Warranty Scheme.</w:t>
            </w:r>
            <w:r w:rsidRPr="009F4197">
              <w:rPr>
                <w:b w:val="0"/>
                <w:bCs/>
                <w:i/>
                <w:iCs/>
              </w:rPr>
              <w:fldChar w:fldCharType="end"/>
            </w:r>
            <w:bookmarkEnd w:id="24"/>
          </w:p>
        </w:tc>
      </w:tr>
      <w:tr w:rsidR="00261EDB" w:rsidRPr="004D14B4" w14:paraId="06F653E7" w14:textId="77777777" w:rsidTr="00454727">
        <w:tblPrEx>
          <w:tblCellMar>
            <w:top w:w="57" w:type="dxa"/>
            <w:left w:w="119" w:type="dxa"/>
            <w:right w:w="119" w:type="dxa"/>
          </w:tblCellMar>
        </w:tblPrEx>
        <w:tc>
          <w:tcPr>
            <w:tcW w:w="504" w:type="pct"/>
            <w:shd w:val="clear" w:color="auto" w:fill="auto"/>
          </w:tcPr>
          <w:p w14:paraId="425AFC5C" w14:textId="5372E0BD" w:rsidR="00261EDB" w:rsidRPr="004D14B4" w:rsidRDefault="000214D8" w:rsidP="00E02632">
            <w:r>
              <w:t>2782</w:t>
            </w:r>
          </w:p>
        </w:tc>
        <w:tc>
          <w:tcPr>
            <w:tcW w:w="3044" w:type="pct"/>
            <w:shd w:val="clear" w:color="auto" w:fill="auto"/>
          </w:tcPr>
          <w:p w14:paraId="0A1B481F" w14:textId="3323AC74" w:rsidR="00280672" w:rsidRPr="00D725BB" w:rsidRDefault="00280672" w:rsidP="00B03116">
            <w:pPr>
              <w:ind w:left="34" w:hanging="34"/>
              <w:rPr>
                <w:rFonts w:cs="Arial"/>
                <w:b/>
                <w:iCs/>
                <w:szCs w:val="22"/>
              </w:rPr>
            </w:pPr>
            <w:r w:rsidRPr="00D725BB">
              <w:rPr>
                <w:rFonts w:cs="Arial"/>
                <w:b/>
                <w:iCs/>
                <w:szCs w:val="22"/>
              </w:rPr>
              <w:t xml:space="preserve">Insurance Scheme </w:t>
            </w:r>
            <w:r w:rsidR="000D2661" w:rsidRPr="00D725BB">
              <w:rPr>
                <w:rFonts w:cs="Arial"/>
                <w:b/>
                <w:iCs/>
                <w:szCs w:val="22"/>
              </w:rPr>
              <w:t>M</w:t>
            </w:r>
            <w:r w:rsidRPr="00D725BB">
              <w:rPr>
                <w:rFonts w:cs="Arial"/>
                <w:b/>
                <w:iCs/>
                <w:szCs w:val="22"/>
              </w:rPr>
              <w:t xml:space="preserve">anagement </w:t>
            </w:r>
            <w:r w:rsidR="000D2661" w:rsidRPr="00D725BB">
              <w:rPr>
                <w:rFonts w:cs="Arial"/>
                <w:b/>
                <w:iCs/>
                <w:szCs w:val="22"/>
              </w:rPr>
              <w:t>Cl</w:t>
            </w:r>
            <w:r w:rsidR="000B6C0D" w:rsidRPr="00D725BB">
              <w:rPr>
                <w:rFonts w:cs="Arial"/>
                <w:b/>
                <w:iCs/>
                <w:szCs w:val="22"/>
              </w:rPr>
              <w:t>aims</w:t>
            </w:r>
          </w:p>
          <w:p w14:paraId="53AA73C6" w14:textId="259F146E" w:rsidR="00280672" w:rsidRPr="001321A9" w:rsidRDefault="00280672" w:rsidP="00B03116">
            <w:pPr>
              <w:spacing w:line="276" w:lineRule="auto"/>
              <w:rPr>
                <w:rFonts w:cs="Arial"/>
                <w:szCs w:val="22"/>
              </w:rPr>
            </w:pPr>
            <w:r w:rsidRPr="001321A9">
              <w:rPr>
                <w:rFonts w:cs="Arial"/>
                <w:szCs w:val="22"/>
              </w:rPr>
              <w:t xml:space="preserve">Records relating to the </w:t>
            </w:r>
            <w:r w:rsidR="003377CF">
              <w:rPr>
                <w:rFonts w:cs="Arial"/>
                <w:szCs w:val="22"/>
              </w:rPr>
              <w:t xml:space="preserve">assessment of claims made against </w:t>
            </w:r>
            <w:r w:rsidRPr="001321A9">
              <w:rPr>
                <w:rFonts w:cs="Arial"/>
                <w:szCs w:val="22"/>
              </w:rPr>
              <w:t>the Queensland Home Warranty I</w:t>
            </w:r>
            <w:r w:rsidR="003377CF">
              <w:rPr>
                <w:rFonts w:cs="Arial"/>
                <w:szCs w:val="22"/>
              </w:rPr>
              <w:t>nsurance Scheme</w:t>
            </w:r>
            <w:r w:rsidRPr="001321A9">
              <w:rPr>
                <w:rFonts w:cs="Arial"/>
                <w:szCs w:val="22"/>
              </w:rPr>
              <w:t>.</w:t>
            </w:r>
          </w:p>
          <w:p w14:paraId="4D285AB4" w14:textId="0E1F0497" w:rsidR="00280672" w:rsidRPr="001321A9" w:rsidRDefault="00280672" w:rsidP="00B03116">
            <w:pPr>
              <w:spacing w:line="276" w:lineRule="auto"/>
              <w:rPr>
                <w:rFonts w:cs="Arial"/>
                <w:szCs w:val="22"/>
              </w:rPr>
            </w:pPr>
            <w:r w:rsidRPr="001321A9">
              <w:rPr>
                <w:rFonts w:cs="Arial"/>
                <w:szCs w:val="22"/>
              </w:rPr>
              <w:t xml:space="preserve"> </w:t>
            </w:r>
            <w:r w:rsidR="004E018E">
              <w:rPr>
                <w:rFonts w:cs="Arial"/>
                <w:szCs w:val="22"/>
              </w:rPr>
              <w:t>Records may include</w:t>
            </w:r>
            <w:r w:rsidRPr="001321A9">
              <w:rPr>
                <w:rFonts w:cs="Arial"/>
                <w:szCs w:val="22"/>
              </w:rPr>
              <w:t>, but are not limited to:</w:t>
            </w:r>
          </w:p>
          <w:p w14:paraId="202C9B30" w14:textId="2460D35A" w:rsidR="00280672" w:rsidRDefault="00FF27D6" w:rsidP="008D19B9">
            <w:pPr>
              <w:widowControl w:val="0"/>
              <w:numPr>
                <w:ilvl w:val="0"/>
                <w:numId w:val="7"/>
              </w:numPr>
              <w:overflowPunct w:val="0"/>
              <w:autoSpaceDE w:val="0"/>
              <w:autoSpaceDN w:val="0"/>
              <w:adjustRightInd w:val="0"/>
              <w:jc w:val="both"/>
              <w:textAlignment w:val="baseline"/>
              <w:rPr>
                <w:rFonts w:cs="Arial"/>
                <w:szCs w:val="22"/>
              </w:rPr>
            </w:pPr>
            <w:r>
              <w:rPr>
                <w:rFonts w:cs="Arial"/>
                <w:szCs w:val="22"/>
              </w:rPr>
              <w:t xml:space="preserve">Claims and </w:t>
            </w:r>
            <w:r w:rsidR="000D2661">
              <w:rPr>
                <w:rFonts w:cs="Arial"/>
                <w:szCs w:val="22"/>
              </w:rPr>
              <w:t>C</w:t>
            </w:r>
            <w:r w:rsidR="00280672" w:rsidRPr="001321A9">
              <w:rPr>
                <w:rFonts w:cs="Arial"/>
                <w:szCs w:val="22"/>
              </w:rPr>
              <w:t xml:space="preserve">ontract </w:t>
            </w:r>
            <w:r w:rsidR="000D2661">
              <w:rPr>
                <w:rFonts w:cs="Arial"/>
                <w:szCs w:val="22"/>
              </w:rPr>
              <w:t>Notifications</w:t>
            </w:r>
          </w:p>
          <w:p w14:paraId="3198E0EA" w14:textId="1B11794D" w:rsidR="00747460" w:rsidRPr="001321A9" w:rsidRDefault="00747460" w:rsidP="008D19B9">
            <w:pPr>
              <w:widowControl w:val="0"/>
              <w:numPr>
                <w:ilvl w:val="0"/>
                <w:numId w:val="7"/>
              </w:numPr>
              <w:overflowPunct w:val="0"/>
              <w:autoSpaceDE w:val="0"/>
              <w:autoSpaceDN w:val="0"/>
              <w:adjustRightInd w:val="0"/>
              <w:jc w:val="both"/>
              <w:textAlignment w:val="baseline"/>
              <w:rPr>
                <w:rFonts w:cs="Arial"/>
                <w:szCs w:val="22"/>
              </w:rPr>
            </w:pPr>
            <w:r>
              <w:rPr>
                <w:rFonts w:cs="Arial"/>
                <w:szCs w:val="22"/>
              </w:rPr>
              <w:t>Claims Recovery</w:t>
            </w:r>
          </w:p>
          <w:p w14:paraId="6A4A3436" w14:textId="74B60A4C" w:rsidR="00280672" w:rsidRPr="001321A9" w:rsidRDefault="000D2661" w:rsidP="008D19B9">
            <w:pPr>
              <w:widowControl w:val="0"/>
              <w:numPr>
                <w:ilvl w:val="0"/>
                <w:numId w:val="7"/>
              </w:numPr>
              <w:overflowPunct w:val="0"/>
              <w:autoSpaceDE w:val="0"/>
              <w:autoSpaceDN w:val="0"/>
              <w:adjustRightInd w:val="0"/>
              <w:jc w:val="both"/>
              <w:textAlignment w:val="baseline"/>
              <w:rPr>
                <w:rFonts w:cs="Arial"/>
                <w:szCs w:val="22"/>
              </w:rPr>
            </w:pPr>
            <w:r>
              <w:rPr>
                <w:rFonts w:cs="Arial"/>
                <w:szCs w:val="22"/>
              </w:rPr>
              <w:t>I</w:t>
            </w:r>
            <w:r w:rsidR="00280672" w:rsidRPr="001321A9">
              <w:rPr>
                <w:rFonts w:cs="Arial"/>
                <w:szCs w:val="22"/>
              </w:rPr>
              <w:t xml:space="preserve">nsurance </w:t>
            </w:r>
            <w:r>
              <w:rPr>
                <w:rFonts w:cs="Arial"/>
                <w:szCs w:val="22"/>
              </w:rPr>
              <w:t>S</w:t>
            </w:r>
            <w:r w:rsidR="00280672" w:rsidRPr="001321A9">
              <w:rPr>
                <w:rFonts w:cs="Arial"/>
                <w:szCs w:val="22"/>
              </w:rPr>
              <w:t xml:space="preserve">earch </w:t>
            </w:r>
            <w:r w:rsidR="001726F6">
              <w:rPr>
                <w:rFonts w:cs="Arial"/>
                <w:szCs w:val="22"/>
              </w:rPr>
              <w:t xml:space="preserve">Requests and </w:t>
            </w:r>
            <w:r>
              <w:rPr>
                <w:rFonts w:cs="Arial"/>
                <w:szCs w:val="22"/>
              </w:rPr>
              <w:t>P</w:t>
            </w:r>
            <w:r w:rsidR="00280672" w:rsidRPr="001321A9">
              <w:rPr>
                <w:rFonts w:cs="Arial"/>
                <w:szCs w:val="22"/>
              </w:rPr>
              <w:t>ayments</w:t>
            </w:r>
          </w:p>
          <w:p w14:paraId="3BC1E92A" w14:textId="75169C35" w:rsidR="00280672" w:rsidRPr="001321A9" w:rsidRDefault="000D2661" w:rsidP="008D19B9">
            <w:pPr>
              <w:widowControl w:val="0"/>
              <w:numPr>
                <w:ilvl w:val="0"/>
                <w:numId w:val="7"/>
              </w:numPr>
              <w:overflowPunct w:val="0"/>
              <w:autoSpaceDE w:val="0"/>
              <w:autoSpaceDN w:val="0"/>
              <w:adjustRightInd w:val="0"/>
              <w:jc w:val="both"/>
              <w:textAlignment w:val="baseline"/>
              <w:rPr>
                <w:rFonts w:cs="Arial"/>
                <w:szCs w:val="22"/>
              </w:rPr>
            </w:pPr>
            <w:r>
              <w:rPr>
                <w:rFonts w:cs="Arial"/>
                <w:szCs w:val="22"/>
              </w:rPr>
              <w:t>L</w:t>
            </w:r>
            <w:r w:rsidR="00280672" w:rsidRPr="001321A9">
              <w:rPr>
                <w:rFonts w:cs="Arial"/>
                <w:szCs w:val="22"/>
              </w:rPr>
              <w:t xml:space="preserve">ocal Council </w:t>
            </w:r>
            <w:r>
              <w:rPr>
                <w:rFonts w:cs="Arial"/>
                <w:szCs w:val="22"/>
              </w:rPr>
              <w:t>B</w:t>
            </w:r>
            <w:r w:rsidR="00280672" w:rsidRPr="001321A9">
              <w:rPr>
                <w:rFonts w:cs="Arial"/>
                <w:szCs w:val="22"/>
              </w:rPr>
              <w:t xml:space="preserve">uilding </w:t>
            </w:r>
            <w:r>
              <w:rPr>
                <w:rFonts w:cs="Arial"/>
                <w:szCs w:val="22"/>
              </w:rPr>
              <w:t>A</w:t>
            </w:r>
            <w:r w:rsidR="00280672" w:rsidRPr="001321A9">
              <w:rPr>
                <w:rFonts w:cs="Arial"/>
                <w:szCs w:val="22"/>
              </w:rPr>
              <w:t xml:space="preserve">pplication </w:t>
            </w:r>
            <w:r w:rsidR="00492E7B">
              <w:rPr>
                <w:rFonts w:cs="Arial"/>
                <w:szCs w:val="22"/>
              </w:rPr>
              <w:t>L</w:t>
            </w:r>
            <w:r w:rsidR="00280672" w:rsidRPr="001321A9">
              <w:rPr>
                <w:rFonts w:cs="Arial"/>
                <w:szCs w:val="22"/>
              </w:rPr>
              <w:t>ists</w:t>
            </w:r>
          </w:p>
          <w:p w14:paraId="191AB92A" w14:textId="2A1F6F61" w:rsidR="00280672" w:rsidRPr="001321A9" w:rsidRDefault="00492E7B" w:rsidP="008D19B9">
            <w:pPr>
              <w:widowControl w:val="0"/>
              <w:numPr>
                <w:ilvl w:val="0"/>
                <w:numId w:val="7"/>
              </w:numPr>
              <w:overflowPunct w:val="0"/>
              <w:autoSpaceDE w:val="0"/>
              <w:autoSpaceDN w:val="0"/>
              <w:adjustRightInd w:val="0"/>
              <w:jc w:val="both"/>
              <w:textAlignment w:val="baseline"/>
              <w:rPr>
                <w:rFonts w:cs="Arial"/>
                <w:szCs w:val="22"/>
              </w:rPr>
            </w:pPr>
            <w:r>
              <w:rPr>
                <w:rFonts w:cs="Arial"/>
                <w:szCs w:val="22"/>
              </w:rPr>
              <w:t>I</w:t>
            </w:r>
            <w:r w:rsidR="00280672" w:rsidRPr="001321A9">
              <w:rPr>
                <w:rFonts w:cs="Arial"/>
                <w:szCs w:val="22"/>
              </w:rPr>
              <w:t xml:space="preserve">nsurance </w:t>
            </w:r>
            <w:r>
              <w:rPr>
                <w:rFonts w:cs="Arial"/>
                <w:szCs w:val="22"/>
              </w:rPr>
              <w:t>P</w:t>
            </w:r>
            <w:r w:rsidR="00280672" w:rsidRPr="001321A9">
              <w:rPr>
                <w:rFonts w:cs="Arial"/>
                <w:szCs w:val="22"/>
              </w:rPr>
              <w:t xml:space="preserve">remium </w:t>
            </w:r>
            <w:r>
              <w:rPr>
                <w:rFonts w:cs="Arial"/>
                <w:szCs w:val="22"/>
              </w:rPr>
              <w:t>R</w:t>
            </w:r>
            <w:r w:rsidR="00280672" w:rsidRPr="001321A9">
              <w:rPr>
                <w:rFonts w:cs="Arial"/>
                <w:szCs w:val="22"/>
              </w:rPr>
              <w:t xml:space="preserve">efund </w:t>
            </w:r>
            <w:r>
              <w:rPr>
                <w:rFonts w:cs="Arial"/>
                <w:szCs w:val="22"/>
              </w:rPr>
              <w:t>A</w:t>
            </w:r>
            <w:r w:rsidR="00280672" w:rsidRPr="001321A9">
              <w:rPr>
                <w:rFonts w:cs="Arial"/>
                <w:szCs w:val="22"/>
              </w:rPr>
              <w:t>pplications</w:t>
            </w:r>
          </w:p>
          <w:p w14:paraId="313E4FFC" w14:textId="18BB95CE" w:rsidR="00280672" w:rsidRPr="001321A9" w:rsidRDefault="00492E7B" w:rsidP="008D19B9">
            <w:pPr>
              <w:widowControl w:val="0"/>
              <w:numPr>
                <w:ilvl w:val="0"/>
                <w:numId w:val="7"/>
              </w:numPr>
              <w:overflowPunct w:val="0"/>
              <w:autoSpaceDE w:val="0"/>
              <w:autoSpaceDN w:val="0"/>
              <w:adjustRightInd w:val="0"/>
              <w:jc w:val="both"/>
              <w:textAlignment w:val="baseline"/>
              <w:rPr>
                <w:rFonts w:cs="Arial"/>
                <w:szCs w:val="22"/>
              </w:rPr>
            </w:pPr>
            <w:r>
              <w:rPr>
                <w:rFonts w:cs="Arial"/>
                <w:szCs w:val="22"/>
              </w:rPr>
              <w:t>C</w:t>
            </w:r>
            <w:r w:rsidR="00280672" w:rsidRPr="001321A9">
              <w:rPr>
                <w:rFonts w:cs="Arial"/>
                <w:szCs w:val="22"/>
              </w:rPr>
              <w:t xml:space="preserve">onstruction </w:t>
            </w:r>
            <w:r>
              <w:rPr>
                <w:rFonts w:cs="Arial"/>
                <w:szCs w:val="22"/>
              </w:rPr>
              <w:t>N</w:t>
            </w:r>
            <w:r w:rsidR="00280672" w:rsidRPr="001321A9">
              <w:rPr>
                <w:rFonts w:cs="Arial"/>
                <w:szCs w:val="22"/>
              </w:rPr>
              <w:t xml:space="preserve">otification </w:t>
            </w:r>
            <w:r>
              <w:rPr>
                <w:rFonts w:cs="Arial"/>
                <w:szCs w:val="22"/>
              </w:rPr>
              <w:t>L</w:t>
            </w:r>
            <w:r w:rsidR="00280672" w:rsidRPr="001321A9">
              <w:rPr>
                <w:rFonts w:cs="Arial"/>
                <w:szCs w:val="22"/>
              </w:rPr>
              <w:t>etters</w:t>
            </w:r>
          </w:p>
          <w:p w14:paraId="697DC614" w14:textId="77777777" w:rsidR="00261EDB" w:rsidRPr="00747460" w:rsidRDefault="00492E7B" w:rsidP="008D19B9">
            <w:pPr>
              <w:widowControl w:val="0"/>
              <w:numPr>
                <w:ilvl w:val="0"/>
                <w:numId w:val="7"/>
              </w:numPr>
              <w:overflowPunct w:val="0"/>
              <w:autoSpaceDE w:val="0"/>
              <w:autoSpaceDN w:val="0"/>
              <w:adjustRightInd w:val="0"/>
              <w:jc w:val="both"/>
              <w:textAlignment w:val="baseline"/>
            </w:pPr>
            <w:r>
              <w:rPr>
                <w:rFonts w:cs="Arial"/>
                <w:szCs w:val="22"/>
              </w:rPr>
              <w:t>I</w:t>
            </w:r>
            <w:r w:rsidR="00280672" w:rsidRPr="001321A9">
              <w:rPr>
                <w:rFonts w:cs="Arial"/>
                <w:szCs w:val="22"/>
              </w:rPr>
              <w:t xml:space="preserve">nsurance </w:t>
            </w:r>
            <w:r>
              <w:rPr>
                <w:rFonts w:cs="Arial"/>
                <w:szCs w:val="22"/>
              </w:rPr>
              <w:t>N</w:t>
            </w:r>
            <w:r w:rsidR="00280672" w:rsidRPr="001321A9">
              <w:rPr>
                <w:rFonts w:cs="Arial"/>
                <w:szCs w:val="22"/>
              </w:rPr>
              <w:t xml:space="preserve">otification </w:t>
            </w:r>
            <w:r>
              <w:rPr>
                <w:rFonts w:cs="Arial"/>
                <w:szCs w:val="22"/>
              </w:rPr>
              <w:t>F</w:t>
            </w:r>
            <w:r w:rsidR="00280672" w:rsidRPr="001321A9">
              <w:rPr>
                <w:rFonts w:cs="Arial"/>
                <w:szCs w:val="22"/>
              </w:rPr>
              <w:t>orms</w:t>
            </w:r>
          </w:p>
          <w:p w14:paraId="6BA7641F" w14:textId="77777777" w:rsidR="00747460" w:rsidRPr="00D768CC" w:rsidRDefault="00747460" w:rsidP="008D19B9">
            <w:pPr>
              <w:widowControl w:val="0"/>
              <w:numPr>
                <w:ilvl w:val="0"/>
                <w:numId w:val="7"/>
              </w:numPr>
              <w:overflowPunct w:val="0"/>
              <w:autoSpaceDE w:val="0"/>
              <w:autoSpaceDN w:val="0"/>
              <w:adjustRightInd w:val="0"/>
              <w:jc w:val="both"/>
              <w:textAlignment w:val="baseline"/>
            </w:pPr>
            <w:r>
              <w:rPr>
                <w:rFonts w:cs="Arial"/>
                <w:szCs w:val="22"/>
              </w:rPr>
              <w:t>Insurance Services Notice of Cover</w:t>
            </w:r>
          </w:p>
          <w:p w14:paraId="4C4E8E7F" w14:textId="77777777" w:rsidR="0039705E" w:rsidRPr="00826797" w:rsidRDefault="0039705E" w:rsidP="008D19B9">
            <w:pPr>
              <w:widowControl w:val="0"/>
              <w:numPr>
                <w:ilvl w:val="0"/>
                <w:numId w:val="7"/>
              </w:numPr>
              <w:overflowPunct w:val="0"/>
              <w:autoSpaceDE w:val="0"/>
              <w:autoSpaceDN w:val="0"/>
              <w:adjustRightInd w:val="0"/>
              <w:jc w:val="both"/>
              <w:textAlignment w:val="baseline"/>
            </w:pPr>
            <w:r>
              <w:rPr>
                <w:rFonts w:cs="Arial"/>
                <w:szCs w:val="22"/>
              </w:rPr>
              <w:t>Insurance Notification Forms</w:t>
            </w:r>
          </w:p>
          <w:p w14:paraId="710B53D6" w14:textId="411B1625" w:rsidR="00826797" w:rsidRPr="00826797" w:rsidRDefault="00826797" w:rsidP="008D19B9">
            <w:pPr>
              <w:numPr>
                <w:ilvl w:val="0"/>
                <w:numId w:val="7"/>
              </w:numPr>
              <w:jc w:val="both"/>
              <w:rPr>
                <w:rFonts w:cs="Arial"/>
                <w:szCs w:val="22"/>
                <w:lang w:eastAsia="en-AU"/>
              </w:rPr>
            </w:pPr>
            <w:r w:rsidRPr="0002009F">
              <w:rPr>
                <w:rFonts w:cs="Arial"/>
                <w:szCs w:val="22"/>
                <w:lang w:eastAsia="en-AU"/>
              </w:rPr>
              <w:t>Exemption</w:t>
            </w:r>
            <w:r w:rsidR="00DC6701">
              <w:rPr>
                <w:rFonts w:cs="Arial"/>
                <w:szCs w:val="22"/>
                <w:lang w:eastAsia="en-AU"/>
              </w:rPr>
              <w:t xml:space="preserve"> Notifications</w:t>
            </w:r>
          </w:p>
        </w:tc>
        <w:tc>
          <w:tcPr>
            <w:tcW w:w="874" w:type="pct"/>
            <w:shd w:val="clear" w:color="auto" w:fill="auto"/>
          </w:tcPr>
          <w:p w14:paraId="559AC1FF" w14:textId="718B181C" w:rsidR="00261EDB" w:rsidRPr="00B47735" w:rsidRDefault="00280672" w:rsidP="00E02632">
            <w:r w:rsidRPr="001321A9">
              <w:rPr>
                <w:rFonts w:cs="Arial"/>
                <w:szCs w:val="22"/>
              </w:rPr>
              <w:t>1</w:t>
            </w:r>
            <w:r w:rsidR="00747460">
              <w:rPr>
                <w:rFonts w:cs="Arial"/>
                <w:szCs w:val="22"/>
              </w:rPr>
              <w:t xml:space="preserve">0 </w:t>
            </w:r>
            <w:r w:rsidRPr="001321A9">
              <w:rPr>
                <w:rFonts w:cs="Arial"/>
                <w:szCs w:val="22"/>
              </w:rPr>
              <w:t xml:space="preserve">years after </w:t>
            </w:r>
            <w:r w:rsidR="00ED5D95">
              <w:rPr>
                <w:rFonts w:cs="Arial"/>
                <w:szCs w:val="22"/>
              </w:rPr>
              <w:t>business action completed</w:t>
            </w:r>
            <w:r w:rsidR="008B588A">
              <w:rPr>
                <w:rFonts w:cs="Arial"/>
                <w:szCs w:val="22"/>
              </w:rPr>
              <w:t>.</w:t>
            </w:r>
          </w:p>
        </w:tc>
        <w:tc>
          <w:tcPr>
            <w:tcW w:w="578" w:type="pct"/>
          </w:tcPr>
          <w:p w14:paraId="2D112CF4" w14:textId="1267AC5D" w:rsidR="00261EDB" w:rsidRDefault="00912862" w:rsidP="00E02632">
            <w:r>
              <w:t>15 December 2023</w:t>
            </w:r>
          </w:p>
        </w:tc>
      </w:tr>
      <w:tr w:rsidR="0030503C" w:rsidRPr="004D14B4" w14:paraId="6E648FD3" w14:textId="77777777" w:rsidTr="00454727">
        <w:tblPrEx>
          <w:tblCellMar>
            <w:top w:w="57" w:type="dxa"/>
            <w:left w:w="119" w:type="dxa"/>
            <w:right w:w="119" w:type="dxa"/>
          </w:tblCellMar>
        </w:tblPrEx>
        <w:tc>
          <w:tcPr>
            <w:tcW w:w="504" w:type="pct"/>
            <w:shd w:val="clear" w:color="auto" w:fill="auto"/>
          </w:tcPr>
          <w:p w14:paraId="3479277D" w14:textId="565B594C" w:rsidR="0030503C" w:rsidRDefault="00D37FF1" w:rsidP="00E02632">
            <w:r>
              <w:t>2783</w:t>
            </w:r>
          </w:p>
        </w:tc>
        <w:tc>
          <w:tcPr>
            <w:tcW w:w="3044" w:type="pct"/>
            <w:shd w:val="clear" w:color="auto" w:fill="auto"/>
          </w:tcPr>
          <w:p w14:paraId="4CB66B5E" w14:textId="17F1F875" w:rsidR="0030503C" w:rsidRDefault="0030503C" w:rsidP="006F7CF0">
            <w:pPr>
              <w:ind w:left="34" w:hanging="34"/>
              <w:rPr>
                <w:rFonts w:cs="Arial"/>
                <w:b/>
                <w:szCs w:val="22"/>
              </w:rPr>
            </w:pPr>
            <w:r>
              <w:rPr>
                <w:rFonts w:cs="Arial"/>
                <w:b/>
                <w:szCs w:val="22"/>
              </w:rPr>
              <w:t>Actuarial Management</w:t>
            </w:r>
            <w:r w:rsidR="006F7CF0">
              <w:rPr>
                <w:rFonts w:cs="Arial"/>
                <w:b/>
                <w:szCs w:val="22"/>
              </w:rPr>
              <w:t xml:space="preserve"> and Administration of the Insurance Scheme</w:t>
            </w:r>
          </w:p>
          <w:p w14:paraId="69D0E0A0" w14:textId="77777777" w:rsidR="008D19B9" w:rsidRDefault="006731D4" w:rsidP="008D19B9">
            <w:r>
              <w:t xml:space="preserve">Records </w:t>
            </w:r>
            <w:r w:rsidR="008D19B9">
              <w:t xml:space="preserve">relating to </w:t>
            </w:r>
            <w:r>
              <w:t xml:space="preserve">the operations of </w:t>
            </w:r>
            <w:r w:rsidR="008D19B9">
              <w:t xml:space="preserve">managing the Home Warranty Insurance Scheme. Records may include, but are not limited to: </w:t>
            </w:r>
          </w:p>
          <w:p w14:paraId="7030221E" w14:textId="276BB379" w:rsidR="00D6068B" w:rsidRDefault="00D6068B" w:rsidP="008D19B9">
            <w:pPr>
              <w:pStyle w:val="ListParagraph"/>
              <w:numPr>
                <w:ilvl w:val="0"/>
                <w:numId w:val="23"/>
              </w:numPr>
            </w:pPr>
            <w:r>
              <w:t xml:space="preserve">Forecasting and </w:t>
            </w:r>
            <w:r w:rsidR="006731D4">
              <w:t xml:space="preserve">calculation of </w:t>
            </w:r>
            <w:r>
              <w:t xml:space="preserve">insurance </w:t>
            </w:r>
            <w:r w:rsidR="006731D4">
              <w:t>premiums</w:t>
            </w:r>
            <w:r>
              <w:t xml:space="preserve"> and costings</w:t>
            </w:r>
          </w:p>
          <w:p w14:paraId="13CFC75E" w14:textId="6F69D201" w:rsidR="00D6068B" w:rsidRDefault="00D979EE" w:rsidP="008D19B9">
            <w:pPr>
              <w:pStyle w:val="ListParagraph"/>
              <w:numPr>
                <w:ilvl w:val="0"/>
                <w:numId w:val="14"/>
              </w:numPr>
              <w:spacing w:line="276" w:lineRule="auto"/>
            </w:pPr>
            <w:r>
              <w:t xml:space="preserve">Assessment of </w:t>
            </w:r>
            <w:r w:rsidR="00D6068B">
              <w:t xml:space="preserve">potential </w:t>
            </w:r>
            <w:r w:rsidR="001D4D5F">
              <w:t xml:space="preserve">brokers and/or </w:t>
            </w:r>
            <w:r w:rsidR="00D6068B">
              <w:t xml:space="preserve">underwriters to provide insurance coverage for the Home Warranty Scheme </w:t>
            </w:r>
            <w:r w:rsidR="001D4D5F">
              <w:t xml:space="preserve">together with </w:t>
            </w:r>
            <w:r w:rsidR="006731D4">
              <w:t xml:space="preserve">the specifics of </w:t>
            </w:r>
            <w:r>
              <w:t xml:space="preserve">coverage during </w:t>
            </w:r>
            <w:r w:rsidR="00574554">
              <w:t xml:space="preserve">the </w:t>
            </w:r>
            <w:r w:rsidR="006731D4">
              <w:t>period of currency</w:t>
            </w:r>
            <w:r w:rsidR="00E57A02">
              <w:t>.</w:t>
            </w:r>
          </w:p>
          <w:p w14:paraId="62EE6A81" w14:textId="49AA5C7C" w:rsidR="006731D4" w:rsidRPr="00D4531B" w:rsidRDefault="00D979EE" w:rsidP="008D19B9">
            <w:pPr>
              <w:pStyle w:val="ListParagraph"/>
              <w:numPr>
                <w:ilvl w:val="0"/>
                <w:numId w:val="14"/>
              </w:numPr>
              <w:spacing w:line="276" w:lineRule="auto"/>
            </w:pPr>
            <w:r w:rsidRPr="00D4531B">
              <w:lastRenderedPageBreak/>
              <w:t>I</w:t>
            </w:r>
            <w:r w:rsidR="006731D4" w:rsidRPr="00D4531B">
              <w:t>dentifying and reporting on insurance coverage</w:t>
            </w:r>
            <w:r w:rsidRPr="00D4531B">
              <w:t xml:space="preserve"> via </w:t>
            </w:r>
            <w:r w:rsidR="006731D4" w:rsidRPr="00D4531B">
              <w:t xml:space="preserve">the collection and collation of data for use in actuarial and limiting modelling, </w:t>
            </w:r>
            <w:r w:rsidRPr="00D4531B">
              <w:t>p</w:t>
            </w:r>
            <w:r w:rsidR="006731D4" w:rsidRPr="00D4531B">
              <w:t xml:space="preserve">arameters </w:t>
            </w:r>
            <w:r w:rsidRPr="00D4531B">
              <w:t xml:space="preserve">and scenarios </w:t>
            </w:r>
            <w:r w:rsidR="006731D4" w:rsidRPr="00D4531B">
              <w:t>to be used in the models and interim reports produced for discussion and review</w:t>
            </w:r>
            <w:r w:rsidR="00E57A02" w:rsidRPr="00D4531B">
              <w:t>.</w:t>
            </w:r>
          </w:p>
          <w:p w14:paraId="3B57486B" w14:textId="37998A65" w:rsidR="00D979EE" w:rsidRPr="00D4531B" w:rsidRDefault="00D979EE" w:rsidP="008D19B9">
            <w:pPr>
              <w:pStyle w:val="ListParagraph"/>
              <w:numPr>
                <w:ilvl w:val="0"/>
                <w:numId w:val="14"/>
              </w:numPr>
              <w:spacing w:line="276" w:lineRule="auto"/>
            </w:pPr>
            <w:r w:rsidRPr="00D4531B">
              <w:t>Selection of preferred trade</w:t>
            </w:r>
            <w:r w:rsidR="00574554" w:rsidRPr="00D4531B">
              <w:t xml:space="preserve"> </w:t>
            </w:r>
            <w:r w:rsidRPr="00D4531B">
              <w:t>contractors to perform remedial works as directed by the Commission.</w:t>
            </w:r>
            <w:r w:rsidR="008F2454">
              <w:t xml:space="preserve"> </w:t>
            </w:r>
            <w:r w:rsidRPr="00D4531B">
              <w:t xml:space="preserve">Includes actions </w:t>
            </w:r>
            <w:r w:rsidR="00ED5E32" w:rsidRPr="00D4531B">
              <w:t>to bar underperforming or dishonest contractors</w:t>
            </w:r>
            <w:r w:rsidR="00E57A02" w:rsidRPr="00D4531B">
              <w:t>.</w:t>
            </w:r>
          </w:p>
          <w:p w14:paraId="1F77B8DA" w14:textId="77777777" w:rsidR="00574554" w:rsidRPr="00D4531B" w:rsidRDefault="00574554" w:rsidP="008D19B9">
            <w:pPr>
              <w:pStyle w:val="ListParagraph"/>
              <w:numPr>
                <w:ilvl w:val="0"/>
                <w:numId w:val="14"/>
              </w:numPr>
              <w:spacing w:line="276" w:lineRule="auto"/>
            </w:pPr>
            <w:r w:rsidRPr="00D4531B">
              <w:t>Summary review reports on insurance scheme performance and projected valuation of outstanding claims liabilities through use of PPCA analysis methodology.</w:t>
            </w:r>
          </w:p>
          <w:p w14:paraId="26ECB87F" w14:textId="21267569" w:rsidR="00367F1E" w:rsidRPr="00FD3047" w:rsidRDefault="00FD3047" w:rsidP="008D19B9">
            <w:pPr>
              <w:pStyle w:val="ListParagraph"/>
              <w:numPr>
                <w:ilvl w:val="0"/>
                <w:numId w:val="14"/>
              </w:numPr>
              <w:spacing w:line="276" w:lineRule="auto"/>
              <w:rPr>
                <w:rFonts w:cs="Arial"/>
                <w:bCs/>
                <w:szCs w:val="22"/>
              </w:rPr>
            </w:pPr>
            <w:r w:rsidRPr="00D4531B">
              <w:t xml:space="preserve">Administrative records used to support the operation of the insurance scheme and/or </w:t>
            </w:r>
            <w:r w:rsidR="001E2588" w:rsidRPr="00D4531B">
              <w:t xml:space="preserve">the </w:t>
            </w:r>
            <w:r w:rsidRPr="00D4531B">
              <w:t>claims management process.</w:t>
            </w:r>
          </w:p>
        </w:tc>
        <w:tc>
          <w:tcPr>
            <w:tcW w:w="874" w:type="pct"/>
            <w:shd w:val="clear" w:color="auto" w:fill="auto"/>
          </w:tcPr>
          <w:p w14:paraId="626EA64E" w14:textId="1A844FC1" w:rsidR="0030503C" w:rsidRPr="001321A9" w:rsidRDefault="004D064C" w:rsidP="00E02632">
            <w:pPr>
              <w:rPr>
                <w:rFonts w:cs="Arial"/>
                <w:szCs w:val="22"/>
              </w:rPr>
            </w:pPr>
            <w:r w:rsidRPr="004D064C">
              <w:rPr>
                <w:rFonts w:cs="Arial"/>
                <w:szCs w:val="22"/>
              </w:rPr>
              <w:lastRenderedPageBreak/>
              <w:t xml:space="preserve">7 years after </w:t>
            </w:r>
            <w:r w:rsidR="008B588A">
              <w:rPr>
                <w:rFonts w:cs="Arial"/>
                <w:szCs w:val="22"/>
              </w:rPr>
              <w:t>business action completed.</w:t>
            </w:r>
          </w:p>
        </w:tc>
        <w:tc>
          <w:tcPr>
            <w:tcW w:w="578" w:type="pct"/>
          </w:tcPr>
          <w:p w14:paraId="49EEEF71" w14:textId="63E893E0" w:rsidR="0030503C" w:rsidRDefault="00912862" w:rsidP="00E02632">
            <w:r>
              <w:t>15 December 2023</w:t>
            </w:r>
          </w:p>
        </w:tc>
      </w:tr>
    </w:tbl>
    <w:p w14:paraId="381B5AC3" w14:textId="77777777" w:rsidR="00E611C4" w:rsidRDefault="00E611C4" w:rsidP="00D15972">
      <w:pPr>
        <w:pStyle w:val="Heading1"/>
      </w:pPr>
    </w:p>
    <w:p w14:paraId="1C0D0423" w14:textId="2D0B2482" w:rsidR="00E611C4" w:rsidRDefault="00E611C4">
      <w:pPr>
        <w:spacing w:before="0" w:after="0"/>
        <w:rPr>
          <w:rFonts w:cs="Arial"/>
          <w:b/>
          <w:bCs/>
          <w:sz w:val="36"/>
          <w:szCs w:val="36"/>
          <w:lang w:eastAsia="en-AU"/>
        </w:rPr>
      </w:pPr>
      <w:r>
        <w:br w:type="page"/>
      </w:r>
    </w:p>
    <w:p w14:paraId="4DDB3813" w14:textId="2CC51635" w:rsidR="0011272A" w:rsidRDefault="00000000" w:rsidP="00D15972">
      <w:pPr>
        <w:pStyle w:val="Heading1"/>
        <w:rPr>
          <w:rStyle w:val="Hyperlink"/>
          <w:noProof/>
          <w:color w:val="000000" w:themeColor="text1"/>
          <w:sz w:val="28"/>
          <w:szCs w:val="28"/>
          <w:u w:val="none"/>
        </w:rPr>
      </w:pPr>
      <w:hyperlink w:anchor="Text40" w:history="1">
        <w:r w:rsidR="00370FBF" w:rsidRPr="001C6E39">
          <w:rPr>
            <w:rStyle w:val="Hyperlink"/>
            <w:noProof/>
            <w:color w:val="000000" w:themeColor="text1"/>
            <w:sz w:val="28"/>
            <w:szCs w:val="28"/>
            <w:u w:val="none"/>
          </w:rPr>
          <w:fldChar w:fldCharType="begin">
            <w:ffData>
              <w:name w:val="Text37"/>
              <w:enabled/>
              <w:calcOnExit/>
              <w:textInput>
                <w:default w:val="3. ADJUDICATION "/>
                <w:format w:val="UPPERCASE"/>
              </w:textInput>
            </w:ffData>
          </w:fldChar>
        </w:r>
        <w:bookmarkStart w:id="25" w:name="Text37"/>
        <w:r w:rsidR="0045083F" w:rsidRPr="001C6E39">
          <w:rPr>
            <w:rStyle w:val="Hyperlink"/>
            <w:noProof/>
            <w:color w:val="000000" w:themeColor="text1"/>
            <w:sz w:val="28"/>
            <w:szCs w:val="28"/>
            <w:u w:val="none"/>
          </w:rPr>
          <w:instrText xml:space="preserve"> FORMTEXT </w:instrText>
        </w:r>
        <w:r w:rsidR="00370FBF" w:rsidRPr="001C6E39">
          <w:rPr>
            <w:rStyle w:val="Hyperlink"/>
            <w:noProof/>
            <w:color w:val="000000" w:themeColor="text1"/>
            <w:sz w:val="28"/>
            <w:szCs w:val="28"/>
            <w:u w:val="none"/>
          </w:rPr>
        </w:r>
        <w:r w:rsidR="00370FBF" w:rsidRPr="001C6E39">
          <w:rPr>
            <w:rStyle w:val="Hyperlink"/>
            <w:noProof/>
            <w:color w:val="000000" w:themeColor="text1"/>
            <w:sz w:val="28"/>
            <w:szCs w:val="28"/>
            <w:u w:val="none"/>
          </w:rPr>
          <w:fldChar w:fldCharType="separate"/>
        </w:r>
        <w:bookmarkStart w:id="26" w:name="_Toc139025779"/>
        <w:r w:rsidR="00370FBF" w:rsidRPr="001C6E39">
          <w:rPr>
            <w:rStyle w:val="Hyperlink"/>
            <w:noProof/>
            <w:color w:val="000000" w:themeColor="text1"/>
            <w:sz w:val="28"/>
            <w:szCs w:val="28"/>
            <w:u w:val="none"/>
          </w:rPr>
          <w:t>3. ADJUDICATION</w:t>
        </w:r>
        <w:bookmarkEnd w:id="26"/>
        <w:r w:rsidR="00370FBF" w:rsidRPr="001C6E39">
          <w:rPr>
            <w:rStyle w:val="Hyperlink"/>
            <w:noProof/>
            <w:color w:val="000000" w:themeColor="text1"/>
            <w:sz w:val="28"/>
            <w:szCs w:val="28"/>
            <w:u w:val="none"/>
          </w:rPr>
          <w:t xml:space="preserve"> </w:t>
        </w:r>
        <w:r w:rsidR="00370FBF" w:rsidRPr="001C6E39">
          <w:rPr>
            <w:rStyle w:val="Hyperlink"/>
            <w:noProof/>
            <w:color w:val="000000" w:themeColor="text1"/>
            <w:sz w:val="28"/>
            <w:szCs w:val="28"/>
            <w:u w:val="none"/>
          </w:rPr>
          <w:fldChar w:fldCharType="end"/>
        </w:r>
        <w:r w:rsidR="0045083F" w:rsidRPr="001C6E39">
          <w:rPr>
            <w:rStyle w:val="Hyperlink"/>
            <w:noProof/>
            <w:color w:val="000000" w:themeColor="text1"/>
            <w:sz w:val="28"/>
            <w:szCs w:val="28"/>
            <w:u w:val="none"/>
          </w:rPr>
          <w:t xml:space="preserve"> </w:t>
        </w:r>
      </w:hyperlink>
      <w:bookmarkEnd w:id="25"/>
    </w:p>
    <w:p w14:paraId="1FF1BF0E" w14:textId="1449FA80" w:rsidR="000E2F64" w:rsidRPr="000E2F64" w:rsidRDefault="000E2F64" w:rsidP="000E2F64">
      <w:pPr>
        <w:spacing w:before="120"/>
        <w:jc w:val="both"/>
        <w:rPr>
          <w:rFonts w:cs="Arial"/>
          <w:i/>
          <w:color w:val="000000" w:themeColor="text1"/>
          <w:szCs w:val="22"/>
        </w:rPr>
      </w:pPr>
      <w:r w:rsidRPr="00E02632">
        <w:rPr>
          <w:rFonts w:cs="Arial"/>
          <w:i/>
          <w:color w:val="000000" w:themeColor="text1"/>
          <w:szCs w:val="22"/>
        </w:rPr>
        <w:t>The function of dispute resolution to facilitate settlement of disagreements about progress payments and monies owed. Includes providing advisory services and collecting and reporting on statistical data.</w:t>
      </w:r>
    </w:p>
    <w:p w14:paraId="18971D7B" w14:textId="77777777" w:rsidR="0042675D" w:rsidRPr="0042675D" w:rsidRDefault="0042675D" w:rsidP="0042675D">
      <w:pPr>
        <w:spacing w:before="0" w:after="0"/>
        <w:rPr>
          <w:vanish/>
        </w:rPr>
      </w:pPr>
    </w:p>
    <w:tbl>
      <w:tblPr>
        <w:tblW w:w="500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28" w:type="dxa"/>
          <w:right w:w="113" w:type="dxa"/>
        </w:tblCellMar>
        <w:tblLook w:val="01E0" w:firstRow="1" w:lastRow="1" w:firstColumn="1" w:lastColumn="1" w:noHBand="0" w:noVBand="0"/>
      </w:tblPr>
      <w:tblGrid>
        <w:gridCol w:w="2245"/>
        <w:gridCol w:w="9169"/>
        <w:gridCol w:w="2009"/>
        <w:gridCol w:w="1727"/>
      </w:tblGrid>
      <w:tr w:rsidR="00EF1FFD" w:rsidRPr="0042675D" w14:paraId="1D0D4BDB" w14:textId="77777777" w:rsidTr="00010429">
        <w:trPr>
          <w:tblHeader/>
        </w:trPr>
        <w:tc>
          <w:tcPr>
            <w:tcW w:w="741" w:type="pct"/>
            <w:shd w:val="clear" w:color="auto" w:fill="FFFFFF"/>
          </w:tcPr>
          <w:p w14:paraId="04738719" w14:textId="5212CC7D" w:rsidR="00EF1FFD" w:rsidRPr="00EF1FFD" w:rsidRDefault="00EF1FFD" w:rsidP="00EF1FFD">
            <w:pPr>
              <w:pStyle w:val="Tabletext"/>
              <w:spacing w:before="60" w:after="60"/>
              <w:jc w:val="center"/>
              <w:rPr>
                <w:b/>
                <w:bCs/>
                <w:sz w:val="22"/>
                <w:szCs w:val="22"/>
              </w:rPr>
            </w:pPr>
            <w:r w:rsidRPr="00EF1FFD">
              <w:rPr>
                <w:b/>
                <w:bCs/>
              </w:rPr>
              <w:t>Disposal Authorisation</w:t>
            </w:r>
          </w:p>
        </w:tc>
        <w:tc>
          <w:tcPr>
            <w:tcW w:w="3026" w:type="pct"/>
            <w:shd w:val="clear" w:color="auto" w:fill="FFFFFF"/>
          </w:tcPr>
          <w:p w14:paraId="5F127F34" w14:textId="457F3EC2" w:rsidR="00EF1FFD" w:rsidRPr="00EF1FFD" w:rsidRDefault="00EF1FFD" w:rsidP="00EF1FFD">
            <w:pPr>
              <w:jc w:val="center"/>
              <w:rPr>
                <w:rFonts w:cs="Arial"/>
                <w:b/>
                <w:bCs/>
                <w:iCs/>
                <w:szCs w:val="22"/>
              </w:rPr>
            </w:pPr>
            <w:r w:rsidRPr="00EF1FFD">
              <w:rPr>
                <w:b/>
                <w:bCs/>
              </w:rPr>
              <w:t>Description of records</w:t>
            </w:r>
          </w:p>
        </w:tc>
        <w:tc>
          <w:tcPr>
            <w:tcW w:w="663" w:type="pct"/>
            <w:shd w:val="clear" w:color="auto" w:fill="FFFFFF"/>
          </w:tcPr>
          <w:p w14:paraId="63A6E5C6" w14:textId="4429A449" w:rsidR="00EF1FFD" w:rsidRDefault="00EF1FFD" w:rsidP="00EF1FFD">
            <w:pPr>
              <w:pStyle w:val="Tabletext"/>
              <w:spacing w:before="60" w:after="60"/>
              <w:jc w:val="center"/>
              <w:rPr>
                <w:rFonts w:cs="Arial"/>
                <w:sz w:val="22"/>
                <w:szCs w:val="22"/>
              </w:rPr>
            </w:pPr>
            <w:r>
              <w:rPr>
                <w:b/>
              </w:rPr>
              <w:t>Retention period &amp; trigger</w:t>
            </w:r>
          </w:p>
        </w:tc>
        <w:tc>
          <w:tcPr>
            <w:tcW w:w="570" w:type="pct"/>
            <w:shd w:val="clear" w:color="auto" w:fill="FFFFFF"/>
          </w:tcPr>
          <w:p w14:paraId="14C9CEC0" w14:textId="0233E6A2" w:rsidR="00EF1FFD" w:rsidRPr="004E02C7" w:rsidRDefault="00EF1FFD" w:rsidP="00EF1FFD">
            <w:pPr>
              <w:pStyle w:val="Tabletext"/>
              <w:spacing w:before="60" w:after="60"/>
              <w:jc w:val="center"/>
              <w:rPr>
                <w:sz w:val="24"/>
                <w:highlight w:val="lightGray"/>
              </w:rPr>
            </w:pPr>
            <w:r>
              <w:rPr>
                <w:b/>
              </w:rPr>
              <w:t>Date authorised</w:t>
            </w:r>
          </w:p>
        </w:tc>
      </w:tr>
      <w:tr w:rsidR="00EF1FFD" w:rsidRPr="0042675D" w14:paraId="63BCAC6F" w14:textId="77777777" w:rsidTr="00EF1FFD">
        <w:tc>
          <w:tcPr>
            <w:tcW w:w="5000" w:type="pct"/>
            <w:gridSpan w:val="4"/>
            <w:shd w:val="clear" w:color="auto" w:fill="FFFFFF"/>
          </w:tcPr>
          <w:p w14:paraId="1AEE618F" w14:textId="77777777" w:rsidR="00EF1FFD" w:rsidRPr="00CB5D3E" w:rsidRDefault="00EF1FFD" w:rsidP="00EF1FFD">
            <w:pPr>
              <w:pStyle w:val="Heading2"/>
            </w:pPr>
            <w:r>
              <w:fldChar w:fldCharType="begin">
                <w:ffData>
                  <w:name w:val=""/>
                  <w:enabled/>
                  <w:calcOnExit w:val="0"/>
                  <w:textInput>
                    <w:default w:val="ADJUDICATOR REGISTRATION"/>
                    <w:format w:val="UPPERCASE"/>
                  </w:textInput>
                </w:ffData>
              </w:fldChar>
            </w:r>
            <w:r>
              <w:instrText xml:space="preserve"> FORMTEXT </w:instrText>
            </w:r>
            <w:r>
              <w:fldChar w:fldCharType="separate"/>
            </w:r>
            <w:r>
              <w:t>ADJUDICATOR REGISTRATION</w:t>
            </w:r>
            <w:r>
              <w:fldChar w:fldCharType="end"/>
            </w:r>
          </w:p>
          <w:p w14:paraId="13F61CD4" w14:textId="462160F9" w:rsidR="00EF1FFD" w:rsidRPr="00912862" w:rsidRDefault="00EF1FFD" w:rsidP="00EF1FFD">
            <w:pPr>
              <w:pStyle w:val="Tabletext"/>
              <w:spacing w:before="60" w:after="60"/>
              <w:rPr>
                <w:sz w:val="22"/>
                <w:szCs w:val="22"/>
                <w:highlight w:val="lightGray"/>
              </w:rPr>
            </w:pPr>
            <w:r w:rsidRPr="00912862">
              <w:rPr>
                <w:i/>
                <w:iCs/>
                <w:sz w:val="22"/>
                <w:szCs w:val="22"/>
              </w:rPr>
              <w:t>The activities of registering adjudicators and maintaining a public register. Includes l</w:t>
            </w:r>
            <w:r w:rsidRPr="00912862">
              <w:rPr>
                <w:rFonts w:cs="Arial"/>
                <w:i/>
                <w:iCs/>
                <w:sz w:val="22"/>
                <w:szCs w:val="22"/>
              </w:rPr>
              <w:t>egacy Appointment of Approved Training Organisations (ATO) and Authorised Nominating Authorities (ANA) per the former Building and Construction Industry Payments Act (2004).</w:t>
            </w:r>
          </w:p>
        </w:tc>
      </w:tr>
      <w:tr w:rsidR="00EF1FFD" w:rsidRPr="0042675D" w14:paraId="46FC884D" w14:textId="77777777" w:rsidTr="003735B4">
        <w:tc>
          <w:tcPr>
            <w:tcW w:w="741" w:type="pct"/>
            <w:shd w:val="clear" w:color="auto" w:fill="FFFFFF"/>
          </w:tcPr>
          <w:p w14:paraId="4C05D029" w14:textId="443B0C3E" w:rsidR="00EF1FFD" w:rsidRPr="00C01352" w:rsidRDefault="00EF1FFD" w:rsidP="00EF1FFD">
            <w:pPr>
              <w:pStyle w:val="Tabletext"/>
              <w:spacing w:before="60" w:after="60"/>
              <w:rPr>
                <w:sz w:val="22"/>
                <w:szCs w:val="22"/>
              </w:rPr>
            </w:pPr>
            <w:r>
              <w:rPr>
                <w:sz w:val="22"/>
                <w:szCs w:val="22"/>
              </w:rPr>
              <w:t>2784</w:t>
            </w:r>
          </w:p>
        </w:tc>
        <w:tc>
          <w:tcPr>
            <w:tcW w:w="3026" w:type="pct"/>
            <w:shd w:val="clear" w:color="auto" w:fill="FFFFFF"/>
          </w:tcPr>
          <w:p w14:paraId="447A21F0" w14:textId="52A7AD56" w:rsidR="00EF1FFD" w:rsidRPr="00D725BB" w:rsidRDefault="00EF1FFD" w:rsidP="00B03116">
            <w:pPr>
              <w:rPr>
                <w:rFonts w:cs="Arial"/>
                <w:b/>
                <w:iCs/>
                <w:szCs w:val="22"/>
              </w:rPr>
            </w:pPr>
            <w:r w:rsidRPr="00D725BB">
              <w:rPr>
                <w:rFonts w:cs="Arial"/>
                <w:b/>
                <w:iCs/>
                <w:szCs w:val="22"/>
              </w:rPr>
              <w:t>Adjudicator Registration files</w:t>
            </w:r>
          </w:p>
          <w:p w14:paraId="591ABDE4" w14:textId="77777777" w:rsidR="00EF1FFD" w:rsidRDefault="00EF1FFD" w:rsidP="00B03116">
            <w:pPr>
              <w:rPr>
                <w:rFonts w:cs="Arial"/>
                <w:szCs w:val="22"/>
              </w:rPr>
            </w:pPr>
            <w:r>
              <w:rPr>
                <w:rFonts w:cs="Arial"/>
                <w:szCs w:val="22"/>
              </w:rPr>
              <w:t>Records relating to the registration of adjudicators in accordance with</w:t>
            </w:r>
          </w:p>
          <w:p w14:paraId="1C74CC4E" w14:textId="6CBBFCA3" w:rsidR="00EF1FFD" w:rsidRPr="00080095" w:rsidRDefault="00EF1FFD" w:rsidP="00B03116">
            <w:pPr>
              <w:rPr>
                <w:rFonts w:cs="Arial"/>
                <w:szCs w:val="22"/>
              </w:rPr>
            </w:pPr>
            <w:r>
              <w:rPr>
                <w:rFonts w:cs="Arial"/>
                <w:szCs w:val="22"/>
              </w:rPr>
              <w:t xml:space="preserve">s.159 of </w:t>
            </w:r>
            <w:r w:rsidRPr="00DB0BFA">
              <w:rPr>
                <w:rFonts w:cs="Arial"/>
                <w:szCs w:val="22"/>
              </w:rPr>
              <w:t xml:space="preserve">the </w:t>
            </w:r>
            <w:r w:rsidRPr="00B03116">
              <w:rPr>
                <w:rFonts w:cs="Arial"/>
                <w:i/>
                <w:iCs/>
                <w:szCs w:val="22"/>
              </w:rPr>
              <w:t>Building Industry Fairness (Security of Payment) Act 2017</w:t>
            </w:r>
            <w:r>
              <w:rPr>
                <w:rFonts w:cs="Arial"/>
                <w:i/>
                <w:szCs w:val="22"/>
              </w:rPr>
              <w:t>.</w:t>
            </w:r>
          </w:p>
          <w:p w14:paraId="47CE9730" w14:textId="313BCDF2" w:rsidR="00EF1FFD" w:rsidRPr="00DB0BFA" w:rsidRDefault="00EF1FFD" w:rsidP="00B03116">
            <w:pPr>
              <w:rPr>
                <w:rFonts w:cs="Arial"/>
                <w:szCs w:val="22"/>
              </w:rPr>
            </w:pPr>
            <w:r>
              <w:rPr>
                <w:rFonts w:cs="Arial"/>
                <w:szCs w:val="22"/>
              </w:rPr>
              <w:t>Records may include</w:t>
            </w:r>
            <w:r w:rsidRPr="002E1CE4">
              <w:rPr>
                <w:rFonts w:cs="Arial"/>
                <w:szCs w:val="22"/>
              </w:rPr>
              <w:t>, but are not limited to:</w:t>
            </w:r>
          </w:p>
          <w:p w14:paraId="6C86757A" w14:textId="7CEEC9FB" w:rsidR="00EF1FFD" w:rsidRDefault="00EF1FFD" w:rsidP="00EF1FFD">
            <w:pPr>
              <w:widowControl w:val="0"/>
              <w:numPr>
                <w:ilvl w:val="0"/>
                <w:numId w:val="8"/>
              </w:numPr>
              <w:overflowPunct w:val="0"/>
              <w:autoSpaceDE w:val="0"/>
              <w:autoSpaceDN w:val="0"/>
              <w:adjustRightInd w:val="0"/>
              <w:ind w:left="714" w:hanging="357"/>
              <w:jc w:val="both"/>
              <w:textAlignment w:val="baseline"/>
              <w:rPr>
                <w:rFonts w:cs="Arial"/>
                <w:szCs w:val="22"/>
              </w:rPr>
            </w:pPr>
            <w:r>
              <w:rPr>
                <w:rFonts w:cs="Arial"/>
                <w:szCs w:val="22"/>
              </w:rPr>
              <w:t xml:space="preserve">Applications, </w:t>
            </w:r>
            <w:r w:rsidRPr="00614B40">
              <w:rPr>
                <w:rFonts w:cs="Arial"/>
                <w:szCs w:val="22"/>
              </w:rPr>
              <w:t>Assessments</w:t>
            </w:r>
            <w:r>
              <w:rPr>
                <w:rFonts w:cs="Arial"/>
                <w:szCs w:val="22"/>
              </w:rPr>
              <w:t xml:space="preserve"> and Requests for Informatio</w:t>
            </w:r>
            <w:bookmarkStart w:id="27" w:name="OLE_LINK13"/>
            <w:bookmarkEnd w:id="27"/>
            <w:r>
              <w:rPr>
                <w:rFonts w:cs="Arial"/>
                <w:szCs w:val="22"/>
              </w:rPr>
              <w:t>n</w:t>
            </w:r>
          </w:p>
          <w:p w14:paraId="7D548512" w14:textId="4D325734" w:rsidR="00EF1FFD" w:rsidRPr="00614B40" w:rsidRDefault="00EF1FFD" w:rsidP="00EF1FFD">
            <w:pPr>
              <w:widowControl w:val="0"/>
              <w:numPr>
                <w:ilvl w:val="0"/>
                <w:numId w:val="8"/>
              </w:numPr>
              <w:overflowPunct w:val="0"/>
              <w:autoSpaceDE w:val="0"/>
              <w:autoSpaceDN w:val="0"/>
              <w:adjustRightInd w:val="0"/>
              <w:ind w:left="714" w:hanging="357"/>
              <w:jc w:val="both"/>
              <w:textAlignment w:val="baseline"/>
              <w:rPr>
                <w:rFonts w:cs="Arial"/>
                <w:szCs w:val="22"/>
              </w:rPr>
            </w:pPr>
            <w:r>
              <w:rPr>
                <w:rFonts w:cs="Arial"/>
                <w:szCs w:val="22"/>
              </w:rPr>
              <w:t>Continuous (Compulsory) Professional Development (CPD / CCPD) Reporting</w:t>
            </w:r>
          </w:p>
          <w:p w14:paraId="251B41C3" w14:textId="5A468DB3" w:rsidR="00EF1FFD" w:rsidRDefault="00EF1FFD" w:rsidP="00EF1FFD">
            <w:pPr>
              <w:widowControl w:val="0"/>
              <w:numPr>
                <w:ilvl w:val="0"/>
                <w:numId w:val="8"/>
              </w:numPr>
              <w:overflowPunct w:val="0"/>
              <w:autoSpaceDE w:val="0"/>
              <w:autoSpaceDN w:val="0"/>
              <w:adjustRightInd w:val="0"/>
              <w:ind w:left="714" w:hanging="357"/>
              <w:jc w:val="both"/>
              <w:textAlignment w:val="baseline"/>
              <w:rPr>
                <w:rFonts w:cs="Arial"/>
                <w:szCs w:val="22"/>
              </w:rPr>
            </w:pPr>
            <w:r>
              <w:rPr>
                <w:rFonts w:cs="Arial"/>
                <w:szCs w:val="22"/>
              </w:rPr>
              <w:t>Transitionary Training</w:t>
            </w:r>
          </w:p>
          <w:p w14:paraId="19721C16" w14:textId="3E1B9F6D" w:rsidR="00EF1FFD" w:rsidRPr="00DB41E8" w:rsidRDefault="00EF1FFD" w:rsidP="00EF1FFD">
            <w:pPr>
              <w:widowControl w:val="0"/>
              <w:numPr>
                <w:ilvl w:val="0"/>
                <w:numId w:val="8"/>
              </w:numPr>
              <w:overflowPunct w:val="0"/>
              <w:autoSpaceDE w:val="0"/>
              <w:autoSpaceDN w:val="0"/>
              <w:adjustRightInd w:val="0"/>
              <w:ind w:left="714" w:hanging="357"/>
              <w:jc w:val="both"/>
              <w:textAlignment w:val="baseline"/>
              <w:rPr>
                <w:rFonts w:cs="Arial"/>
                <w:szCs w:val="22"/>
              </w:rPr>
            </w:pPr>
            <w:r w:rsidRPr="00DB41E8">
              <w:rPr>
                <w:rFonts w:cs="Arial"/>
                <w:szCs w:val="22"/>
              </w:rPr>
              <w:t xml:space="preserve">Certificate and/or </w:t>
            </w:r>
            <w:r>
              <w:rPr>
                <w:rFonts w:cs="Arial"/>
                <w:szCs w:val="22"/>
              </w:rPr>
              <w:t>C</w:t>
            </w:r>
            <w:r w:rsidRPr="00DB41E8">
              <w:rPr>
                <w:rFonts w:cs="Arial"/>
                <w:szCs w:val="22"/>
              </w:rPr>
              <w:t>onditions of Registration</w:t>
            </w:r>
          </w:p>
          <w:p w14:paraId="78F098CE" w14:textId="141481E7" w:rsidR="00EF1FFD" w:rsidRDefault="00EF1FFD" w:rsidP="00EF1FFD">
            <w:pPr>
              <w:widowControl w:val="0"/>
              <w:numPr>
                <w:ilvl w:val="0"/>
                <w:numId w:val="8"/>
              </w:numPr>
              <w:overflowPunct w:val="0"/>
              <w:autoSpaceDE w:val="0"/>
              <w:autoSpaceDN w:val="0"/>
              <w:adjustRightInd w:val="0"/>
              <w:ind w:left="714" w:hanging="357"/>
              <w:jc w:val="both"/>
              <w:textAlignment w:val="baseline"/>
              <w:rPr>
                <w:rFonts w:cs="Arial"/>
                <w:szCs w:val="22"/>
              </w:rPr>
            </w:pPr>
            <w:r w:rsidRPr="00614B40">
              <w:rPr>
                <w:rFonts w:cs="Arial"/>
                <w:szCs w:val="22"/>
              </w:rPr>
              <w:t>Renewals and</w:t>
            </w:r>
            <w:r>
              <w:rPr>
                <w:rFonts w:cs="Arial"/>
                <w:szCs w:val="22"/>
              </w:rPr>
              <w:t>/or Refusals</w:t>
            </w:r>
          </w:p>
          <w:p w14:paraId="71C82433" w14:textId="20B36949" w:rsidR="00EF1FFD" w:rsidRDefault="00EF1FFD" w:rsidP="00EF1FFD">
            <w:pPr>
              <w:widowControl w:val="0"/>
              <w:numPr>
                <w:ilvl w:val="0"/>
                <w:numId w:val="8"/>
              </w:numPr>
              <w:overflowPunct w:val="0"/>
              <w:autoSpaceDE w:val="0"/>
              <w:autoSpaceDN w:val="0"/>
              <w:adjustRightInd w:val="0"/>
              <w:ind w:left="714" w:hanging="357"/>
              <w:jc w:val="both"/>
              <w:textAlignment w:val="baseline"/>
              <w:rPr>
                <w:rFonts w:cs="Arial"/>
                <w:szCs w:val="22"/>
              </w:rPr>
            </w:pPr>
            <w:r>
              <w:rPr>
                <w:rFonts w:cs="Arial"/>
                <w:szCs w:val="22"/>
              </w:rPr>
              <w:t>Internal and/or External Reviews of Registration Decisions</w:t>
            </w:r>
          </w:p>
          <w:p w14:paraId="414BBBB0" w14:textId="77777777" w:rsidR="00EF1FFD" w:rsidRPr="00080095" w:rsidRDefault="00EF1FFD" w:rsidP="00EF1FFD">
            <w:pPr>
              <w:widowControl w:val="0"/>
              <w:numPr>
                <w:ilvl w:val="0"/>
                <w:numId w:val="8"/>
              </w:numPr>
              <w:overflowPunct w:val="0"/>
              <w:autoSpaceDE w:val="0"/>
              <w:autoSpaceDN w:val="0"/>
              <w:adjustRightInd w:val="0"/>
              <w:ind w:left="714" w:hanging="357"/>
              <w:jc w:val="both"/>
              <w:textAlignment w:val="baseline"/>
              <w:rPr>
                <w:szCs w:val="22"/>
              </w:rPr>
            </w:pPr>
            <w:r w:rsidRPr="007B7A43">
              <w:rPr>
                <w:rFonts w:cs="Arial"/>
                <w:szCs w:val="22"/>
              </w:rPr>
              <w:t>Suspensions, Cancellations or Surrenders</w:t>
            </w:r>
          </w:p>
          <w:p w14:paraId="118AC095" w14:textId="2F864681" w:rsidR="00EF1FFD" w:rsidRPr="00C01352" w:rsidRDefault="00EF1FFD" w:rsidP="00EF1FFD">
            <w:pPr>
              <w:widowControl w:val="0"/>
              <w:numPr>
                <w:ilvl w:val="0"/>
                <w:numId w:val="8"/>
              </w:numPr>
              <w:overflowPunct w:val="0"/>
              <w:autoSpaceDE w:val="0"/>
              <w:autoSpaceDN w:val="0"/>
              <w:adjustRightInd w:val="0"/>
              <w:ind w:left="714" w:hanging="357"/>
              <w:jc w:val="both"/>
              <w:textAlignment w:val="baseline"/>
              <w:rPr>
                <w:szCs w:val="22"/>
              </w:rPr>
            </w:pPr>
            <w:r>
              <w:rPr>
                <w:rFonts w:cs="Arial"/>
                <w:szCs w:val="22"/>
              </w:rPr>
              <w:t>Show Cause Notices stating the Proposed Action</w:t>
            </w:r>
          </w:p>
        </w:tc>
        <w:tc>
          <w:tcPr>
            <w:tcW w:w="663" w:type="pct"/>
            <w:shd w:val="clear" w:color="auto" w:fill="FFFFFF"/>
          </w:tcPr>
          <w:p w14:paraId="3345C3B0" w14:textId="4679E608" w:rsidR="00EF1FFD" w:rsidRDefault="00EF1FFD" w:rsidP="00EF1FFD">
            <w:pPr>
              <w:pStyle w:val="Tabletext"/>
              <w:spacing w:before="60" w:after="60"/>
              <w:rPr>
                <w:rFonts w:cs="Arial"/>
                <w:sz w:val="22"/>
                <w:szCs w:val="22"/>
              </w:rPr>
            </w:pPr>
            <w:r>
              <w:rPr>
                <w:rFonts w:cs="Arial"/>
                <w:sz w:val="22"/>
                <w:szCs w:val="22"/>
              </w:rPr>
              <w:t>4 years after business action completed.</w:t>
            </w:r>
          </w:p>
          <w:p w14:paraId="38BDF7A6" w14:textId="77777777" w:rsidR="00EF1FFD" w:rsidRDefault="00EF1FFD" w:rsidP="00EF1FFD">
            <w:pPr>
              <w:pStyle w:val="Tabletext"/>
              <w:spacing w:before="60" w:after="60"/>
              <w:rPr>
                <w:rFonts w:cs="Arial"/>
                <w:sz w:val="22"/>
                <w:szCs w:val="22"/>
              </w:rPr>
            </w:pPr>
          </w:p>
          <w:p w14:paraId="2B56A4DF" w14:textId="77777777" w:rsidR="00EF1FFD" w:rsidRDefault="00EF1FFD" w:rsidP="00EF1FFD">
            <w:pPr>
              <w:pStyle w:val="Tabletext"/>
              <w:spacing w:before="60" w:after="60"/>
              <w:rPr>
                <w:rFonts w:cs="Arial"/>
                <w:sz w:val="22"/>
                <w:szCs w:val="22"/>
              </w:rPr>
            </w:pPr>
          </w:p>
          <w:p w14:paraId="4C32380B" w14:textId="17B6FDBB" w:rsidR="00EF1FFD" w:rsidRPr="00A165D3" w:rsidRDefault="00EF1FFD" w:rsidP="00EF1FFD">
            <w:pPr>
              <w:pStyle w:val="Tabletext"/>
              <w:spacing w:before="60" w:after="60"/>
              <w:rPr>
                <w:b/>
                <w:sz w:val="24"/>
                <w:szCs w:val="22"/>
              </w:rPr>
            </w:pPr>
          </w:p>
        </w:tc>
        <w:tc>
          <w:tcPr>
            <w:tcW w:w="570" w:type="pct"/>
            <w:shd w:val="clear" w:color="auto" w:fill="FFFFFF"/>
          </w:tcPr>
          <w:p w14:paraId="3D9CE4A6" w14:textId="02F7C9B6" w:rsidR="00EF1FFD" w:rsidRPr="00912862" w:rsidRDefault="00912862" w:rsidP="00EF1FFD">
            <w:pPr>
              <w:pStyle w:val="Tabletext"/>
              <w:spacing w:before="60" w:after="60"/>
              <w:rPr>
                <w:sz w:val="22"/>
                <w:szCs w:val="22"/>
              </w:rPr>
            </w:pPr>
            <w:r>
              <w:rPr>
                <w:sz w:val="22"/>
                <w:szCs w:val="22"/>
              </w:rPr>
              <w:t>15 December 2023</w:t>
            </w:r>
          </w:p>
        </w:tc>
      </w:tr>
      <w:tr w:rsidR="00EF1FFD" w:rsidRPr="0042675D" w14:paraId="244EEE55" w14:textId="77777777" w:rsidTr="003735B4">
        <w:tc>
          <w:tcPr>
            <w:tcW w:w="741" w:type="pct"/>
            <w:shd w:val="clear" w:color="auto" w:fill="FFFFFF"/>
          </w:tcPr>
          <w:p w14:paraId="2D6428E5" w14:textId="347D38B5" w:rsidR="00EF1FFD" w:rsidRPr="00C01352" w:rsidRDefault="00EF1FFD" w:rsidP="00EF1FFD">
            <w:pPr>
              <w:pStyle w:val="Tabletext"/>
              <w:spacing w:before="60" w:after="60"/>
              <w:rPr>
                <w:sz w:val="22"/>
                <w:szCs w:val="22"/>
              </w:rPr>
            </w:pPr>
            <w:r>
              <w:rPr>
                <w:sz w:val="22"/>
                <w:szCs w:val="22"/>
              </w:rPr>
              <w:t>2785</w:t>
            </w:r>
          </w:p>
        </w:tc>
        <w:tc>
          <w:tcPr>
            <w:tcW w:w="3026" w:type="pct"/>
            <w:shd w:val="clear" w:color="auto" w:fill="FFFFFF"/>
          </w:tcPr>
          <w:p w14:paraId="2DCFE496" w14:textId="3586A9A3" w:rsidR="00EF1FFD" w:rsidRPr="00D725BB" w:rsidRDefault="00EF1FFD" w:rsidP="00EF1FFD">
            <w:pPr>
              <w:jc w:val="both"/>
              <w:rPr>
                <w:rFonts w:cs="Arial"/>
                <w:b/>
                <w:iCs/>
                <w:szCs w:val="22"/>
              </w:rPr>
            </w:pPr>
            <w:r w:rsidRPr="00D725BB">
              <w:rPr>
                <w:rFonts w:cs="Arial"/>
                <w:b/>
                <w:iCs/>
                <w:szCs w:val="22"/>
              </w:rPr>
              <w:t>Adjudicator Register</w:t>
            </w:r>
          </w:p>
          <w:p w14:paraId="0C826ECC" w14:textId="77777777" w:rsidR="00EF1FFD" w:rsidRDefault="00EF1FFD" w:rsidP="00EF1FFD">
            <w:pPr>
              <w:jc w:val="both"/>
              <w:rPr>
                <w:rFonts w:cs="Arial"/>
                <w:szCs w:val="22"/>
              </w:rPr>
            </w:pPr>
            <w:r>
              <w:rPr>
                <w:rFonts w:cs="Arial"/>
                <w:szCs w:val="22"/>
              </w:rPr>
              <w:t>Entries in the register of adjudicators maintained in accordance with</w:t>
            </w:r>
          </w:p>
          <w:p w14:paraId="1544F521" w14:textId="32E44B7B" w:rsidR="00EF1FFD" w:rsidRPr="007B7A43" w:rsidRDefault="00EF1FFD" w:rsidP="00EF1FFD">
            <w:pPr>
              <w:spacing w:line="276" w:lineRule="auto"/>
              <w:jc w:val="both"/>
              <w:rPr>
                <w:rFonts w:cs="Arial"/>
                <w:szCs w:val="22"/>
              </w:rPr>
            </w:pPr>
            <w:r>
              <w:rPr>
                <w:rFonts w:cs="Arial"/>
                <w:szCs w:val="22"/>
              </w:rPr>
              <w:t xml:space="preserve">s.154(2)(b) of the </w:t>
            </w:r>
            <w:r w:rsidRPr="00B03116">
              <w:rPr>
                <w:rFonts w:cs="Arial"/>
                <w:i/>
                <w:iCs/>
                <w:szCs w:val="22"/>
              </w:rPr>
              <w:t>Building Industry Fairness (Security of Payment) Act 2017</w:t>
            </w:r>
            <w:r w:rsidRPr="007B7A43">
              <w:rPr>
                <w:rFonts w:cs="Arial"/>
                <w:szCs w:val="22"/>
              </w:rPr>
              <w:t>.</w:t>
            </w:r>
          </w:p>
          <w:p w14:paraId="4151C074" w14:textId="71278F44" w:rsidR="00EF1FFD" w:rsidRPr="00DB0BFA" w:rsidRDefault="00EF1FFD" w:rsidP="00EF1FFD">
            <w:pPr>
              <w:spacing w:line="276" w:lineRule="auto"/>
              <w:jc w:val="both"/>
              <w:rPr>
                <w:rFonts w:cs="Arial"/>
                <w:szCs w:val="22"/>
              </w:rPr>
            </w:pPr>
            <w:r>
              <w:rPr>
                <w:rFonts w:cs="Arial"/>
                <w:szCs w:val="22"/>
              </w:rPr>
              <w:t>Registered</w:t>
            </w:r>
            <w:r w:rsidRPr="00DB0BFA">
              <w:rPr>
                <w:rFonts w:cs="Arial"/>
                <w:szCs w:val="22"/>
              </w:rPr>
              <w:t xml:space="preserve"> </w:t>
            </w:r>
            <w:r>
              <w:rPr>
                <w:rFonts w:cs="Arial"/>
                <w:szCs w:val="22"/>
              </w:rPr>
              <w:t>details include,</w:t>
            </w:r>
            <w:r w:rsidRPr="00DB0BFA">
              <w:rPr>
                <w:rFonts w:cs="Arial"/>
                <w:szCs w:val="22"/>
              </w:rPr>
              <w:t xml:space="preserve"> but are not limited to:</w:t>
            </w:r>
          </w:p>
          <w:p w14:paraId="54AEEB90" w14:textId="3D445053" w:rsidR="00EF1FFD" w:rsidRDefault="00EF1FFD" w:rsidP="00EF1FFD">
            <w:pPr>
              <w:widowControl w:val="0"/>
              <w:numPr>
                <w:ilvl w:val="0"/>
                <w:numId w:val="8"/>
              </w:numPr>
              <w:overflowPunct w:val="0"/>
              <w:autoSpaceDE w:val="0"/>
              <w:autoSpaceDN w:val="0"/>
              <w:adjustRightInd w:val="0"/>
              <w:ind w:left="714" w:hanging="357"/>
              <w:jc w:val="both"/>
              <w:textAlignment w:val="baseline"/>
              <w:rPr>
                <w:rFonts w:cs="Arial"/>
                <w:szCs w:val="22"/>
              </w:rPr>
            </w:pPr>
            <w:r>
              <w:rPr>
                <w:rFonts w:cs="Arial"/>
                <w:szCs w:val="22"/>
              </w:rPr>
              <w:t xml:space="preserve">Registration Number </w:t>
            </w:r>
          </w:p>
          <w:p w14:paraId="00CA5F9D" w14:textId="512B1920" w:rsidR="00EF1FFD" w:rsidRDefault="00EF1FFD" w:rsidP="00EF1FFD">
            <w:pPr>
              <w:widowControl w:val="0"/>
              <w:numPr>
                <w:ilvl w:val="0"/>
                <w:numId w:val="8"/>
              </w:numPr>
              <w:overflowPunct w:val="0"/>
              <w:autoSpaceDE w:val="0"/>
              <w:autoSpaceDN w:val="0"/>
              <w:adjustRightInd w:val="0"/>
              <w:ind w:left="714" w:hanging="357"/>
              <w:jc w:val="both"/>
              <w:textAlignment w:val="baseline"/>
              <w:rPr>
                <w:rFonts w:cs="Arial"/>
                <w:szCs w:val="22"/>
              </w:rPr>
            </w:pPr>
            <w:r w:rsidRPr="00003E4D">
              <w:rPr>
                <w:rFonts w:cs="Arial"/>
                <w:szCs w:val="22"/>
              </w:rPr>
              <w:t>Ad</w:t>
            </w:r>
            <w:r>
              <w:rPr>
                <w:rFonts w:cs="Arial"/>
                <w:szCs w:val="22"/>
              </w:rPr>
              <w:t>judicator Name</w:t>
            </w:r>
          </w:p>
          <w:p w14:paraId="7681AE88" w14:textId="0A59FD89" w:rsidR="00EF1FFD" w:rsidRPr="00E6168E" w:rsidRDefault="00EF1FFD" w:rsidP="00EF1FFD">
            <w:pPr>
              <w:widowControl w:val="0"/>
              <w:numPr>
                <w:ilvl w:val="0"/>
                <w:numId w:val="8"/>
              </w:numPr>
              <w:overflowPunct w:val="0"/>
              <w:autoSpaceDE w:val="0"/>
              <w:autoSpaceDN w:val="0"/>
              <w:adjustRightInd w:val="0"/>
              <w:ind w:left="714" w:hanging="357"/>
              <w:jc w:val="both"/>
              <w:textAlignment w:val="baseline"/>
              <w:rPr>
                <w:rFonts w:cs="Arial"/>
                <w:b/>
                <w:szCs w:val="22"/>
              </w:rPr>
            </w:pPr>
            <w:r>
              <w:rPr>
                <w:rFonts w:cs="Arial"/>
                <w:szCs w:val="22"/>
              </w:rPr>
              <w:t>Registration Date</w:t>
            </w:r>
          </w:p>
        </w:tc>
        <w:tc>
          <w:tcPr>
            <w:tcW w:w="663" w:type="pct"/>
            <w:shd w:val="clear" w:color="auto" w:fill="FFFFFF"/>
          </w:tcPr>
          <w:p w14:paraId="68119356" w14:textId="29CD4400" w:rsidR="00EF1FFD" w:rsidRDefault="00EF1FFD" w:rsidP="00EF1FFD">
            <w:pPr>
              <w:pStyle w:val="Tabletext"/>
              <w:spacing w:before="60" w:after="60"/>
              <w:rPr>
                <w:rFonts w:cs="Arial"/>
                <w:sz w:val="22"/>
                <w:szCs w:val="22"/>
              </w:rPr>
            </w:pPr>
            <w:r w:rsidRPr="007D1B60">
              <w:rPr>
                <w:rFonts w:cs="Arial"/>
                <w:sz w:val="22"/>
                <w:szCs w:val="22"/>
              </w:rPr>
              <w:t xml:space="preserve">Retain </w:t>
            </w:r>
            <w:r>
              <w:rPr>
                <w:rFonts w:cs="Arial"/>
                <w:sz w:val="22"/>
                <w:szCs w:val="22"/>
              </w:rPr>
              <w:t>permanently in agency.</w:t>
            </w:r>
          </w:p>
        </w:tc>
        <w:tc>
          <w:tcPr>
            <w:tcW w:w="570" w:type="pct"/>
            <w:shd w:val="clear" w:color="auto" w:fill="FFFFFF"/>
          </w:tcPr>
          <w:p w14:paraId="054E34DE" w14:textId="3C61DAA5" w:rsidR="00EF1FFD" w:rsidRPr="00912862" w:rsidRDefault="00912862" w:rsidP="00EF1FFD">
            <w:pPr>
              <w:pStyle w:val="Tabletext"/>
              <w:spacing w:before="60" w:after="60"/>
              <w:rPr>
                <w:sz w:val="22"/>
                <w:szCs w:val="22"/>
              </w:rPr>
            </w:pPr>
            <w:r>
              <w:rPr>
                <w:sz w:val="22"/>
                <w:szCs w:val="22"/>
              </w:rPr>
              <w:t>15 December 2023</w:t>
            </w:r>
          </w:p>
        </w:tc>
      </w:tr>
      <w:tr w:rsidR="00EF1FFD" w:rsidRPr="00AC4BA1" w14:paraId="38F3F1EC" w14:textId="77777777" w:rsidTr="003735B4">
        <w:tblPrEx>
          <w:tblCellMar>
            <w:left w:w="108" w:type="dxa"/>
            <w:bottom w:w="0" w:type="dxa"/>
            <w:right w:w="108" w:type="dxa"/>
          </w:tblCellMar>
          <w:tblLook w:val="0000" w:firstRow="0" w:lastRow="0" w:firstColumn="0" w:lastColumn="0" w:noHBand="0" w:noVBand="0"/>
        </w:tblPrEx>
        <w:trPr>
          <w:cantSplit/>
        </w:trPr>
        <w:tc>
          <w:tcPr>
            <w:tcW w:w="741" w:type="pct"/>
          </w:tcPr>
          <w:p w14:paraId="18614DD2" w14:textId="7B5EB1CD" w:rsidR="00EF1FFD" w:rsidRPr="00725556" w:rsidRDefault="00EF1FFD" w:rsidP="00EF1FFD">
            <w:pPr>
              <w:pStyle w:val="Tabletext"/>
              <w:spacing w:before="60" w:after="60"/>
              <w:rPr>
                <w:sz w:val="22"/>
                <w:szCs w:val="22"/>
              </w:rPr>
            </w:pPr>
            <w:r>
              <w:rPr>
                <w:sz w:val="22"/>
                <w:szCs w:val="22"/>
              </w:rPr>
              <w:lastRenderedPageBreak/>
              <w:t>2786</w:t>
            </w:r>
          </w:p>
        </w:tc>
        <w:tc>
          <w:tcPr>
            <w:tcW w:w="3026" w:type="pct"/>
          </w:tcPr>
          <w:p w14:paraId="67F32091" w14:textId="0E646D5A" w:rsidR="00EF1FFD" w:rsidRPr="008B588A" w:rsidRDefault="00EF1FFD" w:rsidP="00EF1FFD">
            <w:pPr>
              <w:pStyle w:val="Tabletext"/>
              <w:spacing w:before="60" w:after="60"/>
              <w:rPr>
                <w:b/>
                <w:bCs/>
                <w:sz w:val="22"/>
                <w:szCs w:val="22"/>
              </w:rPr>
            </w:pPr>
            <w:r w:rsidRPr="008B588A">
              <w:rPr>
                <w:b/>
                <w:bCs/>
                <w:sz w:val="22"/>
                <w:szCs w:val="22"/>
              </w:rPr>
              <w:t>Adjudicator Decisions Register</w:t>
            </w:r>
          </w:p>
          <w:p w14:paraId="75354C1D" w14:textId="0E423A13" w:rsidR="00EF1FFD" w:rsidRPr="00725556" w:rsidRDefault="00EF1FFD" w:rsidP="00EF1FFD">
            <w:pPr>
              <w:pStyle w:val="Tabletext"/>
              <w:spacing w:before="60" w:after="60"/>
              <w:rPr>
                <w:sz w:val="22"/>
                <w:szCs w:val="22"/>
              </w:rPr>
            </w:pPr>
            <w:r w:rsidRPr="00725556">
              <w:rPr>
                <w:sz w:val="22"/>
                <w:szCs w:val="22"/>
              </w:rPr>
              <w:t xml:space="preserve">Register of adjudicator’s decisions made in accordance with s.154(2)(e) of the </w:t>
            </w:r>
            <w:r w:rsidRPr="00B03116">
              <w:rPr>
                <w:i/>
                <w:iCs/>
                <w:sz w:val="22"/>
                <w:szCs w:val="22"/>
              </w:rPr>
              <w:t>Building Industry Fairness (Security of Payment) Act 2017</w:t>
            </w:r>
            <w:r w:rsidRPr="00725556">
              <w:rPr>
                <w:sz w:val="22"/>
                <w:szCs w:val="22"/>
              </w:rPr>
              <w:t>.</w:t>
            </w:r>
          </w:p>
        </w:tc>
        <w:tc>
          <w:tcPr>
            <w:tcW w:w="663" w:type="pct"/>
          </w:tcPr>
          <w:p w14:paraId="18B5F4E4" w14:textId="23024993" w:rsidR="00EF1FFD" w:rsidRPr="00725556" w:rsidRDefault="00EF1FFD" w:rsidP="00EF1FFD">
            <w:pPr>
              <w:pStyle w:val="Tabletext"/>
              <w:spacing w:before="60" w:after="60"/>
              <w:rPr>
                <w:sz w:val="22"/>
                <w:szCs w:val="22"/>
              </w:rPr>
            </w:pPr>
            <w:r w:rsidRPr="007D1B60">
              <w:rPr>
                <w:rFonts w:cs="Arial"/>
                <w:sz w:val="22"/>
                <w:szCs w:val="22"/>
              </w:rPr>
              <w:t xml:space="preserve">Retain </w:t>
            </w:r>
            <w:r>
              <w:rPr>
                <w:rFonts w:cs="Arial"/>
                <w:sz w:val="22"/>
                <w:szCs w:val="22"/>
              </w:rPr>
              <w:t>permanently in agency.</w:t>
            </w:r>
          </w:p>
        </w:tc>
        <w:tc>
          <w:tcPr>
            <w:tcW w:w="570" w:type="pct"/>
          </w:tcPr>
          <w:p w14:paraId="17808827" w14:textId="7FF1567C" w:rsidR="00EF1FFD" w:rsidRPr="00725556" w:rsidRDefault="005C2BC2" w:rsidP="00EF1FFD">
            <w:pPr>
              <w:pStyle w:val="Tabletext"/>
              <w:spacing w:before="60" w:after="60"/>
              <w:rPr>
                <w:sz w:val="22"/>
                <w:szCs w:val="22"/>
              </w:rPr>
            </w:pPr>
            <w:r>
              <w:rPr>
                <w:sz w:val="22"/>
                <w:szCs w:val="22"/>
              </w:rPr>
              <w:t>15 December 2023</w:t>
            </w:r>
          </w:p>
        </w:tc>
      </w:tr>
      <w:tr w:rsidR="00EF1FFD" w:rsidRPr="002F2943" w14:paraId="48215D6A" w14:textId="77777777" w:rsidTr="003735B4">
        <w:tblPrEx>
          <w:tblCellMar>
            <w:left w:w="108" w:type="dxa"/>
            <w:bottom w:w="0" w:type="dxa"/>
            <w:right w:w="108" w:type="dxa"/>
          </w:tblCellMar>
          <w:tblLook w:val="0000" w:firstRow="0" w:lastRow="0" w:firstColumn="0" w:lastColumn="0" w:noHBand="0" w:noVBand="0"/>
        </w:tblPrEx>
        <w:tc>
          <w:tcPr>
            <w:tcW w:w="5000" w:type="pct"/>
            <w:gridSpan w:val="4"/>
          </w:tcPr>
          <w:p w14:paraId="78F53327" w14:textId="70FDE244" w:rsidR="00EF1FFD" w:rsidRPr="00D92A72" w:rsidRDefault="00EF1FFD" w:rsidP="00EF1FFD">
            <w:pPr>
              <w:rPr>
                <w:b/>
                <w:i/>
              </w:rPr>
            </w:pPr>
            <w:r w:rsidRPr="00D92A72">
              <w:rPr>
                <w:b/>
                <w:i/>
              </w:rPr>
              <w:t>DISPUTES</w:t>
            </w:r>
            <w:r>
              <w:rPr>
                <w:b/>
                <w:i/>
              </w:rPr>
              <w:t xml:space="preserve"> &amp; REVIEWS</w:t>
            </w:r>
          </w:p>
          <w:p w14:paraId="71B85853" w14:textId="1E0CA1E0" w:rsidR="00EF1FFD" w:rsidRPr="00D92A72" w:rsidRDefault="00EF1FFD" w:rsidP="00EF1FFD">
            <w:pPr>
              <w:rPr>
                <w:i/>
              </w:rPr>
            </w:pPr>
            <w:r w:rsidRPr="00D92A72">
              <w:rPr>
                <w:i/>
              </w:rPr>
              <w:t xml:space="preserve">The activities of </w:t>
            </w:r>
            <w:r>
              <w:rPr>
                <w:i/>
              </w:rPr>
              <w:t xml:space="preserve">adjudicating </w:t>
            </w:r>
            <w:r w:rsidRPr="00D92A72">
              <w:rPr>
                <w:i/>
              </w:rPr>
              <w:t>payment claim</w:t>
            </w:r>
            <w:r>
              <w:rPr>
                <w:i/>
              </w:rPr>
              <w:t xml:space="preserve"> applications per s.79 of the </w:t>
            </w:r>
            <w:r w:rsidRPr="006F2223">
              <w:rPr>
                <w:rFonts w:cs="Arial"/>
                <w:i/>
                <w:szCs w:val="22"/>
              </w:rPr>
              <w:t>Building Industry Fairness (Security of Payment) Act 2017</w:t>
            </w:r>
            <w:r w:rsidRPr="00D92A72">
              <w:rPr>
                <w:i/>
                <w:iCs/>
              </w:rPr>
              <w:t>.</w:t>
            </w:r>
            <w:r>
              <w:rPr>
                <w:i/>
                <w:iCs/>
              </w:rPr>
              <w:t xml:space="preserve"> </w:t>
            </w:r>
          </w:p>
        </w:tc>
      </w:tr>
      <w:tr w:rsidR="00EF1FFD" w:rsidRPr="002F2943" w14:paraId="2364C894" w14:textId="77777777" w:rsidTr="003735B4">
        <w:tblPrEx>
          <w:tblCellMar>
            <w:left w:w="108" w:type="dxa"/>
            <w:bottom w:w="0" w:type="dxa"/>
            <w:right w:w="108" w:type="dxa"/>
          </w:tblCellMar>
          <w:tblLook w:val="0000" w:firstRow="0" w:lastRow="0" w:firstColumn="0" w:lastColumn="0" w:noHBand="0" w:noVBand="0"/>
        </w:tblPrEx>
        <w:tc>
          <w:tcPr>
            <w:tcW w:w="741" w:type="pct"/>
          </w:tcPr>
          <w:p w14:paraId="43098FB0" w14:textId="78A0F711" w:rsidR="00EF1FFD" w:rsidRPr="002F2943" w:rsidRDefault="00EF1FFD" w:rsidP="00EF1FFD">
            <w:r>
              <w:rPr>
                <w:szCs w:val="22"/>
              </w:rPr>
              <w:t>2787</w:t>
            </w:r>
          </w:p>
        </w:tc>
        <w:tc>
          <w:tcPr>
            <w:tcW w:w="3026" w:type="pct"/>
          </w:tcPr>
          <w:p w14:paraId="45DDBC5E" w14:textId="55991578" w:rsidR="00EF1FFD" w:rsidRPr="00594352" w:rsidRDefault="00EF1FFD" w:rsidP="00B03116">
            <w:pPr>
              <w:spacing w:line="276" w:lineRule="auto"/>
              <w:rPr>
                <w:b/>
                <w:bCs/>
              </w:rPr>
            </w:pPr>
            <w:r w:rsidRPr="00594352">
              <w:rPr>
                <w:b/>
                <w:bCs/>
              </w:rPr>
              <w:t>Claims</w:t>
            </w:r>
            <w:r>
              <w:rPr>
                <w:b/>
                <w:bCs/>
              </w:rPr>
              <w:t>, Disputes &amp; Reviews</w:t>
            </w:r>
            <w:r w:rsidRPr="00594352">
              <w:rPr>
                <w:b/>
                <w:bCs/>
              </w:rPr>
              <w:t xml:space="preserve">  </w:t>
            </w:r>
          </w:p>
          <w:p w14:paraId="2C1D09AA" w14:textId="42FB8302" w:rsidR="00EF1FFD" w:rsidRPr="002F2943" w:rsidRDefault="00EF1FFD" w:rsidP="00EF1FFD">
            <w:pPr>
              <w:spacing w:line="276" w:lineRule="auto"/>
            </w:pPr>
            <w:r w:rsidRPr="002F2943">
              <w:t xml:space="preserve">Records relating to </w:t>
            </w:r>
            <w:r>
              <w:t xml:space="preserve">disputes, claims and/or </w:t>
            </w:r>
            <w:r w:rsidRPr="002F2943">
              <w:t xml:space="preserve">complaints </w:t>
            </w:r>
            <w:r>
              <w:t>requiring adjudication by the QBCC</w:t>
            </w:r>
            <w:r>
              <w:rPr>
                <w:rFonts w:cs="Arial"/>
                <w:i/>
                <w:szCs w:val="22"/>
              </w:rPr>
              <w:t>.</w:t>
            </w:r>
            <w:r w:rsidRPr="00E27166">
              <w:rPr>
                <w:rFonts w:cs="Arial"/>
                <w:szCs w:val="22"/>
              </w:rPr>
              <w:t xml:space="preserve">  I</w:t>
            </w:r>
            <w:r w:rsidRPr="002F2943">
              <w:t xml:space="preserve">ncludes </w:t>
            </w:r>
            <w:r>
              <w:t>complex payment claims and matters</w:t>
            </w:r>
            <w:r w:rsidRPr="002F2943">
              <w:t xml:space="preserve"> that</w:t>
            </w:r>
            <w:r>
              <w:t xml:space="preserve"> do not proceed, are withdrawn or discontinued.</w:t>
            </w:r>
          </w:p>
          <w:p w14:paraId="71089A51" w14:textId="0357ECEF" w:rsidR="00EF1FFD" w:rsidRPr="002F2943" w:rsidRDefault="00EF1FFD" w:rsidP="00EF1FFD">
            <w:pPr>
              <w:spacing w:line="276" w:lineRule="auto"/>
            </w:pPr>
            <w:r>
              <w:t>Records may include</w:t>
            </w:r>
            <w:r w:rsidRPr="002F2943">
              <w:t xml:space="preserve"> but are not limited to:</w:t>
            </w:r>
          </w:p>
          <w:p w14:paraId="72151447" w14:textId="09BBD707" w:rsidR="00EF1FFD" w:rsidRPr="002F2943" w:rsidRDefault="00EF1FFD" w:rsidP="00EF1FFD">
            <w:pPr>
              <w:pStyle w:val="ListParagraph"/>
              <w:numPr>
                <w:ilvl w:val="0"/>
                <w:numId w:val="9"/>
              </w:numPr>
              <w:tabs>
                <w:tab w:val="num" w:pos="720"/>
              </w:tabs>
            </w:pPr>
            <w:bookmarkStart w:id="28" w:name="OLE_LINK3"/>
            <w:bookmarkStart w:id="29" w:name="OLE_LINK4"/>
            <w:r>
              <w:t>Applications, Claims etc.</w:t>
            </w:r>
            <w:r w:rsidRPr="002F2943">
              <w:t xml:space="preserve"> </w:t>
            </w:r>
          </w:p>
          <w:p w14:paraId="2DB7D590" w14:textId="3A2D9C3B" w:rsidR="00EF1FFD" w:rsidRDefault="00EF1FFD" w:rsidP="00EF1FFD">
            <w:pPr>
              <w:pStyle w:val="ListParagraph"/>
              <w:numPr>
                <w:ilvl w:val="0"/>
                <w:numId w:val="9"/>
              </w:numPr>
              <w:tabs>
                <w:tab w:val="num" w:pos="720"/>
              </w:tabs>
            </w:pPr>
            <w:r>
              <w:t>A</w:t>
            </w:r>
            <w:r w:rsidRPr="002F2943">
              <w:t>ssessmen</w:t>
            </w:r>
            <w:r>
              <w:t>t of Cases</w:t>
            </w:r>
          </w:p>
          <w:p w14:paraId="02CF52C9" w14:textId="28A80842" w:rsidR="00EF1FFD" w:rsidRPr="002F2943" w:rsidRDefault="00EF1FFD" w:rsidP="00EF1FFD">
            <w:pPr>
              <w:pStyle w:val="ListParagraph"/>
              <w:numPr>
                <w:ilvl w:val="0"/>
                <w:numId w:val="9"/>
              </w:numPr>
              <w:tabs>
                <w:tab w:val="num" w:pos="720"/>
              </w:tabs>
            </w:pPr>
            <w:r>
              <w:t>Payment Schedules</w:t>
            </w:r>
          </w:p>
          <w:p w14:paraId="1C5B09DE" w14:textId="472AC94F" w:rsidR="00EF1FFD" w:rsidRDefault="00EF1FFD" w:rsidP="00EF1FFD">
            <w:pPr>
              <w:pStyle w:val="ListParagraph"/>
              <w:numPr>
                <w:ilvl w:val="0"/>
                <w:numId w:val="9"/>
              </w:numPr>
              <w:tabs>
                <w:tab w:val="num" w:pos="720"/>
              </w:tabs>
            </w:pPr>
            <w:r>
              <w:t>Directions made by the Registrar</w:t>
            </w:r>
          </w:p>
          <w:p w14:paraId="3BA78A4A" w14:textId="56F1DF85" w:rsidR="00EF1FFD" w:rsidRDefault="00EF1FFD" w:rsidP="00EF1FFD">
            <w:pPr>
              <w:pStyle w:val="ListParagraph"/>
              <w:numPr>
                <w:ilvl w:val="0"/>
                <w:numId w:val="9"/>
              </w:numPr>
              <w:tabs>
                <w:tab w:val="num" w:pos="720"/>
              </w:tabs>
            </w:pPr>
            <w:r>
              <w:t>Adjudication Certificate</w:t>
            </w:r>
            <w:bookmarkEnd w:id="28"/>
            <w:bookmarkEnd w:id="29"/>
          </w:p>
          <w:p w14:paraId="1C1B15DC" w14:textId="4F79BAA2" w:rsidR="00EF1FFD" w:rsidRPr="002F2943" w:rsidRDefault="00EF1FFD" w:rsidP="00EF1FFD">
            <w:pPr>
              <w:pStyle w:val="ListParagraph"/>
              <w:numPr>
                <w:ilvl w:val="0"/>
                <w:numId w:val="9"/>
              </w:numPr>
              <w:tabs>
                <w:tab w:val="num" w:pos="720"/>
              </w:tabs>
            </w:pPr>
            <w:r>
              <w:t>Review of Decisions</w:t>
            </w:r>
          </w:p>
        </w:tc>
        <w:tc>
          <w:tcPr>
            <w:tcW w:w="663" w:type="pct"/>
          </w:tcPr>
          <w:p w14:paraId="56225397" w14:textId="089B79CA" w:rsidR="00EF1FFD" w:rsidRPr="002F2943" w:rsidRDefault="00EF1FFD" w:rsidP="00EF1FFD">
            <w:r>
              <w:rPr>
                <w:szCs w:val="22"/>
              </w:rPr>
              <w:t xml:space="preserve">12 </w:t>
            </w:r>
            <w:r w:rsidRPr="007D1B60">
              <w:rPr>
                <w:szCs w:val="22"/>
              </w:rPr>
              <w:t xml:space="preserve">years after </w:t>
            </w:r>
            <w:r>
              <w:rPr>
                <w:szCs w:val="22"/>
              </w:rPr>
              <w:t>business action completed.</w:t>
            </w:r>
          </w:p>
        </w:tc>
        <w:tc>
          <w:tcPr>
            <w:tcW w:w="570" w:type="pct"/>
          </w:tcPr>
          <w:p w14:paraId="7DEDB5CF" w14:textId="3C9CA206" w:rsidR="00EF1FFD" w:rsidRPr="005C2BC2" w:rsidRDefault="005C2BC2" w:rsidP="00EF1FFD">
            <w:pPr>
              <w:rPr>
                <w:szCs w:val="22"/>
              </w:rPr>
            </w:pPr>
            <w:r>
              <w:rPr>
                <w:szCs w:val="22"/>
              </w:rPr>
              <w:t>15 December 2023</w:t>
            </w:r>
          </w:p>
        </w:tc>
      </w:tr>
      <w:tr w:rsidR="00EF1FFD" w:rsidRPr="002F2943" w14:paraId="1B94046A" w14:textId="77777777" w:rsidTr="003735B4">
        <w:tblPrEx>
          <w:tblCellMar>
            <w:left w:w="108" w:type="dxa"/>
            <w:bottom w:w="0" w:type="dxa"/>
            <w:right w:w="108" w:type="dxa"/>
          </w:tblCellMar>
          <w:tblLook w:val="0000" w:firstRow="0" w:lastRow="0" w:firstColumn="0" w:lastColumn="0" w:noHBand="0" w:noVBand="0"/>
        </w:tblPrEx>
        <w:tc>
          <w:tcPr>
            <w:tcW w:w="5000" w:type="pct"/>
            <w:gridSpan w:val="4"/>
          </w:tcPr>
          <w:p w14:paraId="1A7CCC2D" w14:textId="743EB883" w:rsidR="00EF1FFD" w:rsidRPr="00D725BB" w:rsidRDefault="00EF1FFD" w:rsidP="00B03116">
            <w:pPr>
              <w:spacing w:line="276" w:lineRule="auto"/>
              <w:rPr>
                <w:b/>
              </w:rPr>
            </w:pPr>
            <w:r w:rsidRPr="00D725BB">
              <w:rPr>
                <w:b/>
              </w:rPr>
              <w:t xml:space="preserve">COMPLAINTS </w:t>
            </w:r>
            <w:r w:rsidR="005C2BC2">
              <w:rPr>
                <w:b/>
              </w:rPr>
              <w:t>–</w:t>
            </w:r>
            <w:r w:rsidRPr="00D725BB">
              <w:rPr>
                <w:b/>
              </w:rPr>
              <w:t xml:space="preserve"> ADJUDICATORS</w:t>
            </w:r>
            <w:r w:rsidR="005C2BC2">
              <w:rPr>
                <w:b/>
              </w:rPr>
              <w:t xml:space="preserve"> </w:t>
            </w:r>
          </w:p>
          <w:p w14:paraId="40B18DF9" w14:textId="28A9006E" w:rsidR="00EF1FFD" w:rsidRPr="00DF77EE" w:rsidRDefault="00EF1FFD" w:rsidP="00B03116">
            <w:pPr>
              <w:spacing w:line="276" w:lineRule="auto"/>
              <w:rPr>
                <w:i/>
              </w:rPr>
            </w:pPr>
            <w:r w:rsidRPr="00DF77EE">
              <w:rPr>
                <w:i/>
              </w:rPr>
              <w:t>The activities of assessing, investigating, and responding to complaints about the services provided by and/or actions of Adjudicators.</w:t>
            </w:r>
          </w:p>
          <w:p w14:paraId="647FF2D7" w14:textId="4FF88155" w:rsidR="00EF1FFD" w:rsidRPr="00A165D3" w:rsidRDefault="00EF1FFD" w:rsidP="00EF1FFD">
            <w:pPr>
              <w:rPr>
                <w:sz w:val="24"/>
              </w:rPr>
            </w:pPr>
            <w:r>
              <w:rPr>
                <w:i/>
              </w:rPr>
              <w:t xml:space="preserve">See </w:t>
            </w:r>
            <w:hyperlink r:id="rId24" w:history="1">
              <w:r w:rsidRPr="00DF77EE">
                <w:rPr>
                  <w:rStyle w:val="Hyperlink"/>
                  <w:i/>
                </w:rPr>
                <w:t>General Retention and Disposal Schedule</w:t>
              </w:r>
            </w:hyperlink>
            <w:r>
              <w:rPr>
                <w:i/>
              </w:rPr>
              <w:t xml:space="preserve"> for legacy complaints involving Authorised Nominating Authorities (ANAs). </w:t>
            </w:r>
          </w:p>
        </w:tc>
      </w:tr>
      <w:tr w:rsidR="00EF1FFD" w:rsidRPr="002F2943" w14:paraId="3779BCEB" w14:textId="77777777" w:rsidTr="003735B4">
        <w:tblPrEx>
          <w:tblCellMar>
            <w:left w:w="108" w:type="dxa"/>
            <w:bottom w:w="0" w:type="dxa"/>
            <w:right w:w="108" w:type="dxa"/>
          </w:tblCellMar>
          <w:tblLook w:val="0000" w:firstRow="0" w:lastRow="0" w:firstColumn="0" w:lastColumn="0" w:noHBand="0" w:noVBand="0"/>
        </w:tblPrEx>
        <w:tc>
          <w:tcPr>
            <w:tcW w:w="741" w:type="pct"/>
          </w:tcPr>
          <w:p w14:paraId="056B46DD" w14:textId="5F12FF29" w:rsidR="00EF1FFD" w:rsidRDefault="00EF1FFD" w:rsidP="00EF1FFD">
            <w:pPr>
              <w:rPr>
                <w:szCs w:val="22"/>
              </w:rPr>
            </w:pPr>
            <w:r>
              <w:rPr>
                <w:szCs w:val="22"/>
              </w:rPr>
              <w:t>2788</w:t>
            </w:r>
          </w:p>
        </w:tc>
        <w:tc>
          <w:tcPr>
            <w:tcW w:w="3026" w:type="pct"/>
          </w:tcPr>
          <w:p w14:paraId="6567B801" w14:textId="11CE766A" w:rsidR="00EF1FFD" w:rsidRPr="00D725BB" w:rsidRDefault="00EF1FFD" w:rsidP="00EF1FFD">
            <w:pPr>
              <w:rPr>
                <w:b/>
                <w:iCs/>
              </w:rPr>
            </w:pPr>
            <w:bookmarkStart w:id="30" w:name="_Hlk145484852"/>
            <w:r w:rsidRPr="00D725BB">
              <w:rPr>
                <w:b/>
                <w:iCs/>
              </w:rPr>
              <w:t>Complaint records</w:t>
            </w:r>
            <w:r>
              <w:rPr>
                <w:b/>
                <w:iCs/>
              </w:rPr>
              <w:t xml:space="preserve"> </w:t>
            </w:r>
            <w:r w:rsidR="005C2BC2">
              <w:rPr>
                <w:b/>
                <w:iCs/>
              </w:rPr>
              <w:t>–</w:t>
            </w:r>
            <w:r>
              <w:rPr>
                <w:b/>
                <w:iCs/>
              </w:rPr>
              <w:t xml:space="preserve"> Adjudicators</w:t>
            </w:r>
            <w:r w:rsidR="005C2BC2">
              <w:rPr>
                <w:b/>
                <w:iCs/>
              </w:rPr>
              <w:t xml:space="preserve"> </w:t>
            </w:r>
          </w:p>
          <w:p w14:paraId="42A9EA97" w14:textId="640C4C28" w:rsidR="00EF1FFD" w:rsidRDefault="00EF1FFD" w:rsidP="00EF1FFD">
            <w:pPr>
              <w:rPr>
                <w:iCs/>
              </w:rPr>
            </w:pPr>
            <w:r w:rsidRPr="00AD1288">
              <w:t>Records relating to complaints about service</w:t>
            </w:r>
            <w:r>
              <w:t xml:space="preserve">s </w:t>
            </w:r>
            <w:r w:rsidRPr="00AD1288">
              <w:t xml:space="preserve">and/or actions provided by an adjudicator registered under the </w:t>
            </w:r>
            <w:r w:rsidRPr="00B03116">
              <w:rPr>
                <w:rFonts w:cs="Arial"/>
                <w:i/>
                <w:iCs/>
                <w:szCs w:val="22"/>
              </w:rPr>
              <w:t>Building Industry Fairness (Security of Payment) Act 2017</w:t>
            </w:r>
            <w:r w:rsidRPr="00AD1288">
              <w:rPr>
                <w:iCs/>
              </w:rPr>
              <w:t>.</w:t>
            </w:r>
            <w:r>
              <w:rPr>
                <w:iCs/>
              </w:rPr>
              <w:t xml:space="preserve"> Includes matters that do not proceed, are withdrawn or discontinued.</w:t>
            </w:r>
          </w:p>
          <w:p w14:paraId="3EA6DAE7" w14:textId="0397FEC9" w:rsidR="00EF1FFD" w:rsidRDefault="00EF1FFD" w:rsidP="00EF1FFD">
            <w:pPr>
              <w:rPr>
                <w:iCs/>
              </w:rPr>
            </w:pPr>
            <w:r>
              <w:rPr>
                <w:iCs/>
              </w:rPr>
              <w:t xml:space="preserve">Records may include, but are not limited to: </w:t>
            </w:r>
          </w:p>
          <w:p w14:paraId="3B2A88D8" w14:textId="088DC5B1" w:rsidR="00EF1FFD" w:rsidRPr="005E1E28" w:rsidRDefault="00EF1FFD" w:rsidP="00EF1FFD">
            <w:pPr>
              <w:pStyle w:val="ListParagraph"/>
              <w:numPr>
                <w:ilvl w:val="0"/>
                <w:numId w:val="25"/>
              </w:numPr>
              <w:rPr>
                <w:iCs/>
              </w:rPr>
            </w:pPr>
            <w:r>
              <w:rPr>
                <w:iCs/>
              </w:rPr>
              <w:t>C</w:t>
            </w:r>
            <w:r w:rsidRPr="005E1E28">
              <w:rPr>
                <w:iCs/>
              </w:rPr>
              <w:t xml:space="preserve">omplaints </w:t>
            </w:r>
          </w:p>
          <w:p w14:paraId="69D08AA7" w14:textId="262B56C7" w:rsidR="00EF1FFD" w:rsidRPr="005E1E28" w:rsidRDefault="00EF1FFD" w:rsidP="00EF1FFD">
            <w:pPr>
              <w:pStyle w:val="ListParagraph"/>
              <w:numPr>
                <w:ilvl w:val="0"/>
                <w:numId w:val="25"/>
              </w:numPr>
              <w:rPr>
                <w:iCs/>
              </w:rPr>
            </w:pPr>
            <w:r>
              <w:rPr>
                <w:iCs/>
              </w:rPr>
              <w:t>A</w:t>
            </w:r>
            <w:r w:rsidRPr="005E1E28">
              <w:rPr>
                <w:iCs/>
              </w:rPr>
              <w:t>ssessment details</w:t>
            </w:r>
          </w:p>
          <w:p w14:paraId="00640DC0" w14:textId="6F59EF20" w:rsidR="00EF1FFD" w:rsidRPr="005E1E28" w:rsidRDefault="00EF1FFD" w:rsidP="00EF1FFD">
            <w:pPr>
              <w:pStyle w:val="ListParagraph"/>
              <w:numPr>
                <w:ilvl w:val="0"/>
                <w:numId w:val="25"/>
              </w:numPr>
              <w:rPr>
                <w:iCs/>
              </w:rPr>
            </w:pPr>
            <w:r>
              <w:rPr>
                <w:iCs/>
              </w:rPr>
              <w:t>D</w:t>
            </w:r>
            <w:r w:rsidRPr="005E1E28">
              <w:rPr>
                <w:iCs/>
              </w:rPr>
              <w:t>ecisions</w:t>
            </w:r>
          </w:p>
          <w:p w14:paraId="7F8A4993" w14:textId="1515BB38" w:rsidR="00EF1FFD" w:rsidRPr="00AD1288" w:rsidRDefault="00EF1FFD" w:rsidP="00010429">
            <w:pPr>
              <w:pStyle w:val="ListParagraph"/>
              <w:numPr>
                <w:ilvl w:val="0"/>
                <w:numId w:val="25"/>
              </w:numPr>
            </w:pPr>
            <w:r>
              <w:rPr>
                <w:iCs/>
              </w:rPr>
              <w:t>R</w:t>
            </w:r>
            <w:r w:rsidRPr="005E1E28">
              <w:rPr>
                <w:iCs/>
              </w:rPr>
              <w:t>eview of decisions</w:t>
            </w:r>
            <w:bookmarkEnd w:id="30"/>
          </w:p>
        </w:tc>
        <w:tc>
          <w:tcPr>
            <w:tcW w:w="663" w:type="pct"/>
          </w:tcPr>
          <w:p w14:paraId="77357C91" w14:textId="4F9BDD13" w:rsidR="00EF1FFD" w:rsidRDefault="00EF1FFD" w:rsidP="00EF1FFD">
            <w:pPr>
              <w:rPr>
                <w:szCs w:val="22"/>
              </w:rPr>
            </w:pPr>
            <w:r>
              <w:rPr>
                <w:szCs w:val="22"/>
              </w:rPr>
              <w:t xml:space="preserve">7 </w:t>
            </w:r>
            <w:r w:rsidRPr="007D1B60">
              <w:rPr>
                <w:szCs w:val="22"/>
              </w:rPr>
              <w:t xml:space="preserve">years after </w:t>
            </w:r>
            <w:r>
              <w:rPr>
                <w:szCs w:val="22"/>
              </w:rPr>
              <w:t>business action completed.</w:t>
            </w:r>
          </w:p>
        </w:tc>
        <w:tc>
          <w:tcPr>
            <w:tcW w:w="570" w:type="pct"/>
          </w:tcPr>
          <w:p w14:paraId="59F8C3BB" w14:textId="4FC35D1E" w:rsidR="00EF1FFD" w:rsidRPr="005C2BC2" w:rsidRDefault="005C2BC2" w:rsidP="00EF1FFD">
            <w:pPr>
              <w:rPr>
                <w:szCs w:val="22"/>
              </w:rPr>
            </w:pPr>
            <w:r>
              <w:rPr>
                <w:szCs w:val="22"/>
              </w:rPr>
              <w:t>15 December 2023</w:t>
            </w:r>
          </w:p>
        </w:tc>
      </w:tr>
    </w:tbl>
    <w:p w14:paraId="509A0752" w14:textId="2791A9CA" w:rsidR="002B1363" w:rsidRDefault="00B750EF" w:rsidP="00EE4C6A">
      <w:pPr>
        <w:pStyle w:val="Heading1"/>
        <w:rPr>
          <w:rStyle w:val="Heading2Char"/>
          <w:b/>
          <w:noProof/>
          <w:sz w:val="28"/>
          <w:szCs w:val="28"/>
          <w:lang w:eastAsia="en-AU"/>
        </w:rPr>
      </w:pPr>
      <w:r>
        <w:rPr>
          <w:rStyle w:val="Heading2Char"/>
          <w:b/>
          <w:noProof/>
          <w:sz w:val="28"/>
          <w:szCs w:val="28"/>
          <w:lang w:eastAsia="en-AU"/>
        </w:rPr>
        <w:lastRenderedPageBreak/>
        <w:fldChar w:fldCharType="begin">
          <w:ffData>
            <w:name w:val="Text52"/>
            <w:enabled/>
            <w:calcOnExit/>
            <w:textInput>
              <w:default w:val="4. PROJECT TRUST ACCOUNTS"/>
              <w:format w:val="UPPERCASE"/>
            </w:textInput>
          </w:ffData>
        </w:fldChar>
      </w:r>
      <w:bookmarkStart w:id="31" w:name="Text52"/>
      <w:r>
        <w:rPr>
          <w:rStyle w:val="Heading2Char"/>
          <w:b/>
          <w:noProof/>
          <w:sz w:val="28"/>
          <w:szCs w:val="28"/>
          <w:lang w:eastAsia="en-AU"/>
        </w:rPr>
        <w:instrText xml:space="preserve"> FORMTEXT </w:instrText>
      </w:r>
      <w:r>
        <w:rPr>
          <w:rStyle w:val="Heading2Char"/>
          <w:b/>
          <w:noProof/>
          <w:sz w:val="28"/>
          <w:szCs w:val="28"/>
          <w:lang w:eastAsia="en-AU"/>
        </w:rPr>
      </w:r>
      <w:r>
        <w:rPr>
          <w:rStyle w:val="Heading2Char"/>
          <w:b/>
          <w:noProof/>
          <w:sz w:val="28"/>
          <w:szCs w:val="28"/>
          <w:lang w:eastAsia="en-AU"/>
        </w:rPr>
        <w:fldChar w:fldCharType="separate"/>
      </w:r>
      <w:bookmarkStart w:id="32" w:name="_Toc139025780"/>
      <w:r>
        <w:rPr>
          <w:rStyle w:val="Heading2Char"/>
          <w:b/>
          <w:noProof/>
          <w:sz w:val="28"/>
          <w:szCs w:val="28"/>
          <w:lang w:eastAsia="en-AU"/>
        </w:rPr>
        <w:t>4. PROJECT TRUST ACCOUNTS</w:t>
      </w:r>
      <w:bookmarkEnd w:id="32"/>
      <w:r>
        <w:rPr>
          <w:rStyle w:val="Heading2Char"/>
          <w:b/>
          <w:noProof/>
          <w:sz w:val="28"/>
          <w:szCs w:val="28"/>
          <w:lang w:eastAsia="en-AU"/>
        </w:rPr>
        <w:fldChar w:fldCharType="end"/>
      </w:r>
      <w:bookmarkEnd w:id="31"/>
    </w:p>
    <w:p w14:paraId="5114FA7F" w14:textId="0EC72D84" w:rsidR="003A5F6E" w:rsidRDefault="009B2762" w:rsidP="002B1363">
      <w:pPr>
        <w:spacing w:before="120"/>
        <w:jc w:val="both"/>
        <w:rPr>
          <w:rFonts w:cs="Arial"/>
          <w:i/>
          <w:szCs w:val="22"/>
        </w:rPr>
      </w:pPr>
      <w:r w:rsidRPr="009B2762">
        <w:rPr>
          <w:rFonts w:cs="Arial"/>
          <w:i/>
          <w:szCs w:val="22"/>
        </w:rPr>
        <w:t xml:space="preserve">The </w:t>
      </w:r>
      <w:r>
        <w:rPr>
          <w:rFonts w:cs="Arial"/>
          <w:i/>
          <w:szCs w:val="22"/>
        </w:rPr>
        <w:t xml:space="preserve">function </w:t>
      </w:r>
      <w:r w:rsidRPr="009B2762">
        <w:rPr>
          <w:rFonts w:cs="Arial"/>
          <w:i/>
          <w:szCs w:val="22"/>
        </w:rPr>
        <w:t>of</w:t>
      </w:r>
      <w:r>
        <w:rPr>
          <w:rFonts w:cs="Arial"/>
          <w:i/>
          <w:szCs w:val="22"/>
        </w:rPr>
        <w:t xml:space="preserve"> </w:t>
      </w:r>
      <w:r w:rsidRPr="009B2762">
        <w:rPr>
          <w:rFonts w:cs="Arial"/>
          <w:i/>
          <w:szCs w:val="22"/>
        </w:rPr>
        <w:t xml:space="preserve">monitoring compliance </w:t>
      </w:r>
      <w:r w:rsidR="00B750EF">
        <w:rPr>
          <w:rFonts w:cs="Arial"/>
          <w:i/>
          <w:szCs w:val="22"/>
        </w:rPr>
        <w:t xml:space="preserve">with </w:t>
      </w:r>
      <w:r w:rsidRPr="009B2762">
        <w:rPr>
          <w:rFonts w:cs="Arial"/>
          <w:i/>
          <w:szCs w:val="22"/>
        </w:rPr>
        <w:t>proje</w:t>
      </w:r>
      <w:r w:rsidR="00B750EF">
        <w:rPr>
          <w:rFonts w:cs="Arial"/>
          <w:i/>
          <w:szCs w:val="22"/>
        </w:rPr>
        <w:t xml:space="preserve">ct and retention trust account obligations </w:t>
      </w:r>
      <w:r w:rsidRPr="009B2762">
        <w:rPr>
          <w:rFonts w:cs="Arial"/>
          <w:i/>
          <w:szCs w:val="22"/>
        </w:rPr>
        <w:t>which together aim</w:t>
      </w:r>
      <w:r w:rsidR="00B750EF">
        <w:rPr>
          <w:rFonts w:cs="Arial"/>
          <w:i/>
          <w:szCs w:val="22"/>
        </w:rPr>
        <w:t xml:space="preserve"> </w:t>
      </w:r>
      <w:r w:rsidR="000E73EA">
        <w:rPr>
          <w:rFonts w:cs="Arial"/>
          <w:i/>
          <w:szCs w:val="22"/>
        </w:rPr>
        <w:t xml:space="preserve">to </w:t>
      </w:r>
      <w:r w:rsidRPr="009B2762">
        <w:rPr>
          <w:rFonts w:cs="Arial"/>
          <w:i/>
          <w:szCs w:val="22"/>
        </w:rPr>
        <w:t xml:space="preserve">protect payments to sub-contractors and reduce contractor insolvencies. </w:t>
      </w:r>
    </w:p>
    <w:tbl>
      <w:tblPr>
        <w:tblW w:w="4999"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28" w:type="dxa"/>
          <w:right w:w="113" w:type="dxa"/>
        </w:tblCellMar>
        <w:tblLook w:val="01E0" w:firstRow="1" w:lastRow="1" w:firstColumn="1" w:lastColumn="1" w:noHBand="0" w:noVBand="0"/>
      </w:tblPr>
      <w:tblGrid>
        <w:gridCol w:w="2260"/>
        <w:gridCol w:w="9213"/>
        <w:gridCol w:w="1990"/>
        <w:gridCol w:w="1630"/>
        <w:gridCol w:w="30"/>
      </w:tblGrid>
      <w:tr w:rsidR="002B1363" w:rsidRPr="0042675D" w14:paraId="00657C88" w14:textId="77777777" w:rsidTr="00B03116">
        <w:tc>
          <w:tcPr>
            <w:tcW w:w="747" w:type="pct"/>
            <w:shd w:val="clear" w:color="auto" w:fill="FFFFFF"/>
          </w:tcPr>
          <w:p w14:paraId="23A4EDC6" w14:textId="77777777" w:rsidR="002B1363" w:rsidRPr="0042675D" w:rsidRDefault="002B1363" w:rsidP="00B32EB0">
            <w:pPr>
              <w:pStyle w:val="Tabletext"/>
              <w:spacing w:before="60" w:after="60"/>
              <w:jc w:val="center"/>
              <w:rPr>
                <w:b/>
              </w:rPr>
            </w:pPr>
            <w:r>
              <w:rPr>
                <w:b/>
              </w:rPr>
              <w:t>Disposal Authorisation</w:t>
            </w:r>
          </w:p>
        </w:tc>
        <w:tc>
          <w:tcPr>
            <w:tcW w:w="3046" w:type="pct"/>
            <w:shd w:val="clear" w:color="auto" w:fill="FFFFFF"/>
          </w:tcPr>
          <w:p w14:paraId="09427AF5" w14:textId="77777777" w:rsidR="002B1363" w:rsidRPr="0042675D" w:rsidRDefault="002B1363" w:rsidP="00B32EB0">
            <w:pPr>
              <w:pStyle w:val="Tabletext"/>
              <w:spacing w:before="60" w:after="60"/>
              <w:jc w:val="center"/>
              <w:rPr>
                <w:b/>
              </w:rPr>
            </w:pPr>
            <w:r w:rsidRPr="0042675D">
              <w:rPr>
                <w:b/>
              </w:rPr>
              <w:t>Description of records</w:t>
            </w:r>
          </w:p>
        </w:tc>
        <w:tc>
          <w:tcPr>
            <w:tcW w:w="658" w:type="pct"/>
            <w:shd w:val="clear" w:color="auto" w:fill="FFFFFF"/>
          </w:tcPr>
          <w:p w14:paraId="5673BB0E" w14:textId="77777777" w:rsidR="002B1363" w:rsidRPr="0042675D" w:rsidRDefault="002B1363" w:rsidP="00B32EB0">
            <w:pPr>
              <w:pStyle w:val="Tabletext"/>
              <w:spacing w:before="60" w:after="60"/>
              <w:jc w:val="center"/>
              <w:rPr>
                <w:b/>
              </w:rPr>
            </w:pPr>
            <w:r w:rsidRPr="0042675D">
              <w:rPr>
                <w:b/>
              </w:rPr>
              <w:t>Retention period &amp; trigger</w:t>
            </w:r>
          </w:p>
        </w:tc>
        <w:tc>
          <w:tcPr>
            <w:tcW w:w="549" w:type="pct"/>
            <w:gridSpan w:val="2"/>
            <w:shd w:val="clear" w:color="auto" w:fill="FFFFFF"/>
          </w:tcPr>
          <w:p w14:paraId="30DBEED0" w14:textId="77777777" w:rsidR="002B1363" w:rsidRPr="0042675D" w:rsidRDefault="002B1363" w:rsidP="00B32EB0">
            <w:pPr>
              <w:pStyle w:val="Tabletext"/>
              <w:spacing w:before="60" w:after="60"/>
              <w:jc w:val="center"/>
              <w:rPr>
                <w:b/>
              </w:rPr>
            </w:pPr>
            <w:r>
              <w:rPr>
                <w:b/>
              </w:rPr>
              <w:t>Date authorised</w:t>
            </w:r>
          </w:p>
        </w:tc>
      </w:tr>
      <w:tr w:rsidR="009B2762" w:rsidRPr="0042675D" w14:paraId="09F62EA1" w14:textId="77777777" w:rsidTr="00B03116">
        <w:trPr>
          <w:gridAfter w:val="1"/>
          <w:wAfter w:w="10" w:type="pct"/>
        </w:trPr>
        <w:tc>
          <w:tcPr>
            <w:tcW w:w="747" w:type="pct"/>
            <w:shd w:val="clear" w:color="auto" w:fill="FFFFFF"/>
          </w:tcPr>
          <w:p w14:paraId="50670E26" w14:textId="1468A706" w:rsidR="009B2762" w:rsidRPr="005C2BC2" w:rsidRDefault="00694091" w:rsidP="009B2762">
            <w:pPr>
              <w:pStyle w:val="Tabletext"/>
              <w:spacing w:before="60" w:after="60"/>
              <w:rPr>
                <w:sz w:val="22"/>
                <w:szCs w:val="22"/>
              </w:rPr>
            </w:pPr>
            <w:r w:rsidRPr="005C2BC2">
              <w:rPr>
                <w:sz w:val="22"/>
                <w:szCs w:val="22"/>
              </w:rPr>
              <w:t>2789</w:t>
            </w:r>
          </w:p>
        </w:tc>
        <w:tc>
          <w:tcPr>
            <w:tcW w:w="3046" w:type="pct"/>
            <w:shd w:val="clear" w:color="auto" w:fill="FFFFFF"/>
          </w:tcPr>
          <w:p w14:paraId="7AE45273" w14:textId="3A49070B" w:rsidR="009B2762" w:rsidRDefault="00403045" w:rsidP="009B2762">
            <w:pPr>
              <w:spacing w:line="276" w:lineRule="auto"/>
              <w:rPr>
                <w:b/>
              </w:rPr>
            </w:pPr>
            <w:r>
              <w:rPr>
                <w:b/>
              </w:rPr>
              <w:t xml:space="preserve">Management of </w:t>
            </w:r>
            <w:r w:rsidR="009B2762" w:rsidRPr="00697E6F">
              <w:rPr>
                <w:b/>
              </w:rPr>
              <w:t>T</w:t>
            </w:r>
            <w:r w:rsidR="009B2762">
              <w:rPr>
                <w:b/>
              </w:rPr>
              <w:t>rust</w:t>
            </w:r>
            <w:r w:rsidR="009B2762" w:rsidRPr="00697E6F">
              <w:rPr>
                <w:b/>
              </w:rPr>
              <w:t xml:space="preserve"> </w:t>
            </w:r>
            <w:r w:rsidR="009B2762">
              <w:rPr>
                <w:b/>
              </w:rPr>
              <w:t>Account</w:t>
            </w:r>
            <w:r w:rsidR="00892429">
              <w:rPr>
                <w:b/>
              </w:rPr>
              <w:t>s</w:t>
            </w:r>
            <w:r w:rsidR="009B2762">
              <w:rPr>
                <w:b/>
              </w:rPr>
              <w:t xml:space="preserve"> </w:t>
            </w:r>
          </w:p>
          <w:p w14:paraId="22DA8E7A" w14:textId="3FA59CDB" w:rsidR="009B2762" w:rsidRPr="007C16AC" w:rsidRDefault="009B2762" w:rsidP="003A5F6E">
            <w:pPr>
              <w:spacing w:line="276" w:lineRule="auto"/>
              <w:rPr>
                <w:rFonts w:cs="Arial"/>
                <w:i/>
                <w:szCs w:val="22"/>
              </w:rPr>
            </w:pPr>
            <w:r>
              <w:t xml:space="preserve">Records of </w:t>
            </w:r>
            <w:r w:rsidR="00B750EF">
              <w:t xml:space="preserve">notifications for </w:t>
            </w:r>
            <w:r>
              <w:t xml:space="preserve">Project or Retention Trust accounts (PTA / RTA) </w:t>
            </w:r>
            <w:r w:rsidR="00B750EF">
              <w:t xml:space="preserve">received </w:t>
            </w:r>
            <w:r>
              <w:t>in accordance with the</w:t>
            </w:r>
            <w:r w:rsidR="007C16AC">
              <w:t xml:space="preserve"> </w:t>
            </w:r>
            <w:r w:rsidR="007C16AC" w:rsidRPr="006F2223">
              <w:rPr>
                <w:rFonts w:cs="Arial"/>
                <w:i/>
                <w:szCs w:val="22"/>
              </w:rPr>
              <w:t xml:space="preserve">Building Industry Fairness (Security of Payment) Act </w:t>
            </w:r>
            <w:r w:rsidR="00555426" w:rsidRPr="006F2223">
              <w:rPr>
                <w:rFonts w:cs="Arial"/>
                <w:i/>
                <w:szCs w:val="22"/>
              </w:rPr>
              <w:t>2017</w:t>
            </w:r>
            <w:r w:rsidR="007C16AC">
              <w:rPr>
                <w:rFonts w:cs="Arial"/>
                <w:i/>
                <w:szCs w:val="22"/>
              </w:rPr>
              <w:t>.</w:t>
            </w:r>
          </w:p>
          <w:p w14:paraId="35989E4F" w14:textId="4B7AE851" w:rsidR="009B2762" w:rsidRDefault="004E018E" w:rsidP="003A5F6E">
            <w:pPr>
              <w:spacing w:line="276" w:lineRule="auto"/>
            </w:pPr>
            <w:r>
              <w:t>Records may include</w:t>
            </w:r>
            <w:r w:rsidR="009B2762" w:rsidRPr="002F2943">
              <w:t xml:space="preserve"> but are not limited to:</w:t>
            </w:r>
          </w:p>
          <w:p w14:paraId="3AFE1B2F" w14:textId="77777777" w:rsidR="009B2762" w:rsidRPr="00975EC6" w:rsidRDefault="009B2762" w:rsidP="008D19B9">
            <w:pPr>
              <w:pStyle w:val="ListParagraph"/>
              <w:numPr>
                <w:ilvl w:val="0"/>
                <w:numId w:val="10"/>
              </w:numPr>
              <w:spacing w:before="0" w:after="160" w:line="276" w:lineRule="auto"/>
              <w:rPr>
                <w:rFonts w:asciiTheme="minorHAnsi" w:hAnsiTheme="minorHAnsi" w:cstheme="minorHAnsi"/>
                <w:szCs w:val="22"/>
              </w:rPr>
            </w:pPr>
            <w:r w:rsidRPr="00975EC6">
              <w:rPr>
                <w:rFonts w:cstheme="minorHAnsi"/>
              </w:rPr>
              <w:t>Notice of Opening PTA or RTA</w:t>
            </w:r>
          </w:p>
          <w:p w14:paraId="4165B5C9" w14:textId="77777777" w:rsidR="009B2762" w:rsidRPr="00975EC6" w:rsidRDefault="009B2762" w:rsidP="008D19B9">
            <w:pPr>
              <w:pStyle w:val="ListParagraph"/>
              <w:numPr>
                <w:ilvl w:val="0"/>
                <w:numId w:val="10"/>
              </w:numPr>
              <w:spacing w:before="0" w:after="160" w:line="256" w:lineRule="auto"/>
              <w:rPr>
                <w:rFonts w:cstheme="minorHAnsi"/>
              </w:rPr>
            </w:pPr>
            <w:r w:rsidRPr="00975EC6">
              <w:rPr>
                <w:rFonts w:cstheme="minorHAnsi"/>
              </w:rPr>
              <w:t>Notice of Trust Account Changing or Closing</w:t>
            </w:r>
          </w:p>
          <w:p w14:paraId="75FBC672" w14:textId="77777777" w:rsidR="009B2762" w:rsidRPr="00975EC6" w:rsidRDefault="009B2762" w:rsidP="008D19B9">
            <w:pPr>
              <w:pStyle w:val="ListParagraph"/>
              <w:numPr>
                <w:ilvl w:val="0"/>
                <w:numId w:val="10"/>
              </w:numPr>
              <w:spacing w:before="0" w:after="160" w:line="256" w:lineRule="auto"/>
              <w:rPr>
                <w:rFonts w:cstheme="minorHAnsi"/>
              </w:rPr>
            </w:pPr>
            <w:r w:rsidRPr="00975EC6">
              <w:rPr>
                <w:rFonts w:cstheme="minorHAnsi"/>
              </w:rPr>
              <w:t>Notice of Related Entities</w:t>
            </w:r>
          </w:p>
          <w:p w14:paraId="3E1C213A" w14:textId="77777777" w:rsidR="009B2762" w:rsidRPr="000532C3" w:rsidRDefault="009B2762" w:rsidP="008D19B9">
            <w:pPr>
              <w:pStyle w:val="ListParagraph"/>
              <w:numPr>
                <w:ilvl w:val="0"/>
                <w:numId w:val="10"/>
              </w:numPr>
              <w:spacing w:before="0" w:after="160" w:line="256" w:lineRule="auto"/>
              <w:rPr>
                <w:szCs w:val="22"/>
              </w:rPr>
            </w:pPr>
            <w:r w:rsidRPr="00975EC6">
              <w:rPr>
                <w:rFonts w:cstheme="minorHAnsi"/>
              </w:rPr>
              <w:t>Notice of Insufficient Payment Amount</w:t>
            </w:r>
          </w:p>
          <w:p w14:paraId="5A30A155" w14:textId="77777777" w:rsidR="009C4F22" w:rsidRPr="00366FC4" w:rsidRDefault="0057708C" w:rsidP="008D19B9">
            <w:pPr>
              <w:pStyle w:val="ListParagraph"/>
              <w:numPr>
                <w:ilvl w:val="0"/>
                <w:numId w:val="10"/>
              </w:numPr>
              <w:spacing w:before="0" w:after="160" w:line="256" w:lineRule="auto"/>
              <w:rPr>
                <w:szCs w:val="22"/>
              </w:rPr>
            </w:pPr>
            <w:r w:rsidRPr="0057708C">
              <w:rPr>
                <w:rFonts w:cstheme="minorHAnsi"/>
              </w:rPr>
              <w:t xml:space="preserve">Charge </w:t>
            </w:r>
            <w:r w:rsidR="004C3FCF">
              <w:rPr>
                <w:rFonts w:cstheme="minorHAnsi"/>
              </w:rPr>
              <w:t>O</w:t>
            </w:r>
            <w:r w:rsidRPr="0057708C">
              <w:rPr>
                <w:rFonts w:cstheme="minorHAnsi"/>
              </w:rPr>
              <w:t>ver Property Reports</w:t>
            </w:r>
          </w:p>
          <w:p w14:paraId="1F742BDC" w14:textId="3A4AF136" w:rsidR="00366FC4" w:rsidRPr="00892429" w:rsidRDefault="00366FC4" w:rsidP="008D19B9">
            <w:pPr>
              <w:pStyle w:val="ListParagraph"/>
              <w:numPr>
                <w:ilvl w:val="0"/>
                <w:numId w:val="10"/>
              </w:numPr>
              <w:spacing w:before="0" w:after="160" w:line="256" w:lineRule="auto"/>
              <w:rPr>
                <w:szCs w:val="22"/>
              </w:rPr>
            </w:pPr>
            <w:r>
              <w:rPr>
                <w:rFonts w:cstheme="minorHAnsi"/>
              </w:rPr>
              <w:t xml:space="preserve">Compulsory Continuing Professional Development </w:t>
            </w:r>
            <w:r w:rsidR="008D4780">
              <w:rPr>
                <w:rFonts w:cstheme="minorHAnsi"/>
              </w:rPr>
              <w:t xml:space="preserve">(CCPD) </w:t>
            </w:r>
            <w:r>
              <w:rPr>
                <w:rFonts w:cstheme="minorHAnsi"/>
              </w:rPr>
              <w:t xml:space="preserve">and all associated </w:t>
            </w:r>
            <w:r w:rsidR="00027D29">
              <w:rPr>
                <w:rFonts w:cstheme="minorHAnsi"/>
              </w:rPr>
              <w:t xml:space="preserve">CPD </w:t>
            </w:r>
            <w:r>
              <w:rPr>
                <w:rFonts w:cstheme="minorHAnsi"/>
              </w:rPr>
              <w:t>training activities</w:t>
            </w:r>
            <w:r w:rsidR="008D4780">
              <w:rPr>
                <w:rFonts w:cstheme="minorHAnsi"/>
              </w:rPr>
              <w:t>, results, status reports and updates.</w:t>
            </w:r>
          </w:p>
          <w:p w14:paraId="68146DBF" w14:textId="72C31D03" w:rsidR="00892429" w:rsidRPr="00892429" w:rsidRDefault="00892429" w:rsidP="008D19B9">
            <w:pPr>
              <w:pStyle w:val="ListParagraph"/>
              <w:numPr>
                <w:ilvl w:val="0"/>
                <w:numId w:val="10"/>
              </w:numPr>
              <w:spacing w:before="0" w:after="160" w:line="256" w:lineRule="auto"/>
              <w:rPr>
                <w:bCs/>
                <w:szCs w:val="22"/>
              </w:rPr>
            </w:pPr>
            <w:r w:rsidRPr="00892429">
              <w:rPr>
                <w:bCs/>
              </w:rPr>
              <w:t>Compliance, Notifications and Reporting</w:t>
            </w:r>
          </w:p>
          <w:p w14:paraId="4E94DD55" w14:textId="77777777" w:rsidR="00892429" w:rsidRPr="00892429" w:rsidRDefault="00892429" w:rsidP="008D19B9">
            <w:pPr>
              <w:pStyle w:val="ListParagraph"/>
              <w:numPr>
                <w:ilvl w:val="0"/>
                <w:numId w:val="10"/>
              </w:numPr>
              <w:spacing w:before="0" w:after="160" w:line="256" w:lineRule="auto"/>
              <w:rPr>
                <w:szCs w:val="22"/>
              </w:rPr>
            </w:pPr>
            <w:r>
              <w:rPr>
                <w:rFonts w:cstheme="minorHAnsi"/>
              </w:rPr>
              <w:t>Trust Account Register</w:t>
            </w:r>
          </w:p>
          <w:p w14:paraId="38543ED2" w14:textId="77777777" w:rsidR="00892429" w:rsidRPr="00892429" w:rsidRDefault="00892429" w:rsidP="008D19B9">
            <w:pPr>
              <w:pStyle w:val="ListParagraph"/>
              <w:numPr>
                <w:ilvl w:val="0"/>
                <w:numId w:val="10"/>
              </w:numPr>
              <w:spacing w:before="0" w:after="160" w:line="256" w:lineRule="auto"/>
              <w:rPr>
                <w:szCs w:val="22"/>
              </w:rPr>
            </w:pPr>
            <w:r>
              <w:rPr>
                <w:rFonts w:cstheme="minorHAnsi"/>
              </w:rPr>
              <w:t>Audit of Trust Accounts</w:t>
            </w:r>
          </w:p>
          <w:p w14:paraId="5BEEDE0A" w14:textId="0C232F70" w:rsidR="004F6679" w:rsidRPr="009C4F22" w:rsidRDefault="00892429" w:rsidP="001C6E39">
            <w:pPr>
              <w:pStyle w:val="ListParagraph"/>
              <w:numPr>
                <w:ilvl w:val="0"/>
                <w:numId w:val="10"/>
              </w:numPr>
              <w:spacing w:before="0" w:after="160" w:line="256" w:lineRule="auto"/>
              <w:rPr>
                <w:szCs w:val="22"/>
              </w:rPr>
            </w:pPr>
            <w:r>
              <w:rPr>
                <w:rFonts w:cstheme="minorHAnsi"/>
              </w:rPr>
              <w:t>Trust Account Complaints</w:t>
            </w:r>
          </w:p>
        </w:tc>
        <w:tc>
          <w:tcPr>
            <w:tcW w:w="658" w:type="pct"/>
            <w:shd w:val="clear" w:color="auto" w:fill="FFFFFF"/>
          </w:tcPr>
          <w:p w14:paraId="75C9047D" w14:textId="297CFF90" w:rsidR="009B2762" w:rsidRPr="00A14F5D" w:rsidRDefault="009B2762" w:rsidP="009B2762">
            <w:pPr>
              <w:pStyle w:val="Tabletext"/>
              <w:spacing w:before="60" w:after="60"/>
              <w:rPr>
                <w:rFonts w:cs="Arial"/>
                <w:sz w:val="22"/>
                <w:szCs w:val="22"/>
              </w:rPr>
            </w:pPr>
            <w:r>
              <w:rPr>
                <w:rFonts w:cs="Arial"/>
                <w:sz w:val="22"/>
                <w:szCs w:val="22"/>
              </w:rPr>
              <w:t>7</w:t>
            </w:r>
            <w:r w:rsidRPr="002F2943">
              <w:rPr>
                <w:rFonts w:cs="Arial"/>
                <w:sz w:val="22"/>
                <w:szCs w:val="22"/>
              </w:rPr>
              <w:t xml:space="preserve"> years after </w:t>
            </w:r>
            <w:r w:rsidR="008B588A">
              <w:rPr>
                <w:rFonts w:cs="Arial"/>
                <w:sz w:val="22"/>
                <w:szCs w:val="22"/>
              </w:rPr>
              <w:t>business action completed</w:t>
            </w:r>
            <w:r w:rsidR="008430EE">
              <w:rPr>
                <w:rFonts w:cs="Arial"/>
                <w:sz w:val="22"/>
                <w:szCs w:val="22"/>
              </w:rPr>
              <w:t>.</w:t>
            </w:r>
          </w:p>
        </w:tc>
        <w:tc>
          <w:tcPr>
            <w:tcW w:w="539" w:type="pct"/>
            <w:shd w:val="clear" w:color="auto" w:fill="FFFFFF"/>
          </w:tcPr>
          <w:p w14:paraId="3BBE2DF7" w14:textId="70D2D12D" w:rsidR="009B2762" w:rsidRPr="005C2BC2" w:rsidRDefault="00AC6F95" w:rsidP="009B2762">
            <w:pPr>
              <w:pStyle w:val="Tabletext"/>
              <w:spacing w:before="60" w:after="60"/>
              <w:rPr>
                <w:sz w:val="22"/>
                <w:szCs w:val="22"/>
              </w:rPr>
            </w:pPr>
            <w:r>
              <w:rPr>
                <w:sz w:val="22"/>
                <w:szCs w:val="22"/>
              </w:rPr>
              <w:t>15 December 2023</w:t>
            </w:r>
          </w:p>
        </w:tc>
      </w:tr>
    </w:tbl>
    <w:p w14:paraId="06EA68AA" w14:textId="77777777" w:rsidR="004F6679" w:rsidRDefault="004F6679">
      <w:pPr>
        <w:spacing w:before="0" w:after="0"/>
        <w:rPr>
          <w:rStyle w:val="Heading2Char"/>
          <w:rFonts w:cs="Arial"/>
          <w:bCs/>
          <w:noProof/>
          <w:sz w:val="28"/>
          <w:szCs w:val="28"/>
          <w:lang w:eastAsia="en-AU"/>
        </w:rPr>
      </w:pPr>
      <w:r>
        <w:rPr>
          <w:rStyle w:val="Heading2Char"/>
          <w:b w:val="0"/>
          <w:noProof/>
          <w:sz w:val="28"/>
          <w:szCs w:val="28"/>
          <w:lang w:eastAsia="en-AU"/>
        </w:rPr>
        <w:br w:type="page"/>
      </w:r>
    </w:p>
    <w:p w14:paraId="686CAC5A" w14:textId="212C3904" w:rsidR="00345E1B" w:rsidRDefault="004E56BE" w:rsidP="008F3DDA">
      <w:pPr>
        <w:pStyle w:val="Heading1"/>
        <w:rPr>
          <w:rStyle w:val="Heading2Char"/>
          <w:b/>
          <w:noProof/>
          <w:sz w:val="28"/>
          <w:szCs w:val="28"/>
          <w:lang w:eastAsia="en-AU"/>
        </w:rPr>
      </w:pPr>
      <w:r>
        <w:rPr>
          <w:rStyle w:val="Heading2Char"/>
          <w:b/>
          <w:noProof/>
          <w:sz w:val="28"/>
          <w:szCs w:val="28"/>
          <w:lang w:eastAsia="en-AU"/>
        </w:rPr>
        <w:lastRenderedPageBreak/>
        <w:fldChar w:fldCharType="begin">
          <w:ffData>
            <w:name w:val="Text5"/>
            <w:enabled/>
            <w:calcOnExit/>
            <w:textInput>
              <w:default w:val="5. SAFER BUILDINGS"/>
              <w:format w:val="UPPERCASE"/>
            </w:textInput>
          </w:ffData>
        </w:fldChar>
      </w:r>
      <w:bookmarkStart w:id="33" w:name="Text5"/>
      <w:r w:rsidRPr="008F3DDA">
        <w:rPr>
          <w:rStyle w:val="Heading2Char"/>
          <w:b/>
          <w:noProof/>
          <w:sz w:val="28"/>
          <w:szCs w:val="28"/>
          <w:lang w:eastAsia="en-AU"/>
        </w:rPr>
        <w:instrText xml:space="preserve"> FORMTEXT </w:instrText>
      </w:r>
      <w:r>
        <w:rPr>
          <w:rStyle w:val="Heading2Char"/>
          <w:b/>
          <w:noProof/>
          <w:sz w:val="28"/>
          <w:szCs w:val="28"/>
          <w:lang w:eastAsia="en-AU"/>
        </w:rPr>
      </w:r>
      <w:r>
        <w:rPr>
          <w:rStyle w:val="Heading2Char"/>
          <w:b/>
          <w:noProof/>
          <w:sz w:val="28"/>
          <w:szCs w:val="28"/>
          <w:lang w:eastAsia="en-AU"/>
        </w:rPr>
        <w:fldChar w:fldCharType="separate"/>
      </w:r>
      <w:bookmarkStart w:id="34" w:name="_Toc139025781"/>
      <w:r w:rsidRPr="008F3DDA">
        <w:rPr>
          <w:rStyle w:val="Heading2Char"/>
          <w:b/>
          <w:noProof/>
          <w:sz w:val="28"/>
          <w:szCs w:val="28"/>
          <w:lang w:eastAsia="en-AU"/>
        </w:rPr>
        <w:t>5. SAFER BUILDINGS</w:t>
      </w:r>
      <w:bookmarkEnd w:id="34"/>
      <w:r>
        <w:rPr>
          <w:rStyle w:val="Heading2Char"/>
          <w:b/>
          <w:noProof/>
          <w:sz w:val="28"/>
          <w:szCs w:val="28"/>
          <w:lang w:eastAsia="en-AU"/>
        </w:rPr>
        <w:fldChar w:fldCharType="end"/>
      </w:r>
      <w:bookmarkEnd w:id="33"/>
    </w:p>
    <w:p w14:paraId="3D22E305" w14:textId="2CF857F5" w:rsidR="00345E1B" w:rsidRDefault="00345E1B" w:rsidP="00345E1B">
      <w:pPr>
        <w:pStyle w:val="Tableheadings"/>
        <w:tabs>
          <w:tab w:val="left" w:pos="284"/>
        </w:tabs>
        <w:jc w:val="left"/>
        <w:rPr>
          <w:rFonts w:cs="Arial"/>
          <w:b w:val="0"/>
          <w:i/>
          <w:sz w:val="22"/>
          <w:szCs w:val="22"/>
        </w:rPr>
      </w:pPr>
      <w:r w:rsidRPr="002E52A6">
        <w:rPr>
          <w:rFonts w:cs="Arial"/>
          <w:b w:val="0"/>
          <w:i/>
          <w:sz w:val="22"/>
          <w:szCs w:val="22"/>
        </w:rPr>
        <w:t xml:space="preserve">The function of monitoring and enforcing compliance with the use and application of combustible cladding in accordance with </w:t>
      </w:r>
      <w:r w:rsidR="00EC747F" w:rsidRPr="002E52A6">
        <w:rPr>
          <w:rFonts w:cs="Arial"/>
          <w:b w:val="0"/>
          <w:i/>
          <w:sz w:val="22"/>
          <w:szCs w:val="22"/>
        </w:rPr>
        <w:t>the Building Act 1975,</w:t>
      </w:r>
      <w:r w:rsidR="00EC747F">
        <w:rPr>
          <w:rFonts w:cs="Arial"/>
          <w:i/>
          <w:szCs w:val="22"/>
        </w:rPr>
        <w:t xml:space="preserve"> </w:t>
      </w:r>
      <w:r w:rsidR="003004F9">
        <w:rPr>
          <w:rFonts w:cs="Arial"/>
          <w:i/>
          <w:szCs w:val="22"/>
        </w:rPr>
        <w:t xml:space="preserve">the </w:t>
      </w:r>
      <w:r w:rsidRPr="002E52A6">
        <w:rPr>
          <w:rFonts w:cs="Arial"/>
          <w:b w:val="0"/>
          <w:i/>
          <w:sz w:val="22"/>
          <w:szCs w:val="22"/>
        </w:rPr>
        <w:t>Building Regulation</w:t>
      </w:r>
      <w:r w:rsidR="00CA49DE" w:rsidRPr="002E52A6">
        <w:rPr>
          <w:rFonts w:cs="Arial"/>
          <w:b w:val="0"/>
          <w:i/>
          <w:sz w:val="22"/>
          <w:szCs w:val="22"/>
        </w:rPr>
        <w:t xml:space="preserve"> </w:t>
      </w:r>
      <w:r w:rsidRPr="002E52A6">
        <w:rPr>
          <w:rFonts w:cs="Arial"/>
          <w:b w:val="0"/>
          <w:i/>
          <w:sz w:val="22"/>
          <w:szCs w:val="22"/>
        </w:rPr>
        <w:t>20</w:t>
      </w:r>
      <w:r w:rsidR="00721FD2">
        <w:rPr>
          <w:rFonts w:cs="Arial"/>
          <w:b w:val="0"/>
          <w:i/>
          <w:sz w:val="22"/>
          <w:szCs w:val="22"/>
        </w:rPr>
        <w:t>21</w:t>
      </w:r>
      <w:r w:rsidR="00904D11">
        <w:rPr>
          <w:rFonts w:cs="Arial"/>
          <w:b w:val="0"/>
          <w:i/>
          <w:sz w:val="22"/>
          <w:szCs w:val="22"/>
        </w:rPr>
        <w:t xml:space="preserve"> and</w:t>
      </w:r>
      <w:r w:rsidR="003004F9">
        <w:rPr>
          <w:rFonts w:cs="Arial"/>
          <w:b w:val="0"/>
          <w:i/>
          <w:sz w:val="22"/>
          <w:szCs w:val="22"/>
        </w:rPr>
        <w:t xml:space="preserve"> the</w:t>
      </w:r>
      <w:r w:rsidR="00904D11">
        <w:rPr>
          <w:rFonts w:cs="Arial"/>
          <w:b w:val="0"/>
          <w:i/>
          <w:sz w:val="22"/>
          <w:szCs w:val="22"/>
        </w:rPr>
        <w:t xml:space="preserve"> Building and Other Legislation (Cladding) Amendment Regulation 2018. </w:t>
      </w:r>
      <w:r w:rsidRPr="002E52A6">
        <w:rPr>
          <w:rFonts w:cs="Arial"/>
          <w:b w:val="0"/>
          <w:i/>
          <w:sz w:val="22"/>
          <w:szCs w:val="22"/>
        </w:rPr>
        <w:t xml:space="preserve">Includes registration of </w:t>
      </w:r>
      <w:r w:rsidR="003163D5" w:rsidRPr="002E52A6">
        <w:rPr>
          <w:rFonts w:cs="Arial"/>
          <w:b w:val="0"/>
          <w:i/>
          <w:sz w:val="22"/>
          <w:szCs w:val="22"/>
        </w:rPr>
        <w:t xml:space="preserve">affected </w:t>
      </w:r>
      <w:r w:rsidRPr="002E52A6">
        <w:rPr>
          <w:rFonts w:cs="Arial"/>
          <w:b w:val="0"/>
          <w:i/>
          <w:sz w:val="22"/>
          <w:szCs w:val="22"/>
        </w:rPr>
        <w:t xml:space="preserve">private buildings and lodging of </w:t>
      </w:r>
      <w:r w:rsidR="00CA49DE" w:rsidRPr="002E52A6">
        <w:rPr>
          <w:rFonts w:cs="Arial"/>
          <w:b w:val="0"/>
          <w:i/>
          <w:sz w:val="22"/>
          <w:szCs w:val="22"/>
        </w:rPr>
        <w:t xml:space="preserve">the </w:t>
      </w:r>
      <w:r w:rsidRPr="002E52A6">
        <w:rPr>
          <w:rFonts w:cs="Arial"/>
          <w:b w:val="0"/>
          <w:i/>
          <w:sz w:val="22"/>
          <w:szCs w:val="22"/>
        </w:rPr>
        <w:t>combustible cladding checklist.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28" w:type="dxa"/>
          <w:right w:w="113" w:type="dxa"/>
        </w:tblCellMar>
        <w:tblLook w:val="01E0" w:firstRow="1" w:lastRow="1" w:firstColumn="1" w:lastColumn="1" w:noHBand="0" w:noVBand="0"/>
      </w:tblPr>
      <w:tblGrid>
        <w:gridCol w:w="1526"/>
        <w:gridCol w:w="9214"/>
        <w:gridCol w:w="2727"/>
        <w:gridCol w:w="1665"/>
      </w:tblGrid>
      <w:tr w:rsidR="00EA64A1" w:rsidRPr="0042675D" w14:paraId="49C34C60" w14:textId="77777777" w:rsidTr="00010429">
        <w:trPr>
          <w:tblHeader/>
        </w:trPr>
        <w:tc>
          <w:tcPr>
            <w:tcW w:w="504" w:type="pct"/>
            <w:shd w:val="clear" w:color="auto" w:fill="FFFFFF"/>
          </w:tcPr>
          <w:p w14:paraId="334B6B6A" w14:textId="77777777" w:rsidR="00EA64A1" w:rsidRPr="0042675D" w:rsidRDefault="00EA64A1" w:rsidP="0068034C">
            <w:pPr>
              <w:pStyle w:val="Tabletext"/>
              <w:spacing w:before="60" w:after="60"/>
              <w:jc w:val="center"/>
              <w:rPr>
                <w:b/>
              </w:rPr>
            </w:pPr>
            <w:r>
              <w:rPr>
                <w:b/>
              </w:rPr>
              <w:t>Disposal Authorisation</w:t>
            </w:r>
          </w:p>
        </w:tc>
        <w:tc>
          <w:tcPr>
            <w:tcW w:w="3045" w:type="pct"/>
            <w:shd w:val="clear" w:color="auto" w:fill="FFFFFF"/>
          </w:tcPr>
          <w:p w14:paraId="6F648F81" w14:textId="77777777" w:rsidR="00EA64A1" w:rsidRPr="0042675D" w:rsidRDefault="00EA64A1" w:rsidP="0068034C">
            <w:pPr>
              <w:pStyle w:val="Tabletext"/>
              <w:spacing w:before="60" w:after="60"/>
              <w:jc w:val="center"/>
              <w:rPr>
                <w:b/>
              </w:rPr>
            </w:pPr>
            <w:r w:rsidRPr="0042675D">
              <w:rPr>
                <w:b/>
              </w:rPr>
              <w:t>Description of records</w:t>
            </w:r>
          </w:p>
        </w:tc>
        <w:tc>
          <w:tcPr>
            <w:tcW w:w="901" w:type="pct"/>
            <w:shd w:val="clear" w:color="auto" w:fill="FFFFFF"/>
          </w:tcPr>
          <w:p w14:paraId="7FE24B6F" w14:textId="77777777" w:rsidR="00EA64A1" w:rsidRPr="0042675D" w:rsidRDefault="00EA64A1" w:rsidP="0068034C">
            <w:pPr>
              <w:pStyle w:val="Tabletext"/>
              <w:spacing w:before="60" w:after="60"/>
              <w:jc w:val="center"/>
              <w:rPr>
                <w:b/>
              </w:rPr>
            </w:pPr>
            <w:r w:rsidRPr="0042675D">
              <w:rPr>
                <w:b/>
              </w:rPr>
              <w:t>Retention period &amp; trigger</w:t>
            </w:r>
          </w:p>
        </w:tc>
        <w:tc>
          <w:tcPr>
            <w:tcW w:w="550" w:type="pct"/>
            <w:shd w:val="clear" w:color="auto" w:fill="FFFFFF"/>
          </w:tcPr>
          <w:p w14:paraId="2774E008" w14:textId="77777777" w:rsidR="00EA64A1" w:rsidRPr="0042675D" w:rsidRDefault="00EA64A1" w:rsidP="0068034C">
            <w:pPr>
              <w:pStyle w:val="Tabletext"/>
              <w:spacing w:before="60" w:after="60"/>
              <w:jc w:val="center"/>
              <w:rPr>
                <w:b/>
              </w:rPr>
            </w:pPr>
            <w:r>
              <w:rPr>
                <w:b/>
              </w:rPr>
              <w:t>Date authorised</w:t>
            </w:r>
          </w:p>
        </w:tc>
      </w:tr>
      <w:tr w:rsidR="00EA64A1" w:rsidRPr="00A165D3" w14:paraId="3C8D3736" w14:textId="77777777" w:rsidTr="00B03116">
        <w:tc>
          <w:tcPr>
            <w:tcW w:w="504" w:type="pct"/>
            <w:shd w:val="clear" w:color="auto" w:fill="FFFFFF"/>
          </w:tcPr>
          <w:p w14:paraId="6FD9A52E" w14:textId="5FF9540F" w:rsidR="0068034C" w:rsidRPr="00D86161" w:rsidRDefault="00E5553A" w:rsidP="0068034C">
            <w:pPr>
              <w:pStyle w:val="Tabletext"/>
              <w:spacing w:before="60" w:after="60"/>
              <w:rPr>
                <w:sz w:val="22"/>
                <w:szCs w:val="22"/>
              </w:rPr>
            </w:pPr>
            <w:r>
              <w:rPr>
                <w:sz w:val="22"/>
                <w:szCs w:val="22"/>
              </w:rPr>
              <w:t>2790</w:t>
            </w:r>
          </w:p>
        </w:tc>
        <w:tc>
          <w:tcPr>
            <w:tcW w:w="3045" w:type="pct"/>
            <w:shd w:val="clear" w:color="auto" w:fill="FFFFFF"/>
          </w:tcPr>
          <w:p w14:paraId="301DDE82" w14:textId="6FCC75C8" w:rsidR="00EA64A1" w:rsidRPr="00454060" w:rsidRDefault="0068034C" w:rsidP="00B03116">
            <w:pPr>
              <w:rPr>
                <w:rFonts w:cs="Arial"/>
                <w:b/>
                <w:iCs/>
                <w:szCs w:val="22"/>
              </w:rPr>
            </w:pPr>
            <w:bookmarkStart w:id="35" w:name="BuildingRegistration"/>
            <w:r w:rsidRPr="00454060">
              <w:rPr>
                <w:rFonts w:cs="Arial"/>
                <w:b/>
                <w:iCs/>
                <w:szCs w:val="22"/>
              </w:rPr>
              <w:t xml:space="preserve">Building </w:t>
            </w:r>
            <w:r w:rsidR="00EA64A1" w:rsidRPr="00454060">
              <w:rPr>
                <w:rFonts w:cs="Arial"/>
                <w:b/>
                <w:iCs/>
                <w:szCs w:val="22"/>
              </w:rPr>
              <w:t>Registration</w:t>
            </w:r>
          </w:p>
          <w:bookmarkEnd w:id="35"/>
          <w:p w14:paraId="6ACA51BF" w14:textId="77777777" w:rsidR="00904D11" w:rsidRDefault="00EA64A1" w:rsidP="00B03116">
            <w:pPr>
              <w:rPr>
                <w:rFonts w:cs="Arial"/>
                <w:szCs w:val="22"/>
              </w:rPr>
            </w:pPr>
            <w:r>
              <w:rPr>
                <w:rFonts w:cs="Arial"/>
                <w:szCs w:val="22"/>
              </w:rPr>
              <w:t>Records relating to</w:t>
            </w:r>
            <w:r w:rsidR="00CA49DE">
              <w:rPr>
                <w:rFonts w:cs="Arial"/>
                <w:szCs w:val="22"/>
              </w:rPr>
              <w:t xml:space="preserve"> </w:t>
            </w:r>
            <w:r w:rsidR="003163D5">
              <w:rPr>
                <w:rFonts w:cs="Arial"/>
                <w:szCs w:val="22"/>
              </w:rPr>
              <w:t xml:space="preserve">submitting completed combustible cladding </w:t>
            </w:r>
            <w:r w:rsidR="0068034C">
              <w:rPr>
                <w:rFonts w:cs="Arial"/>
                <w:szCs w:val="22"/>
              </w:rPr>
              <w:t xml:space="preserve">checklists </w:t>
            </w:r>
            <w:r w:rsidR="003163D5">
              <w:rPr>
                <w:rFonts w:cs="Arial"/>
                <w:szCs w:val="22"/>
              </w:rPr>
              <w:t xml:space="preserve">for </w:t>
            </w:r>
            <w:r w:rsidR="000D2D23">
              <w:rPr>
                <w:rFonts w:cs="Arial"/>
                <w:szCs w:val="22"/>
              </w:rPr>
              <w:t>a</w:t>
            </w:r>
            <w:r w:rsidR="003163D5">
              <w:rPr>
                <w:rFonts w:cs="Arial"/>
                <w:szCs w:val="22"/>
              </w:rPr>
              <w:t>ffected private buildings</w:t>
            </w:r>
            <w:r w:rsidR="005D7673">
              <w:rPr>
                <w:rFonts w:cs="Arial"/>
                <w:szCs w:val="22"/>
              </w:rPr>
              <w:t xml:space="preserve"> to the QBCC</w:t>
            </w:r>
            <w:r w:rsidR="003163D5">
              <w:rPr>
                <w:rFonts w:cs="Arial"/>
                <w:szCs w:val="22"/>
              </w:rPr>
              <w:t xml:space="preserve">. </w:t>
            </w:r>
          </w:p>
          <w:p w14:paraId="08D81086" w14:textId="38B41917" w:rsidR="007C7BD0" w:rsidRDefault="00904D11" w:rsidP="00B03116">
            <w:pPr>
              <w:rPr>
                <w:rFonts w:cs="Arial"/>
                <w:szCs w:val="22"/>
              </w:rPr>
            </w:pPr>
            <w:r>
              <w:rPr>
                <w:rFonts w:cs="Arial"/>
                <w:szCs w:val="22"/>
              </w:rPr>
              <w:t xml:space="preserve">Records may include, but are not limited to: </w:t>
            </w:r>
          </w:p>
          <w:p w14:paraId="0C777553" w14:textId="6BC8B94C" w:rsidR="007C7BD0" w:rsidRPr="00D372AB" w:rsidRDefault="00D372AB" w:rsidP="008D19B9">
            <w:pPr>
              <w:pStyle w:val="ListParagraph"/>
              <w:numPr>
                <w:ilvl w:val="0"/>
                <w:numId w:val="6"/>
              </w:numPr>
              <w:jc w:val="both"/>
              <w:rPr>
                <w:rFonts w:cs="Arial"/>
                <w:szCs w:val="22"/>
              </w:rPr>
            </w:pPr>
            <w:r>
              <w:t>B</w:t>
            </w:r>
            <w:r w:rsidR="003163D5" w:rsidRPr="00D372AB">
              <w:rPr>
                <w:rFonts w:cs="Arial"/>
                <w:szCs w:val="22"/>
              </w:rPr>
              <w:t>uildin</w:t>
            </w:r>
            <w:r>
              <w:rPr>
                <w:rFonts w:cs="Arial"/>
                <w:szCs w:val="22"/>
              </w:rPr>
              <w:t>g Fire Safety Risk Assessments</w:t>
            </w:r>
            <w:r w:rsidR="0046523C">
              <w:rPr>
                <w:rFonts w:cs="Arial"/>
                <w:szCs w:val="22"/>
              </w:rPr>
              <w:t xml:space="preserve"> (BFSRA)</w:t>
            </w:r>
          </w:p>
          <w:p w14:paraId="6CB3DFB3" w14:textId="77777777" w:rsidR="00D11702" w:rsidRPr="004375B8" w:rsidRDefault="00D11702" w:rsidP="008D19B9">
            <w:pPr>
              <w:pStyle w:val="ListParagraph"/>
              <w:numPr>
                <w:ilvl w:val="0"/>
                <w:numId w:val="6"/>
              </w:numPr>
              <w:jc w:val="both"/>
              <w:rPr>
                <w:szCs w:val="22"/>
              </w:rPr>
            </w:pPr>
            <w:r>
              <w:rPr>
                <w:szCs w:val="22"/>
              </w:rPr>
              <w:t>Cladding Fire Risk Notice</w:t>
            </w:r>
          </w:p>
          <w:p w14:paraId="649209EF" w14:textId="7721A0A9" w:rsidR="007C7BD0" w:rsidRPr="00D372AB" w:rsidRDefault="00D372AB" w:rsidP="008D19B9">
            <w:pPr>
              <w:pStyle w:val="ListParagraph"/>
              <w:numPr>
                <w:ilvl w:val="0"/>
                <w:numId w:val="6"/>
              </w:numPr>
              <w:jc w:val="both"/>
              <w:rPr>
                <w:rFonts w:cs="Arial"/>
                <w:szCs w:val="22"/>
              </w:rPr>
            </w:pPr>
            <w:r>
              <w:rPr>
                <w:rFonts w:cs="Arial"/>
                <w:szCs w:val="22"/>
              </w:rPr>
              <w:t>F</w:t>
            </w:r>
            <w:r w:rsidR="003163D5" w:rsidRPr="00D372AB">
              <w:rPr>
                <w:rFonts w:cs="Arial"/>
                <w:szCs w:val="22"/>
              </w:rPr>
              <w:t xml:space="preserve">ire </w:t>
            </w:r>
            <w:r>
              <w:rPr>
                <w:rFonts w:cs="Arial"/>
                <w:szCs w:val="22"/>
              </w:rPr>
              <w:t>E</w:t>
            </w:r>
            <w:r w:rsidR="003163D5" w:rsidRPr="00D372AB">
              <w:rPr>
                <w:rFonts w:cs="Arial"/>
                <w:szCs w:val="22"/>
              </w:rPr>
              <w:t xml:space="preserve">ngineer </w:t>
            </w:r>
            <w:r>
              <w:rPr>
                <w:rFonts w:cs="Arial"/>
                <w:szCs w:val="22"/>
              </w:rPr>
              <w:t>E</w:t>
            </w:r>
            <w:r w:rsidR="005D7673" w:rsidRPr="00D372AB">
              <w:rPr>
                <w:rFonts w:cs="Arial"/>
                <w:szCs w:val="22"/>
              </w:rPr>
              <w:t xml:space="preserve">ngagements and </w:t>
            </w:r>
            <w:r>
              <w:rPr>
                <w:rFonts w:cs="Arial"/>
                <w:szCs w:val="22"/>
              </w:rPr>
              <w:t>S</w:t>
            </w:r>
            <w:r w:rsidR="003163D5" w:rsidRPr="00D372AB">
              <w:rPr>
                <w:rFonts w:cs="Arial"/>
                <w:szCs w:val="22"/>
              </w:rPr>
              <w:t>tatements</w:t>
            </w:r>
            <w:r w:rsidR="005D7673" w:rsidRPr="00D372AB">
              <w:rPr>
                <w:rFonts w:cs="Arial"/>
                <w:szCs w:val="22"/>
              </w:rPr>
              <w:t xml:space="preserve"> (Form 35)</w:t>
            </w:r>
          </w:p>
          <w:p w14:paraId="7F0EC216" w14:textId="758C428D" w:rsidR="007C7BD0" w:rsidRPr="00D372AB" w:rsidRDefault="00D372AB" w:rsidP="008D19B9">
            <w:pPr>
              <w:pStyle w:val="ListParagraph"/>
              <w:numPr>
                <w:ilvl w:val="0"/>
                <w:numId w:val="6"/>
              </w:numPr>
              <w:jc w:val="both"/>
              <w:rPr>
                <w:rFonts w:cs="Arial"/>
                <w:szCs w:val="22"/>
              </w:rPr>
            </w:pPr>
            <w:r>
              <w:rPr>
                <w:rFonts w:cs="Arial"/>
                <w:szCs w:val="22"/>
              </w:rPr>
              <w:t>R</w:t>
            </w:r>
            <w:r w:rsidR="003163D5" w:rsidRPr="00D372AB">
              <w:rPr>
                <w:rFonts w:cs="Arial"/>
                <w:szCs w:val="22"/>
              </w:rPr>
              <w:t xml:space="preserve">eporting </w:t>
            </w:r>
            <w:r>
              <w:rPr>
                <w:rFonts w:cs="Arial"/>
                <w:szCs w:val="22"/>
              </w:rPr>
              <w:t>E</w:t>
            </w:r>
            <w:r w:rsidR="003163D5" w:rsidRPr="00D372AB">
              <w:rPr>
                <w:rFonts w:cs="Arial"/>
                <w:szCs w:val="22"/>
              </w:rPr>
              <w:t>xtensions</w:t>
            </w:r>
            <w:r w:rsidR="00231706" w:rsidRPr="00D372AB">
              <w:rPr>
                <w:rFonts w:cs="Arial"/>
                <w:szCs w:val="22"/>
              </w:rPr>
              <w:t xml:space="preserve"> (Form 31</w:t>
            </w:r>
            <w:r>
              <w:rPr>
                <w:rFonts w:cs="Arial"/>
                <w:szCs w:val="22"/>
              </w:rPr>
              <w:t>)</w:t>
            </w:r>
          </w:p>
          <w:p w14:paraId="726EE49F" w14:textId="682A3170" w:rsidR="007C7BD0" w:rsidRPr="00D372AB" w:rsidRDefault="00D372AB" w:rsidP="008D19B9">
            <w:pPr>
              <w:pStyle w:val="ListParagraph"/>
              <w:numPr>
                <w:ilvl w:val="0"/>
                <w:numId w:val="6"/>
              </w:numPr>
              <w:jc w:val="both"/>
              <w:rPr>
                <w:rFonts w:cs="Arial"/>
                <w:szCs w:val="22"/>
              </w:rPr>
            </w:pPr>
            <w:r>
              <w:rPr>
                <w:rFonts w:cs="Arial"/>
                <w:szCs w:val="22"/>
              </w:rPr>
              <w:t>R</w:t>
            </w:r>
            <w:r w:rsidR="00231706" w:rsidRPr="00D372AB">
              <w:rPr>
                <w:rFonts w:cs="Arial"/>
                <w:szCs w:val="22"/>
              </w:rPr>
              <w:t xml:space="preserve">egistration </w:t>
            </w:r>
            <w:r>
              <w:rPr>
                <w:rFonts w:cs="Arial"/>
                <w:szCs w:val="22"/>
              </w:rPr>
              <w:t>C</w:t>
            </w:r>
            <w:r w:rsidR="00231706" w:rsidRPr="00D372AB">
              <w:rPr>
                <w:rFonts w:cs="Arial"/>
                <w:szCs w:val="22"/>
              </w:rPr>
              <w:t>hecks</w:t>
            </w:r>
          </w:p>
          <w:p w14:paraId="193D07C7" w14:textId="1B75256F" w:rsidR="007C7BD0" w:rsidRPr="00D372AB" w:rsidRDefault="00D372AB" w:rsidP="008D19B9">
            <w:pPr>
              <w:pStyle w:val="ListParagraph"/>
              <w:numPr>
                <w:ilvl w:val="0"/>
                <w:numId w:val="6"/>
              </w:numPr>
              <w:jc w:val="both"/>
              <w:rPr>
                <w:rFonts w:cs="Arial"/>
                <w:szCs w:val="22"/>
              </w:rPr>
            </w:pPr>
            <w:r>
              <w:rPr>
                <w:rFonts w:cs="Arial"/>
                <w:szCs w:val="22"/>
              </w:rPr>
              <w:t>C</w:t>
            </w:r>
            <w:r w:rsidR="00283F20" w:rsidRPr="00D372AB">
              <w:rPr>
                <w:rFonts w:cs="Arial"/>
                <w:szCs w:val="22"/>
              </w:rPr>
              <w:t xml:space="preserve">hecklist </w:t>
            </w:r>
            <w:r>
              <w:rPr>
                <w:rFonts w:cs="Arial"/>
                <w:szCs w:val="22"/>
              </w:rPr>
              <w:t>R</w:t>
            </w:r>
            <w:r w:rsidR="00283F20" w:rsidRPr="00D372AB">
              <w:rPr>
                <w:rFonts w:cs="Arial"/>
                <w:szCs w:val="22"/>
              </w:rPr>
              <w:t>eplacement (Form 75)</w:t>
            </w:r>
          </w:p>
          <w:p w14:paraId="68E2E730" w14:textId="03C7FFF3" w:rsidR="00EA64A1" w:rsidRPr="00885A4A" w:rsidRDefault="000D2D23" w:rsidP="008D19B9">
            <w:pPr>
              <w:pStyle w:val="ListParagraph"/>
              <w:numPr>
                <w:ilvl w:val="0"/>
                <w:numId w:val="6"/>
              </w:numPr>
              <w:jc w:val="both"/>
              <w:rPr>
                <w:szCs w:val="22"/>
              </w:rPr>
            </w:pPr>
            <w:r w:rsidRPr="00D372AB">
              <w:rPr>
                <w:rFonts w:cs="Arial"/>
                <w:szCs w:val="22"/>
              </w:rPr>
              <w:t>Building Industry Pr</w:t>
            </w:r>
            <w:r w:rsidR="007C7BD0" w:rsidRPr="00D372AB">
              <w:rPr>
                <w:rFonts w:cs="Arial"/>
                <w:szCs w:val="22"/>
              </w:rPr>
              <w:t>ofessional Statement (Form 34)</w:t>
            </w:r>
          </w:p>
          <w:p w14:paraId="055968A0" w14:textId="3459E961" w:rsidR="00885A4A" w:rsidRDefault="00D11702" w:rsidP="008D19B9">
            <w:pPr>
              <w:pStyle w:val="ListParagraph"/>
              <w:numPr>
                <w:ilvl w:val="0"/>
                <w:numId w:val="6"/>
              </w:numPr>
              <w:jc w:val="both"/>
              <w:rPr>
                <w:szCs w:val="22"/>
              </w:rPr>
            </w:pPr>
            <w:r>
              <w:rPr>
                <w:szCs w:val="22"/>
              </w:rPr>
              <w:t>Proof of Agency (Form 43)</w:t>
            </w:r>
          </w:p>
          <w:p w14:paraId="5501E882" w14:textId="18D2E46F" w:rsidR="0046523C" w:rsidRPr="0046523C" w:rsidRDefault="0046523C" w:rsidP="008D19B9">
            <w:pPr>
              <w:pStyle w:val="ListParagraph"/>
              <w:numPr>
                <w:ilvl w:val="0"/>
                <w:numId w:val="6"/>
              </w:numPr>
              <w:jc w:val="both"/>
              <w:rPr>
                <w:szCs w:val="22"/>
              </w:rPr>
            </w:pPr>
            <w:r w:rsidRPr="0046523C">
              <w:rPr>
                <w:szCs w:val="22"/>
              </w:rPr>
              <w:t xml:space="preserve">Change </w:t>
            </w:r>
            <w:r>
              <w:rPr>
                <w:szCs w:val="22"/>
              </w:rPr>
              <w:t>of Building Ownership (Form 37)</w:t>
            </w:r>
          </w:p>
          <w:p w14:paraId="4541AC33" w14:textId="6C195EAA" w:rsidR="0046523C" w:rsidRPr="0046523C" w:rsidRDefault="0046523C" w:rsidP="008D19B9">
            <w:pPr>
              <w:pStyle w:val="ListParagraph"/>
              <w:numPr>
                <w:ilvl w:val="0"/>
                <w:numId w:val="6"/>
              </w:numPr>
              <w:jc w:val="both"/>
              <w:rPr>
                <w:szCs w:val="22"/>
              </w:rPr>
            </w:pPr>
            <w:r w:rsidRPr="0046523C">
              <w:rPr>
                <w:szCs w:val="22"/>
              </w:rPr>
              <w:t>Affected Pr</w:t>
            </w:r>
            <w:r>
              <w:rPr>
                <w:szCs w:val="22"/>
              </w:rPr>
              <w:t>ivate Building Notice (Form 42)</w:t>
            </w:r>
          </w:p>
          <w:p w14:paraId="01281467" w14:textId="40D4F883" w:rsidR="0046523C" w:rsidRPr="0046523C" w:rsidRDefault="0046523C" w:rsidP="008D19B9">
            <w:pPr>
              <w:pStyle w:val="ListParagraph"/>
              <w:numPr>
                <w:ilvl w:val="0"/>
                <w:numId w:val="6"/>
              </w:numPr>
              <w:jc w:val="both"/>
              <w:rPr>
                <w:szCs w:val="22"/>
              </w:rPr>
            </w:pPr>
            <w:r w:rsidRPr="0046523C">
              <w:rPr>
                <w:szCs w:val="22"/>
              </w:rPr>
              <w:t>Fire Mitigation Measures Noti</w:t>
            </w:r>
            <w:r>
              <w:rPr>
                <w:szCs w:val="22"/>
              </w:rPr>
              <w:t>ce (Form 74)</w:t>
            </w:r>
          </w:p>
          <w:p w14:paraId="2F8CFA23" w14:textId="64ED3E7B" w:rsidR="0046523C" w:rsidRPr="0046523C" w:rsidRDefault="0046523C" w:rsidP="008D19B9">
            <w:pPr>
              <w:pStyle w:val="ListParagraph"/>
              <w:numPr>
                <w:ilvl w:val="0"/>
                <w:numId w:val="6"/>
              </w:numPr>
              <w:jc w:val="both"/>
              <w:rPr>
                <w:szCs w:val="22"/>
              </w:rPr>
            </w:pPr>
            <w:r w:rsidRPr="0046523C">
              <w:rPr>
                <w:szCs w:val="22"/>
              </w:rPr>
              <w:t xml:space="preserve">Application for </w:t>
            </w:r>
            <w:r>
              <w:rPr>
                <w:szCs w:val="22"/>
              </w:rPr>
              <w:t>Replacement Checklist (Form 75)</w:t>
            </w:r>
          </w:p>
          <w:p w14:paraId="4F69092C" w14:textId="511079BC" w:rsidR="003A5F6E" w:rsidRDefault="0046523C" w:rsidP="008D19B9">
            <w:pPr>
              <w:pStyle w:val="ListParagraph"/>
              <w:numPr>
                <w:ilvl w:val="0"/>
                <w:numId w:val="6"/>
              </w:numPr>
              <w:jc w:val="both"/>
              <w:rPr>
                <w:szCs w:val="22"/>
              </w:rPr>
            </w:pPr>
            <w:r w:rsidRPr="003A5F6E">
              <w:rPr>
                <w:szCs w:val="22"/>
              </w:rPr>
              <w:t>Compliance Notice (Form 76)</w:t>
            </w:r>
          </w:p>
          <w:p w14:paraId="24BCCF6D" w14:textId="77777777" w:rsidR="003A5F6E" w:rsidRPr="003A5F6E" w:rsidRDefault="003A5F6E" w:rsidP="003A5F6E">
            <w:pPr>
              <w:pStyle w:val="ListParagraph"/>
              <w:ind w:left="1919"/>
              <w:jc w:val="both"/>
              <w:rPr>
                <w:szCs w:val="22"/>
              </w:rPr>
            </w:pPr>
          </w:p>
          <w:p w14:paraId="5A2C426E" w14:textId="764F489B" w:rsidR="003A5F6E" w:rsidRPr="003A5F6E" w:rsidRDefault="003A5F6E" w:rsidP="003A5F6E">
            <w:pPr>
              <w:rPr>
                <w:szCs w:val="22"/>
              </w:rPr>
            </w:pPr>
            <w:r w:rsidRPr="003A5F6E">
              <w:rPr>
                <w:sz w:val="20"/>
                <w:szCs w:val="20"/>
              </w:rPr>
              <w:t>NB – s.16ZR of Building Regulation (2006) -</w:t>
            </w:r>
            <w:r w:rsidRPr="003A5F6E">
              <w:rPr>
                <w:rFonts w:cs="Arial"/>
                <w:color w:val="FF0000"/>
                <w:sz w:val="20"/>
                <w:szCs w:val="20"/>
              </w:rPr>
              <w:t xml:space="preserve"> </w:t>
            </w:r>
            <w:r w:rsidRPr="003A5F6E">
              <w:rPr>
                <w:sz w:val="20"/>
                <w:szCs w:val="20"/>
              </w:rPr>
              <w:t>The QBCC Commissioner may remove a document or entry in relation to a private building from the online system if the Commissioner considers the removal is reasonable in the circumstances to hand.</w:t>
            </w:r>
          </w:p>
        </w:tc>
        <w:tc>
          <w:tcPr>
            <w:tcW w:w="901" w:type="pct"/>
            <w:shd w:val="clear" w:color="auto" w:fill="FFFFFF"/>
          </w:tcPr>
          <w:p w14:paraId="0DB7F662" w14:textId="0BF8AC72" w:rsidR="0038634C" w:rsidRPr="00A35C71" w:rsidRDefault="009D68F2" w:rsidP="0038634C">
            <w:pPr>
              <w:pStyle w:val="Tabletext"/>
              <w:spacing w:before="60" w:after="60"/>
              <w:rPr>
                <w:rFonts w:cs="Arial"/>
                <w:sz w:val="22"/>
                <w:szCs w:val="22"/>
              </w:rPr>
            </w:pPr>
            <w:r w:rsidRPr="009F4197">
              <w:rPr>
                <w:sz w:val="22"/>
                <w:szCs w:val="22"/>
              </w:rPr>
              <w:t>Retain for</w:t>
            </w:r>
            <w:r w:rsidRPr="009F4197">
              <w:rPr>
                <w:rFonts w:cs="Arial"/>
                <w:sz w:val="24"/>
                <w:szCs w:val="24"/>
              </w:rPr>
              <w:t xml:space="preserve"> </w:t>
            </w:r>
            <w:r w:rsidR="00B0073B">
              <w:rPr>
                <w:rFonts w:cs="Arial"/>
                <w:sz w:val="22"/>
                <w:szCs w:val="22"/>
              </w:rPr>
              <w:t xml:space="preserve">7 years after </w:t>
            </w:r>
            <w:r w:rsidR="009F6D9A" w:rsidRPr="00A35C71">
              <w:rPr>
                <w:rFonts w:cs="Arial"/>
                <w:sz w:val="22"/>
                <w:szCs w:val="22"/>
              </w:rPr>
              <w:t>build</w:t>
            </w:r>
            <w:r w:rsidR="00EA17BB">
              <w:rPr>
                <w:rFonts w:cs="Arial"/>
                <w:sz w:val="22"/>
                <w:szCs w:val="22"/>
              </w:rPr>
              <w:t xml:space="preserve">ing </w:t>
            </w:r>
            <w:r w:rsidR="00503443">
              <w:rPr>
                <w:rFonts w:cs="Arial"/>
                <w:sz w:val="22"/>
                <w:szCs w:val="22"/>
              </w:rPr>
              <w:t xml:space="preserve">has been </w:t>
            </w:r>
            <w:r w:rsidR="00EA17BB">
              <w:rPr>
                <w:rFonts w:cs="Arial"/>
                <w:sz w:val="22"/>
                <w:szCs w:val="22"/>
              </w:rPr>
              <w:t>substantially re</w:t>
            </w:r>
            <w:r w:rsidR="00633E97">
              <w:rPr>
                <w:rFonts w:cs="Arial"/>
                <w:sz w:val="22"/>
                <w:szCs w:val="22"/>
              </w:rPr>
              <w:t xml:space="preserve">built </w:t>
            </w:r>
            <w:r w:rsidR="00503443">
              <w:rPr>
                <w:rFonts w:cs="Arial"/>
                <w:sz w:val="22"/>
                <w:szCs w:val="22"/>
              </w:rPr>
              <w:t xml:space="preserve">and made safe </w:t>
            </w:r>
            <w:r w:rsidR="009F6D9A" w:rsidRPr="00A35C71">
              <w:rPr>
                <w:rFonts w:cs="Arial"/>
                <w:sz w:val="22"/>
                <w:szCs w:val="22"/>
              </w:rPr>
              <w:t xml:space="preserve">or </w:t>
            </w:r>
            <w:r w:rsidR="00503443">
              <w:rPr>
                <w:rFonts w:cs="Arial"/>
                <w:sz w:val="22"/>
                <w:szCs w:val="22"/>
              </w:rPr>
              <w:t xml:space="preserve">is </w:t>
            </w:r>
            <w:r w:rsidR="009F6D9A" w:rsidRPr="00A35C71">
              <w:rPr>
                <w:rFonts w:cs="Arial"/>
                <w:sz w:val="22"/>
                <w:szCs w:val="22"/>
              </w:rPr>
              <w:t>demolished</w:t>
            </w:r>
            <w:r w:rsidR="00B46BAB" w:rsidRPr="00A35C71">
              <w:rPr>
                <w:rFonts w:cs="Arial"/>
                <w:sz w:val="22"/>
                <w:szCs w:val="22"/>
              </w:rPr>
              <w:t>.</w:t>
            </w:r>
          </w:p>
          <w:p w14:paraId="03DCEF1C" w14:textId="77777777" w:rsidR="00EF3836" w:rsidRDefault="00EF3836" w:rsidP="0038634C">
            <w:pPr>
              <w:pStyle w:val="Tabletext"/>
              <w:spacing w:before="60" w:after="60"/>
              <w:rPr>
                <w:rFonts w:cs="Arial"/>
                <w:color w:val="FF0000"/>
                <w:sz w:val="22"/>
                <w:szCs w:val="22"/>
              </w:rPr>
            </w:pPr>
          </w:p>
          <w:p w14:paraId="6EFD4F0D" w14:textId="0165AE44" w:rsidR="00BA5C76" w:rsidRPr="009F6D9A" w:rsidRDefault="00BA5C76" w:rsidP="00D86161">
            <w:pPr>
              <w:pStyle w:val="Tabletext"/>
              <w:spacing w:before="60" w:after="60"/>
              <w:rPr>
                <w:rFonts w:cs="Arial"/>
                <w:color w:val="FF0000"/>
                <w:sz w:val="22"/>
                <w:szCs w:val="22"/>
              </w:rPr>
            </w:pPr>
          </w:p>
        </w:tc>
        <w:tc>
          <w:tcPr>
            <w:tcW w:w="550" w:type="pct"/>
            <w:shd w:val="clear" w:color="auto" w:fill="FFFFFF"/>
          </w:tcPr>
          <w:p w14:paraId="06CE89E8" w14:textId="5672A002" w:rsidR="009F6D9A" w:rsidRPr="00AC6F95" w:rsidRDefault="00AC6F95" w:rsidP="00BA5C76">
            <w:pPr>
              <w:pStyle w:val="Tabletext"/>
              <w:spacing w:before="60" w:after="60"/>
              <w:rPr>
                <w:sz w:val="22"/>
                <w:szCs w:val="22"/>
              </w:rPr>
            </w:pPr>
            <w:r>
              <w:rPr>
                <w:sz w:val="22"/>
                <w:szCs w:val="22"/>
              </w:rPr>
              <w:t>15 December 2023</w:t>
            </w:r>
          </w:p>
        </w:tc>
      </w:tr>
      <w:tr w:rsidR="00BA6E22" w:rsidRPr="00BA6E22" w14:paraId="2996E26D" w14:textId="77777777" w:rsidTr="00E2674E">
        <w:trPr>
          <w:tblHeader/>
        </w:trPr>
        <w:tc>
          <w:tcPr>
            <w:tcW w:w="504" w:type="pct"/>
            <w:shd w:val="clear" w:color="auto" w:fill="FFFFFF"/>
          </w:tcPr>
          <w:p w14:paraId="7ACBBC73" w14:textId="77777777" w:rsidR="00BA6E22" w:rsidRPr="00BA6E22" w:rsidRDefault="00BA6E22" w:rsidP="00BA6E22">
            <w:pPr>
              <w:jc w:val="center"/>
              <w:rPr>
                <w:b/>
                <w:sz w:val="20"/>
                <w:szCs w:val="20"/>
              </w:rPr>
            </w:pPr>
            <w:bookmarkStart w:id="36" w:name="_Toc139025782"/>
            <w:r w:rsidRPr="00BA6E22">
              <w:rPr>
                <w:b/>
                <w:sz w:val="20"/>
                <w:szCs w:val="20"/>
              </w:rPr>
              <w:t>Disposal Authorisation</w:t>
            </w:r>
          </w:p>
        </w:tc>
        <w:tc>
          <w:tcPr>
            <w:tcW w:w="3045" w:type="pct"/>
            <w:shd w:val="clear" w:color="auto" w:fill="FFFFFF"/>
          </w:tcPr>
          <w:p w14:paraId="750986EE" w14:textId="77777777" w:rsidR="00BA6E22" w:rsidRPr="00BA6E22" w:rsidRDefault="00BA6E22" w:rsidP="00BA6E22">
            <w:pPr>
              <w:jc w:val="center"/>
              <w:rPr>
                <w:b/>
                <w:sz w:val="20"/>
                <w:szCs w:val="20"/>
              </w:rPr>
            </w:pPr>
            <w:r w:rsidRPr="00BA6E22">
              <w:rPr>
                <w:b/>
                <w:sz w:val="20"/>
                <w:szCs w:val="20"/>
              </w:rPr>
              <w:t>Description of records</w:t>
            </w:r>
          </w:p>
        </w:tc>
        <w:tc>
          <w:tcPr>
            <w:tcW w:w="901" w:type="pct"/>
            <w:shd w:val="clear" w:color="auto" w:fill="FFFFFF"/>
          </w:tcPr>
          <w:p w14:paraId="098A3BBF" w14:textId="77777777" w:rsidR="00BA6E22" w:rsidRPr="00BA6E22" w:rsidRDefault="00BA6E22" w:rsidP="00BA6E22">
            <w:pPr>
              <w:jc w:val="center"/>
              <w:rPr>
                <w:b/>
                <w:sz w:val="20"/>
                <w:szCs w:val="20"/>
              </w:rPr>
            </w:pPr>
            <w:r w:rsidRPr="00BA6E22">
              <w:rPr>
                <w:b/>
                <w:sz w:val="20"/>
                <w:szCs w:val="20"/>
              </w:rPr>
              <w:t>Retention period &amp; trigger</w:t>
            </w:r>
          </w:p>
        </w:tc>
        <w:tc>
          <w:tcPr>
            <w:tcW w:w="550" w:type="pct"/>
            <w:shd w:val="clear" w:color="auto" w:fill="FFFFFF"/>
          </w:tcPr>
          <w:p w14:paraId="1722B56D" w14:textId="77777777" w:rsidR="00BA6E22" w:rsidRPr="00BA6E22" w:rsidRDefault="00BA6E22" w:rsidP="00BA6E22">
            <w:pPr>
              <w:jc w:val="center"/>
              <w:rPr>
                <w:b/>
                <w:sz w:val="20"/>
                <w:szCs w:val="20"/>
              </w:rPr>
            </w:pPr>
            <w:r w:rsidRPr="00BA6E22">
              <w:rPr>
                <w:b/>
                <w:sz w:val="20"/>
                <w:szCs w:val="20"/>
              </w:rPr>
              <w:t>Date authorised</w:t>
            </w:r>
          </w:p>
        </w:tc>
      </w:tr>
      <w:tr w:rsidR="00BA6E22" w:rsidRPr="00BA6E22" w14:paraId="271719A2" w14:textId="77777777" w:rsidTr="00E2674E">
        <w:tblPrEx>
          <w:tblCellMar>
            <w:top w:w="57" w:type="dxa"/>
            <w:left w:w="119" w:type="dxa"/>
            <w:right w:w="119" w:type="dxa"/>
          </w:tblCellMar>
        </w:tblPrEx>
        <w:tc>
          <w:tcPr>
            <w:tcW w:w="504" w:type="pct"/>
            <w:shd w:val="clear" w:color="auto" w:fill="auto"/>
          </w:tcPr>
          <w:p w14:paraId="3DCE5835" w14:textId="50E8710A" w:rsidR="00BA6E22" w:rsidRPr="00BA6E22" w:rsidRDefault="008D61A7" w:rsidP="00BA6E22">
            <w:pPr>
              <w:rPr>
                <w:szCs w:val="22"/>
              </w:rPr>
            </w:pPr>
            <w:r>
              <w:rPr>
                <w:szCs w:val="22"/>
              </w:rPr>
              <w:t>2791</w:t>
            </w:r>
          </w:p>
        </w:tc>
        <w:tc>
          <w:tcPr>
            <w:tcW w:w="3045" w:type="pct"/>
            <w:shd w:val="clear" w:color="auto" w:fill="auto"/>
          </w:tcPr>
          <w:p w14:paraId="664AE462" w14:textId="77777777" w:rsidR="00BA6E22" w:rsidRPr="008D61A7" w:rsidRDefault="00BA6E22" w:rsidP="00BA6E22">
            <w:pPr>
              <w:rPr>
                <w:rFonts w:cs="Arial"/>
                <w:b/>
                <w:iCs/>
                <w:szCs w:val="22"/>
              </w:rPr>
            </w:pPr>
            <w:r w:rsidRPr="008D61A7">
              <w:rPr>
                <w:rFonts w:cs="Arial"/>
                <w:b/>
                <w:iCs/>
                <w:szCs w:val="22"/>
              </w:rPr>
              <w:t>Compliance, Reporting, Auditing and Investigations</w:t>
            </w:r>
          </w:p>
          <w:p w14:paraId="1AA44E31" w14:textId="77777777" w:rsidR="00BA6E22" w:rsidRPr="003F4508" w:rsidRDefault="00BA6E22" w:rsidP="00BA6E22">
            <w:pPr>
              <w:rPr>
                <w:rFonts w:cs="Arial"/>
                <w:szCs w:val="22"/>
              </w:rPr>
            </w:pPr>
            <w:r w:rsidRPr="003F4508">
              <w:rPr>
                <w:rFonts w:cs="Arial"/>
                <w:szCs w:val="22"/>
              </w:rPr>
              <w:t>Records relating to monitoring and enforcing compliance with safer buildings requirements for combustible cladding.</w:t>
            </w:r>
          </w:p>
          <w:p w14:paraId="2C5873DD" w14:textId="77777777" w:rsidR="00BA6E22" w:rsidRPr="003F4508" w:rsidRDefault="00BA6E22" w:rsidP="00B03116">
            <w:pPr>
              <w:rPr>
                <w:rFonts w:cs="Arial"/>
                <w:szCs w:val="22"/>
              </w:rPr>
            </w:pPr>
            <w:r>
              <w:rPr>
                <w:rFonts w:cs="Arial"/>
                <w:szCs w:val="22"/>
              </w:rPr>
              <w:lastRenderedPageBreak/>
              <w:t>Records may include</w:t>
            </w:r>
            <w:r w:rsidRPr="003F4508">
              <w:rPr>
                <w:rFonts w:cs="Arial"/>
                <w:szCs w:val="22"/>
              </w:rPr>
              <w:t>, but are not limited to:</w:t>
            </w:r>
          </w:p>
          <w:p w14:paraId="5861A965" w14:textId="77777777" w:rsidR="00BA6E22" w:rsidRPr="003F4508" w:rsidRDefault="00BA6E22" w:rsidP="00BA6E22">
            <w:pPr>
              <w:pStyle w:val="ListParagraph"/>
              <w:numPr>
                <w:ilvl w:val="0"/>
                <w:numId w:val="20"/>
              </w:numPr>
              <w:jc w:val="both"/>
              <w:rPr>
                <w:rFonts w:cs="Arial"/>
                <w:szCs w:val="22"/>
              </w:rPr>
            </w:pPr>
            <w:r w:rsidRPr="003F4508">
              <w:rPr>
                <w:rFonts w:cs="Arial"/>
                <w:szCs w:val="22"/>
              </w:rPr>
              <w:t>Auditing</w:t>
            </w:r>
          </w:p>
          <w:p w14:paraId="35AC65CD" w14:textId="77777777" w:rsidR="00BA6E22" w:rsidRPr="003F4508" w:rsidRDefault="00BA6E22" w:rsidP="00BA6E22">
            <w:pPr>
              <w:pStyle w:val="ListParagraph"/>
              <w:numPr>
                <w:ilvl w:val="0"/>
                <w:numId w:val="20"/>
              </w:numPr>
              <w:jc w:val="both"/>
              <w:rPr>
                <w:rFonts w:cs="Arial"/>
                <w:szCs w:val="22"/>
              </w:rPr>
            </w:pPr>
            <w:r w:rsidRPr="003F4508">
              <w:rPr>
                <w:rFonts w:cs="Arial"/>
                <w:szCs w:val="22"/>
              </w:rPr>
              <w:t>Reporting to the Safer Buildings Taskforce</w:t>
            </w:r>
          </w:p>
          <w:p w14:paraId="2E5D762D" w14:textId="0A38FB1B" w:rsidR="00BA6E22" w:rsidRPr="00BA6E22" w:rsidRDefault="00BA6E22" w:rsidP="00BA6E22">
            <w:pPr>
              <w:pStyle w:val="ListParagraph"/>
              <w:numPr>
                <w:ilvl w:val="0"/>
                <w:numId w:val="20"/>
              </w:numPr>
            </w:pPr>
            <w:r w:rsidRPr="004C3F47">
              <w:rPr>
                <w:rFonts w:cs="Arial"/>
                <w:szCs w:val="22"/>
              </w:rPr>
              <w:t>Investigating Offences in accordance with s.96 of Building Regulation 2021.</w:t>
            </w:r>
          </w:p>
        </w:tc>
        <w:tc>
          <w:tcPr>
            <w:tcW w:w="901" w:type="pct"/>
            <w:shd w:val="clear" w:color="auto" w:fill="auto"/>
          </w:tcPr>
          <w:p w14:paraId="0A336A23" w14:textId="6C2DD767" w:rsidR="00BA6E22" w:rsidRPr="00BA6E22" w:rsidRDefault="00BA6E22" w:rsidP="00BA6E22">
            <w:r w:rsidRPr="003F4508">
              <w:rPr>
                <w:rFonts w:cs="Arial"/>
                <w:szCs w:val="22"/>
              </w:rPr>
              <w:lastRenderedPageBreak/>
              <w:t>7 years after business action completed.</w:t>
            </w:r>
          </w:p>
        </w:tc>
        <w:tc>
          <w:tcPr>
            <w:tcW w:w="550" w:type="pct"/>
          </w:tcPr>
          <w:p w14:paraId="717B6D25" w14:textId="2A1F64F8" w:rsidR="00BA6E22" w:rsidRPr="00BA6E22" w:rsidRDefault="00AC6F95" w:rsidP="00BA6E22">
            <w:r>
              <w:t>15 December 2023</w:t>
            </w:r>
          </w:p>
        </w:tc>
      </w:tr>
    </w:tbl>
    <w:p w14:paraId="081F238E" w14:textId="77777777" w:rsidR="002E1C73" w:rsidRDefault="002E1C73">
      <w:pPr>
        <w:spacing w:before="0" w:after="0"/>
        <w:rPr>
          <w:rStyle w:val="Heading2Char"/>
          <w:rFonts w:cs="Arial"/>
          <w:noProof/>
          <w:sz w:val="28"/>
          <w:szCs w:val="28"/>
          <w:lang w:eastAsia="en-AU"/>
        </w:rPr>
      </w:pPr>
      <w:r>
        <w:rPr>
          <w:rStyle w:val="Heading2Char"/>
          <w:b w:val="0"/>
          <w:bCs/>
          <w:noProof/>
          <w:sz w:val="28"/>
          <w:szCs w:val="28"/>
          <w:lang w:eastAsia="en-AU"/>
        </w:rPr>
        <w:br w:type="page"/>
      </w:r>
    </w:p>
    <w:p w14:paraId="061A4E04" w14:textId="21099829" w:rsidR="00CA49DE" w:rsidRPr="008F3DDA" w:rsidRDefault="008F3DDA" w:rsidP="008F3DDA">
      <w:pPr>
        <w:pStyle w:val="Heading1"/>
        <w:rPr>
          <w:rStyle w:val="Heading2Char"/>
          <w:b/>
          <w:bCs w:val="0"/>
          <w:noProof/>
          <w:sz w:val="28"/>
          <w:szCs w:val="28"/>
          <w:lang w:eastAsia="en-AU"/>
        </w:rPr>
      </w:pPr>
      <w:r w:rsidRPr="008F3DDA">
        <w:rPr>
          <w:rStyle w:val="Heading2Char"/>
          <w:b/>
          <w:bCs w:val="0"/>
          <w:noProof/>
          <w:sz w:val="28"/>
          <w:szCs w:val="28"/>
          <w:lang w:eastAsia="en-AU"/>
        </w:rPr>
        <w:lastRenderedPageBreak/>
        <w:t xml:space="preserve">6. </w:t>
      </w:r>
      <w:r w:rsidR="006250D8" w:rsidRPr="008F3DDA">
        <w:rPr>
          <w:rStyle w:val="Heading2Char"/>
          <w:b/>
          <w:bCs w:val="0"/>
          <w:noProof/>
          <w:sz w:val="28"/>
          <w:szCs w:val="28"/>
          <w:lang w:eastAsia="en-AU"/>
        </w:rPr>
        <w:t>COMMON ACTIVITIES</w:t>
      </w:r>
      <w:bookmarkEnd w:id="36"/>
      <w:r w:rsidR="006250D8" w:rsidRPr="008F3DDA">
        <w:rPr>
          <w:rStyle w:val="Heading2Char"/>
          <w:b/>
          <w:bCs w:val="0"/>
          <w:noProof/>
          <w:sz w:val="28"/>
          <w:szCs w:val="28"/>
          <w:lang w:eastAsia="en-AU"/>
        </w:rPr>
        <w:t xml:space="preserve"> </w:t>
      </w:r>
    </w:p>
    <w:p w14:paraId="5A4817A1" w14:textId="77777777" w:rsidR="0005044C" w:rsidRPr="00D55794" w:rsidRDefault="0005044C" w:rsidP="0005044C">
      <w:pPr>
        <w:rPr>
          <w:i/>
          <w:iCs/>
          <w:lang w:eastAsia="en-AU"/>
        </w:rPr>
      </w:pPr>
      <w:r w:rsidRPr="00D55794">
        <w:rPr>
          <w:i/>
          <w:iCs/>
          <w:lang w:eastAsia="en-AU"/>
        </w:rPr>
        <w:t xml:space="preserve">Records of activities common to many agency functions. Each common record class from this section can be combined with the functions identified by the </w:t>
      </w:r>
    </w:p>
    <w:p w14:paraId="4D0C080C" w14:textId="1ABF5C13" w:rsidR="0005044C" w:rsidRPr="00D55794" w:rsidRDefault="0005044C" w:rsidP="0005044C">
      <w:pPr>
        <w:rPr>
          <w:i/>
          <w:iCs/>
          <w:lang w:eastAsia="en-AU"/>
        </w:rPr>
      </w:pPr>
      <w:r w:rsidRPr="00D55794">
        <w:rPr>
          <w:i/>
          <w:iCs/>
          <w:lang w:eastAsia="en-AU"/>
        </w:rPr>
        <w:t>agency.</w:t>
      </w:r>
    </w:p>
    <w:tbl>
      <w:tblPr>
        <w:tblW w:w="500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28" w:type="dxa"/>
          <w:right w:w="113" w:type="dxa"/>
        </w:tblCellMar>
        <w:tblLook w:val="01E0" w:firstRow="1" w:lastRow="1" w:firstColumn="1" w:lastColumn="1" w:noHBand="0" w:noVBand="0"/>
      </w:tblPr>
      <w:tblGrid>
        <w:gridCol w:w="1558"/>
        <w:gridCol w:w="9240"/>
        <w:gridCol w:w="2694"/>
        <w:gridCol w:w="1661"/>
      </w:tblGrid>
      <w:tr w:rsidR="00345E1B" w:rsidRPr="0042675D" w14:paraId="390DB1D3" w14:textId="77777777" w:rsidTr="00B03116">
        <w:tc>
          <w:tcPr>
            <w:tcW w:w="514" w:type="pct"/>
            <w:shd w:val="clear" w:color="auto" w:fill="FFFFFF"/>
          </w:tcPr>
          <w:p w14:paraId="3FCFE3C3" w14:textId="77777777" w:rsidR="00345E1B" w:rsidRPr="0042675D" w:rsidRDefault="00345E1B" w:rsidP="0068034C">
            <w:pPr>
              <w:pStyle w:val="Tabletext"/>
              <w:spacing w:before="60" w:after="60"/>
              <w:jc w:val="center"/>
              <w:rPr>
                <w:b/>
              </w:rPr>
            </w:pPr>
            <w:r>
              <w:rPr>
                <w:b/>
              </w:rPr>
              <w:t>Disposal Authorisation</w:t>
            </w:r>
          </w:p>
        </w:tc>
        <w:tc>
          <w:tcPr>
            <w:tcW w:w="3049" w:type="pct"/>
            <w:shd w:val="clear" w:color="auto" w:fill="FFFFFF"/>
          </w:tcPr>
          <w:p w14:paraId="25617A19" w14:textId="77777777" w:rsidR="00345E1B" w:rsidRPr="0042675D" w:rsidRDefault="00345E1B" w:rsidP="0068034C">
            <w:pPr>
              <w:pStyle w:val="Tabletext"/>
              <w:spacing w:before="60" w:after="60"/>
              <w:jc w:val="center"/>
              <w:rPr>
                <w:b/>
              </w:rPr>
            </w:pPr>
            <w:r w:rsidRPr="0042675D">
              <w:rPr>
                <w:b/>
              </w:rPr>
              <w:t>Description of records</w:t>
            </w:r>
          </w:p>
        </w:tc>
        <w:tc>
          <w:tcPr>
            <w:tcW w:w="889" w:type="pct"/>
            <w:shd w:val="clear" w:color="auto" w:fill="FFFFFF"/>
          </w:tcPr>
          <w:p w14:paraId="2795C4C9" w14:textId="77777777" w:rsidR="00345E1B" w:rsidRPr="0042675D" w:rsidRDefault="00345E1B" w:rsidP="0068034C">
            <w:pPr>
              <w:pStyle w:val="Tabletext"/>
              <w:spacing w:before="60" w:after="60"/>
              <w:jc w:val="center"/>
              <w:rPr>
                <w:b/>
              </w:rPr>
            </w:pPr>
            <w:r w:rsidRPr="0042675D">
              <w:rPr>
                <w:b/>
              </w:rPr>
              <w:t>Retention period &amp; trigger</w:t>
            </w:r>
          </w:p>
        </w:tc>
        <w:tc>
          <w:tcPr>
            <w:tcW w:w="548" w:type="pct"/>
            <w:shd w:val="clear" w:color="auto" w:fill="FFFFFF"/>
          </w:tcPr>
          <w:p w14:paraId="37AB133C" w14:textId="77777777" w:rsidR="00345E1B" w:rsidRPr="0042675D" w:rsidRDefault="00345E1B" w:rsidP="0068034C">
            <w:pPr>
              <w:pStyle w:val="Tabletext"/>
              <w:spacing w:before="60" w:after="60"/>
              <w:jc w:val="center"/>
              <w:rPr>
                <w:b/>
              </w:rPr>
            </w:pPr>
            <w:r>
              <w:rPr>
                <w:b/>
              </w:rPr>
              <w:t>Date authorised</w:t>
            </w:r>
          </w:p>
        </w:tc>
      </w:tr>
      <w:tr w:rsidR="00AE5B4C" w:rsidRPr="0042675D" w14:paraId="20E1BBC1" w14:textId="77777777" w:rsidTr="00B03116">
        <w:tc>
          <w:tcPr>
            <w:tcW w:w="514" w:type="pct"/>
            <w:shd w:val="clear" w:color="auto" w:fill="FFFFFF"/>
          </w:tcPr>
          <w:p w14:paraId="5D6BBB00" w14:textId="0D3562D0" w:rsidR="00AE5B4C" w:rsidRPr="00C01352" w:rsidRDefault="00CE781C" w:rsidP="00AE5B4C">
            <w:pPr>
              <w:pStyle w:val="Tabletext"/>
              <w:spacing w:before="60" w:after="60"/>
              <w:rPr>
                <w:sz w:val="22"/>
                <w:szCs w:val="22"/>
              </w:rPr>
            </w:pPr>
            <w:r>
              <w:rPr>
                <w:sz w:val="22"/>
                <w:szCs w:val="22"/>
              </w:rPr>
              <w:t>2792</w:t>
            </w:r>
          </w:p>
        </w:tc>
        <w:tc>
          <w:tcPr>
            <w:tcW w:w="3049" w:type="pct"/>
            <w:shd w:val="clear" w:color="auto" w:fill="FFFFFF"/>
          </w:tcPr>
          <w:p w14:paraId="08F1D68E" w14:textId="5FAC831D" w:rsidR="00AE5B4C" w:rsidRPr="00102E7A" w:rsidRDefault="00102E7A" w:rsidP="00AE5B4C">
            <w:pPr>
              <w:jc w:val="both"/>
              <w:rPr>
                <w:rFonts w:cs="Arial"/>
                <w:b/>
                <w:iCs/>
                <w:szCs w:val="22"/>
              </w:rPr>
            </w:pPr>
            <w:r>
              <w:rPr>
                <w:rFonts w:cs="Arial"/>
                <w:b/>
                <w:iCs/>
                <w:szCs w:val="22"/>
              </w:rPr>
              <w:t xml:space="preserve">Industry </w:t>
            </w:r>
            <w:r w:rsidR="00AE5B4C" w:rsidRPr="00102E7A">
              <w:rPr>
                <w:rFonts w:cs="Arial"/>
                <w:b/>
                <w:iCs/>
                <w:szCs w:val="22"/>
              </w:rPr>
              <w:t>Research</w:t>
            </w:r>
          </w:p>
          <w:p w14:paraId="495BB503" w14:textId="0AE83CCE" w:rsidR="00AE5B4C" w:rsidRDefault="00AE5B4C" w:rsidP="003A5F6E">
            <w:pPr>
              <w:rPr>
                <w:rFonts w:cs="Arial"/>
                <w:szCs w:val="22"/>
              </w:rPr>
            </w:pPr>
            <w:r>
              <w:rPr>
                <w:rFonts w:cs="Arial"/>
                <w:szCs w:val="22"/>
              </w:rPr>
              <w:t>Records relating to detailed industry research to support the activities of the organisation. Includes gathering information to support developing or updating of standards, guidelines or codes.</w:t>
            </w:r>
          </w:p>
          <w:p w14:paraId="1C494F00" w14:textId="11713C36" w:rsidR="005465D0" w:rsidRDefault="005465D0" w:rsidP="00AE5B4C">
            <w:pPr>
              <w:jc w:val="both"/>
              <w:rPr>
                <w:rFonts w:cs="Arial"/>
                <w:szCs w:val="22"/>
              </w:rPr>
            </w:pPr>
            <w:r>
              <w:rPr>
                <w:rFonts w:cs="Arial"/>
                <w:szCs w:val="22"/>
              </w:rPr>
              <w:t>Exclude</w:t>
            </w:r>
            <w:r w:rsidR="003A5F6E">
              <w:rPr>
                <w:rFonts w:cs="Arial"/>
                <w:szCs w:val="22"/>
              </w:rPr>
              <w:t>s</w:t>
            </w:r>
            <w:r>
              <w:rPr>
                <w:rFonts w:cs="Arial"/>
                <w:szCs w:val="22"/>
              </w:rPr>
              <w:t xml:space="preserve"> research relating to dispute resolution</w:t>
            </w:r>
            <w:r w:rsidR="00AC6F95">
              <w:rPr>
                <w:rFonts w:cs="Arial"/>
                <w:szCs w:val="22"/>
              </w:rPr>
              <w:t>.</w:t>
            </w:r>
            <w:r w:rsidR="003A5F6E">
              <w:rPr>
                <w:rFonts w:cs="Arial"/>
                <w:szCs w:val="22"/>
              </w:rPr>
              <w:t xml:space="preserve"> </w:t>
            </w:r>
          </w:p>
          <w:p w14:paraId="1A49FEFC" w14:textId="77777777" w:rsidR="00AC6F95" w:rsidRDefault="00AC6F95" w:rsidP="00AE5B4C">
            <w:pPr>
              <w:jc w:val="both"/>
              <w:rPr>
                <w:rFonts w:cs="Arial"/>
                <w:i/>
                <w:iCs/>
                <w:szCs w:val="22"/>
              </w:rPr>
            </w:pPr>
          </w:p>
          <w:p w14:paraId="0A716BCD" w14:textId="401FAD59" w:rsidR="005465D0" w:rsidRPr="005465D0" w:rsidRDefault="005465D0" w:rsidP="00AE5B4C">
            <w:pPr>
              <w:jc w:val="both"/>
              <w:rPr>
                <w:rFonts w:cs="Arial"/>
                <w:i/>
                <w:iCs/>
                <w:szCs w:val="22"/>
              </w:rPr>
            </w:pPr>
            <w:r w:rsidRPr="005465D0">
              <w:rPr>
                <w:rFonts w:cs="Arial"/>
                <w:i/>
                <w:iCs/>
                <w:szCs w:val="22"/>
              </w:rPr>
              <w:t xml:space="preserve">See RESOLUTION MANAGEMENT - </w:t>
            </w:r>
            <w:hyperlink w:anchor="ResolutionCaseFiles" w:history="1">
              <w:r w:rsidRPr="005465D0">
                <w:rPr>
                  <w:rStyle w:val="Hyperlink"/>
                  <w:rFonts w:cs="Arial"/>
                  <w:i/>
                  <w:iCs/>
                  <w:szCs w:val="22"/>
                </w:rPr>
                <w:t>Resolution Case Files</w:t>
              </w:r>
            </w:hyperlink>
            <w:r w:rsidRPr="005465D0">
              <w:rPr>
                <w:rFonts w:cs="Arial"/>
                <w:i/>
                <w:iCs/>
                <w:szCs w:val="22"/>
              </w:rPr>
              <w:t xml:space="preserve"> </w:t>
            </w:r>
          </w:p>
          <w:p w14:paraId="40C0BA1C" w14:textId="1545A43A" w:rsidR="000821E4" w:rsidRPr="000821E4" w:rsidRDefault="00000000" w:rsidP="00AE5B4C">
            <w:pPr>
              <w:jc w:val="both"/>
              <w:rPr>
                <w:i/>
                <w:iCs/>
                <w:szCs w:val="22"/>
              </w:rPr>
            </w:pPr>
            <w:hyperlink r:id="rId25" w:history="1">
              <w:r w:rsidR="00B329AD" w:rsidRPr="00B329AD">
                <w:rPr>
                  <w:rStyle w:val="Hyperlink"/>
                  <w:bCs/>
                  <w:i/>
                  <w:iCs/>
                  <w:szCs w:val="22"/>
                </w:rPr>
                <w:t xml:space="preserve">See </w:t>
              </w:r>
              <w:r w:rsidR="00AE5B4C" w:rsidRPr="00B329AD">
                <w:rPr>
                  <w:rStyle w:val="Hyperlink"/>
                  <w:bCs/>
                  <w:i/>
                  <w:iCs/>
                  <w:szCs w:val="22"/>
                </w:rPr>
                <w:t>G</w:t>
              </w:r>
              <w:r w:rsidR="00B329AD" w:rsidRPr="00B329AD">
                <w:rPr>
                  <w:rStyle w:val="Hyperlink"/>
                  <w:bCs/>
                  <w:i/>
                  <w:iCs/>
                  <w:szCs w:val="22"/>
                </w:rPr>
                <w:t>eneral Retention and Disposal Schedule (G</w:t>
              </w:r>
              <w:r w:rsidR="00AE5B4C" w:rsidRPr="00B329AD">
                <w:rPr>
                  <w:rStyle w:val="Hyperlink"/>
                  <w:bCs/>
                  <w:i/>
                  <w:iCs/>
                  <w:szCs w:val="22"/>
                </w:rPr>
                <w:t>RDS</w:t>
              </w:r>
              <w:r w:rsidR="00B329AD" w:rsidRPr="00B329AD">
                <w:rPr>
                  <w:rStyle w:val="Hyperlink"/>
                  <w:bCs/>
                  <w:i/>
                  <w:iCs/>
                  <w:szCs w:val="22"/>
                </w:rPr>
                <w:t>)</w:t>
              </w:r>
              <w:r w:rsidR="00AE5B4C" w:rsidRPr="00B329AD">
                <w:rPr>
                  <w:rStyle w:val="Hyperlink"/>
                  <w:bCs/>
                  <w:i/>
                  <w:iCs/>
                  <w:szCs w:val="22"/>
                </w:rPr>
                <w:t xml:space="preserve"> </w:t>
              </w:r>
              <w:r w:rsidR="00555426">
                <w:rPr>
                  <w:rStyle w:val="Hyperlink"/>
                  <w:bCs/>
                  <w:i/>
                  <w:iCs/>
                  <w:szCs w:val="22"/>
                </w:rPr>
                <w:t xml:space="preserve">- </w:t>
              </w:r>
              <w:r w:rsidR="00B329AD" w:rsidRPr="00B329AD">
                <w:rPr>
                  <w:rStyle w:val="Hyperlink"/>
                  <w:bCs/>
                  <w:i/>
                  <w:iCs/>
                  <w:szCs w:val="22"/>
                </w:rPr>
                <w:t xml:space="preserve">Research </w:t>
              </w:r>
              <w:r w:rsidR="009D24CC">
                <w:rPr>
                  <w:rStyle w:val="Hyperlink"/>
                  <w:bCs/>
                  <w:i/>
                  <w:iCs/>
                  <w:szCs w:val="22"/>
                </w:rPr>
                <w:t>(1</w:t>
              </w:r>
              <w:r w:rsidR="009D24CC">
                <w:rPr>
                  <w:rStyle w:val="Hyperlink"/>
                  <w:bCs/>
                  <w:i/>
                  <w:iCs/>
                </w:rPr>
                <w:t xml:space="preserve">046) </w:t>
              </w:r>
              <w:r w:rsidR="00B329AD" w:rsidRPr="00B329AD">
                <w:rPr>
                  <w:rStyle w:val="Hyperlink"/>
                  <w:bCs/>
                  <w:i/>
                  <w:iCs/>
                  <w:szCs w:val="22"/>
                </w:rPr>
                <w:t xml:space="preserve">– </w:t>
              </w:r>
              <w:r w:rsidR="009D24CC">
                <w:rPr>
                  <w:rStyle w:val="Hyperlink"/>
                  <w:bCs/>
                  <w:i/>
                  <w:iCs/>
                  <w:szCs w:val="22"/>
                </w:rPr>
                <w:t>S</w:t>
              </w:r>
              <w:r w:rsidR="00B329AD" w:rsidRPr="00B329AD">
                <w:rPr>
                  <w:rStyle w:val="Hyperlink"/>
                  <w:bCs/>
                  <w:i/>
                  <w:iCs/>
                  <w:szCs w:val="22"/>
                </w:rPr>
                <w:t>ignificant</w:t>
              </w:r>
            </w:hyperlink>
            <w:r w:rsidR="00B329AD" w:rsidRPr="00B329AD">
              <w:rPr>
                <w:i/>
                <w:iCs/>
                <w:szCs w:val="22"/>
              </w:rPr>
              <w:t xml:space="preserve"> </w:t>
            </w:r>
            <w:r w:rsidR="00AE5B4C" w:rsidRPr="00B329AD">
              <w:rPr>
                <w:i/>
                <w:iCs/>
                <w:szCs w:val="22"/>
              </w:rPr>
              <w:t xml:space="preserve">for original </w:t>
            </w:r>
            <w:r w:rsidR="00AE5B4C" w:rsidRPr="00DF77EE">
              <w:rPr>
                <w:i/>
                <w:iCs/>
                <w:szCs w:val="22"/>
              </w:rPr>
              <w:t>Technical Research</w:t>
            </w:r>
            <w:r w:rsidR="00AE5B4C" w:rsidRPr="00B329AD">
              <w:rPr>
                <w:i/>
                <w:iCs/>
                <w:szCs w:val="22"/>
              </w:rPr>
              <w:t xml:space="preserve"> forming the basis of </w:t>
            </w:r>
            <w:r w:rsidR="00AE5B4C" w:rsidRPr="00DF77EE">
              <w:rPr>
                <w:i/>
                <w:iCs/>
                <w:szCs w:val="22"/>
              </w:rPr>
              <w:t>agency publications</w:t>
            </w:r>
            <w:r w:rsidR="00AE5B4C" w:rsidRPr="00B329AD">
              <w:rPr>
                <w:i/>
                <w:iCs/>
                <w:szCs w:val="22"/>
              </w:rPr>
              <w:t>.</w:t>
            </w:r>
          </w:p>
        </w:tc>
        <w:tc>
          <w:tcPr>
            <w:tcW w:w="889" w:type="pct"/>
            <w:shd w:val="clear" w:color="auto" w:fill="FFFFFF"/>
          </w:tcPr>
          <w:p w14:paraId="3CB0AAAD" w14:textId="32DEBF9E" w:rsidR="00AE5B4C" w:rsidRPr="00A14F5D" w:rsidRDefault="009F7FE6" w:rsidP="00AE5B4C">
            <w:pPr>
              <w:pStyle w:val="Tabletext"/>
              <w:spacing w:before="60" w:after="60"/>
              <w:rPr>
                <w:rFonts w:cs="Arial"/>
                <w:sz w:val="22"/>
                <w:szCs w:val="22"/>
              </w:rPr>
            </w:pPr>
            <w:r w:rsidRPr="00002EE1">
              <w:rPr>
                <w:rFonts w:cs="Arial"/>
                <w:sz w:val="22"/>
                <w:szCs w:val="22"/>
              </w:rPr>
              <w:t>10</w:t>
            </w:r>
            <w:r w:rsidR="00AE5B4C" w:rsidRPr="00002EE1">
              <w:rPr>
                <w:rFonts w:cs="Arial"/>
                <w:sz w:val="22"/>
                <w:szCs w:val="22"/>
              </w:rPr>
              <w:t xml:space="preserve"> years after</w:t>
            </w:r>
            <w:r w:rsidR="00AE5B4C" w:rsidRPr="002F2943">
              <w:rPr>
                <w:rFonts w:cs="Arial"/>
                <w:sz w:val="22"/>
                <w:szCs w:val="22"/>
              </w:rPr>
              <w:t xml:space="preserve"> </w:t>
            </w:r>
            <w:r w:rsidR="008B588A">
              <w:rPr>
                <w:rFonts w:cs="Arial"/>
                <w:sz w:val="22"/>
                <w:szCs w:val="22"/>
              </w:rPr>
              <w:t>business action completed</w:t>
            </w:r>
            <w:r w:rsidR="008430EE">
              <w:rPr>
                <w:rFonts w:cs="Arial"/>
                <w:sz w:val="22"/>
                <w:szCs w:val="22"/>
              </w:rPr>
              <w:t>.</w:t>
            </w:r>
          </w:p>
        </w:tc>
        <w:tc>
          <w:tcPr>
            <w:tcW w:w="548" w:type="pct"/>
            <w:shd w:val="clear" w:color="auto" w:fill="FFFFFF"/>
          </w:tcPr>
          <w:p w14:paraId="609074E7" w14:textId="0FCF3C3C" w:rsidR="00AE5B4C" w:rsidRPr="00AC6F95" w:rsidRDefault="00AC6F95" w:rsidP="00AE5B4C">
            <w:pPr>
              <w:pStyle w:val="Tabletext"/>
              <w:spacing w:before="60" w:after="60"/>
              <w:rPr>
                <w:sz w:val="22"/>
                <w:szCs w:val="22"/>
              </w:rPr>
            </w:pPr>
            <w:r>
              <w:rPr>
                <w:sz w:val="22"/>
                <w:szCs w:val="22"/>
              </w:rPr>
              <w:t>15 December 2023</w:t>
            </w:r>
          </w:p>
        </w:tc>
      </w:tr>
    </w:tbl>
    <w:p w14:paraId="42FB6A2E" w14:textId="77777777" w:rsidR="00464B9E" w:rsidRPr="002F2943" w:rsidRDefault="00464B9E" w:rsidP="002F2943"/>
    <w:sectPr w:rsidR="00464B9E" w:rsidRPr="002F2943" w:rsidSect="00F95D49">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560" w:right="851" w:bottom="851"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27D8" w14:textId="77777777" w:rsidR="00186112" w:rsidRDefault="00186112" w:rsidP="00903E26">
      <w:r>
        <w:separator/>
      </w:r>
    </w:p>
    <w:p w14:paraId="145446FD" w14:textId="77777777" w:rsidR="00186112" w:rsidRDefault="00186112" w:rsidP="00903E26"/>
    <w:p w14:paraId="00341043" w14:textId="77777777" w:rsidR="00186112" w:rsidRDefault="00186112" w:rsidP="00261EDB"/>
  </w:endnote>
  <w:endnote w:type="continuationSeparator" w:id="0">
    <w:p w14:paraId="58D7777F" w14:textId="77777777" w:rsidR="00186112" w:rsidRDefault="00186112" w:rsidP="00903E26">
      <w:r>
        <w:continuationSeparator/>
      </w:r>
    </w:p>
    <w:p w14:paraId="5D103819" w14:textId="77777777" w:rsidR="00186112" w:rsidRDefault="00186112" w:rsidP="00903E26"/>
    <w:p w14:paraId="524505AD" w14:textId="77777777" w:rsidR="00186112" w:rsidRDefault="00186112" w:rsidP="0026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FB0D" w14:textId="31DD3664" w:rsidR="008D2E1F" w:rsidRPr="00FD29F2" w:rsidRDefault="008D2E1F" w:rsidP="00FD29F2">
    <w:pPr>
      <w:pStyle w:val="Headerfooter"/>
    </w:pP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Pr="00FD29F2">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noProof/>
      </w:rPr>
      <w:t>18</w:t>
    </w:r>
    <w:r w:rsidRPr="00FD29F2">
      <w:rPr>
        <w:rStyle w:val="PageNumber"/>
      </w:rPr>
      <w:fldChar w:fldCharType="end"/>
    </w:r>
  </w:p>
  <w:p w14:paraId="1C09EE27" w14:textId="77777777" w:rsidR="008D2E1F" w:rsidRPr="00FD29F2" w:rsidRDefault="008D2E1F" w:rsidP="00FD29F2">
    <w:pPr>
      <w:pStyle w:val="Headerfooter"/>
    </w:pPr>
  </w:p>
  <w:p w14:paraId="44020C22" w14:textId="77777777" w:rsidR="008D2E1F" w:rsidRPr="00FD29F2" w:rsidRDefault="008D2E1F" w:rsidP="00FD29F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911D" w14:textId="29517E91" w:rsidR="008D2E1F" w:rsidRPr="00FD29F2" w:rsidRDefault="008D2E1F" w:rsidP="00FD29F2">
    <w:pPr>
      <w:pStyle w:val="Headerfooter"/>
    </w:pPr>
    <w:r w:rsidRPr="00FD29F2">
      <w:rPr>
        <w:rStyle w:val="HeaderfooterChar"/>
        <w:b/>
      </w:rPr>
      <w:t>Queensland State Archives</w:t>
    </w:r>
    <w:r w:rsidRPr="00FD29F2">
      <w:tab/>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Pr>
        <w:rStyle w:val="PageNumber"/>
        <w:noProof/>
      </w:rPr>
      <w:t>18</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noProof/>
      </w:rPr>
      <w:t>19</w:t>
    </w:r>
    <w:r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6FC" w14:textId="20F29803" w:rsidR="008D2E1F" w:rsidRPr="009A3861" w:rsidRDefault="008D2E1F" w:rsidP="0039204E">
    <w:pPr>
      <w:pStyle w:val="Footer"/>
      <w:rPr>
        <w:b/>
        <w:szCs w:val="22"/>
      </w:rPr>
    </w:pPr>
    <w:r w:rsidRPr="009A3861">
      <w:rPr>
        <w:b/>
        <w:noProof/>
        <w:szCs w:val="22"/>
        <w:lang w:eastAsia="en-AU"/>
      </w:rPr>
      <w:drawing>
        <wp:anchor distT="0" distB="0" distL="114300" distR="114300" simplePos="0" relativeHeight="251657216" behindDoc="1" locked="0" layoutInCell="1" allowOverlap="1" wp14:anchorId="06124360" wp14:editId="2EA59284">
          <wp:simplePos x="0" y="0"/>
          <wp:positionH relativeFrom="page">
            <wp:posOffset>361315</wp:posOffset>
          </wp:positionH>
          <wp:positionV relativeFrom="page">
            <wp:posOffset>6423660</wp:posOffset>
          </wp:positionV>
          <wp:extent cx="9952355" cy="903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F185" w14:textId="77777777" w:rsidR="00186112" w:rsidRDefault="00186112" w:rsidP="00903E26">
      <w:r>
        <w:separator/>
      </w:r>
    </w:p>
    <w:p w14:paraId="248C5502" w14:textId="77777777" w:rsidR="00186112" w:rsidRDefault="00186112" w:rsidP="00903E26"/>
    <w:p w14:paraId="36A5F176" w14:textId="77777777" w:rsidR="00186112" w:rsidRDefault="00186112" w:rsidP="00261EDB"/>
  </w:footnote>
  <w:footnote w:type="continuationSeparator" w:id="0">
    <w:p w14:paraId="38D184FA" w14:textId="77777777" w:rsidR="00186112" w:rsidRDefault="00186112" w:rsidP="00903E26">
      <w:r>
        <w:continuationSeparator/>
      </w:r>
    </w:p>
    <w:p w14:paraId="58E73D9D" w14:textId="77777777" w:rsidR="00186112" w:rsidRDefault="00186112" w:rsidP="00903E26"/>
    <w:p w14:paraId="3A33A539" w14:textId="77777777" w:rsidR="00186112" w:rsidRDefault="00186112" w:rsidP="0026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AAEE" w14:textId="0AD68224" w:rsidR="008D2E1F" w:rsidRDefault="00000000" w:rsidP="000166C6">
    <w:pPr>
      <w:pStyle w:val="Header-landscape"/>
      <w:ind w:left="-480" w:right="-464"/>
    </w:pPr>
    <w:r>
      <w:rPr>
        <w:noProof/>
      </w:rPr>
      <w:pict w14:anchorId="19D7E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78.1pt;height:191.2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D2E1F">
      <w:t>Department of Science, Information Technology and Innovation</w:t>
    </w:r>
  </w:p>
  <w:p w14:paraId="0CF5348C" w14:textId="77777777" w:rsidR="008D2E1F" w:rsidRPr="0039204E" w:rsidRDefault="008D2E1F" w:rsidP="0039204E">
    <w:pPr>
      <w:pStyle w:val="Header"/>
    </w:pPr>
  </w:p>
  <w:p w14:paraId="35ED884C" w14:textId="77777777" w:rsidR="008D2E1F" w:rsidRDefault="008D2E1F" w:rsidP="00903E26"/>
  <w:p w14:paraId="7492903E" w14:textId="77777777" w:rsidR="008D2E1F" w:rsidRDefault="008D2E1F" w:rsidP="00261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4C2F" w14:textId="78897A64" w:rsidR="008D2E1F" w:rsidRDefault="008D2E1F" w:rsidP="00FD29F2">
    <w:pPr>
      <w:pStyle w:val="Headerfooter"/>
    </w:pPr>
    <w:r w:rsidRPr="00FD29F2">
      <w:tab/>
    </w:r>
    <w:r>
      <w:t>Queensland Building and Construction Commission</w:t>
    </w:r>
    <w:r w:rsidRPr="00FD29F2">
      <w:t xml:space="preserve"> </w:t>
    </w:r>
    <w:r w:rsidR="0035017D">
      <w:t>R</w:t>
    </w:r>
    <w:r w:rsidRPr="00FD29F2">
      <w:t xml:space="preserve">etention and </w:t>
    </w:r>
    <w:r w:rsidR="0035017D">
      <w:t>D</w:t>
    </w:r>
    <w:r w:rsidRPr="00FD29F2">
      <w:t xml:space="preserve">isposal </w:t>
    </w:r>
    <w:r w:rsidR="0035017D">
      <w:t>S</w:t>
    </w:r>
    <w:r w:rsidRPr="00FD29F2">
      <w:t>chedule</w:t>
    </w:r>
  </w:p>
  <w:p w14:paraId="6A335C54" w14:textId="77777777" w:rsidR="008D2E1F" w:rsidRPr="00FD29F2" w:rsidRDefault="008D2E1F" w:rsidP="00FD29F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D111" w14:textId="76215A13" w:rsidR="008D2E1F" w:rsidRDefault="008D2E1F" w:rsidP="00540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D7C"/>
    <w:multiLevelType w:val="hybridMultilevel"/>
    <w:tmpl w:val="1C6E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4FF6D01"/>
    <w:multiLevelType w:val="hybridMultilevel"/>
    <w:tmpl w:val="C2666B74"/>
    <w:lvl w:ilvl="0" w:tplc="0C090001">
      <w:start w:val="1"/>
      <w:numFmt w:val="bullet"/>
      <w:lvlText w:val=""/>
      <w:lvlJc w:val="left"/>
      <w:pPr>
        <w:ind w:left="720" w:hanging="360"/>
      </w:pPr>
      <w:rPr>
        <w:rFonts w:ascii="Symbol" w:hAnsi="Symbol" w:hint="default"/>
      </w:rPr>
    </w:lvl>
    <w:lvl w:ilvl="1" w:tplc="0D10946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04E7D"/>
    <w:multiLevelType w:val="hybridMultilevel"/>
    <w:tmpl w:val="37C880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86D05"/>
    <w:multiLevelType w:val="hybridMultilevel"/>
    <w:tmpl w:val="3578AA5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080F4B8B"/>
    <w:multiLevelType w:val="hybridMultilevel"/>
    <w:tmpl w:val="A1F6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AC7701"/>
    <w:multiLevelType w:val="hybridMultilevel"/>
    <w:tmpl w:val="F252E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B23C38"/>
    <w:multiLevelType w:val="hybridMultilevel"/>
    <w:tmpl w:val="D26E82D8"/>
    <w:lvl w:ilvl="0" w:tplc="0C090003">
      <w:start w:val="1"/>
      <w:numFmt w:val="bullet"/>
      <w:lvlText w:val="o"/>
      <w:lvlJc w:val="left"/>
      <w:pPr>
        <w:ind w:left="1004"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color w:val="auto"/>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11DA0835"/>
    <w:multiLevelType w:val="hybridMultilevel"/>
    <w:tmpl w:val="0CCA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3A3355"/>
    <w:multiLevelType w:val="hybridMultilevel"/>
    <w:tmpl w:val="438CA7D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8A4BD1"/>
    <w:multiLevelType w:val="hybridMultilevel"/>
    <w:tmpl w:val="BFDE1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1CB21401"/>
    <w:multiLevelType w:val="hybridMultilevel"/>
    <w:tmpl w:val="3620C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63D62"/>
    <w:multiLevelType w:val="hybridMultilevel"/>
    <w:tmpl w:val="CC2E77AA"/>
    <w:lvl w:ilvl="0" w:tplc="0C090001">
      <w:start w:val="1"/>
      <w:numFmt w:val="bullet"/>
      <w:lvlText w:val=""/>
      <w:lvlJc w:val="left"/>
      <w:pPr>
        <w:tabs>
          <w:tab w:val="num" w:pos="1919"/>
        </w:tabs>
        <w:ind w:left="1919" w:hanging="360"/>
      </w:pPr>
      <w:rPr>
        <w:rFonts w:ascii="Symbol" w:hAnsi="Symbol" w:hint="default"/>
      </w:rPr>
    </w:lvl>
    <w:lvl w:ilvl="1" w:tplc="0C090003" w:tentative="1">
      <w:start w:val="1"/>
      <w:numFmt w:val="bullet"/>
      <w:lvlText w:val="o"/>
      <w:lvlJc w:val="left"/>
      <w:pPr>
        <w:tabs>
          <w:tab w:val="num" w:pos="2639"/>
        </w:tabs>
        <w:ind w:left="2639" w:hanging="360"/>
      </w:pPr>
      <w:rPr>
        <w:rFonts w:ascii="Courier New" w:hAnsi="Courier New" w:cs="Courier New" w:hint="default"/>
      </w:rPr>
    </w:lvl>
    <w:lvl w:ilvl="2" w:tplc="0C090005">
      <w:start w:val="1"/>
      <w:numFmt w:val="bullet"/>
      <w:lvlText w:val=""/>
      <w:lvlJc w:val="left"/>
      <w:pPr>
        <w:tabs>
          <w:tab w:val="num" w:pos="3359"/>
        </w:tabs>
        <w:ind w:left="3359" w:hanging="360"/>
      </w:pPr>
      <w:rPr>
        <w:rFonts w:ascii="Wingdings" w:hAnsi="Wingdings" w:hint="default"/>
      </w:rPr>
    </w:lvl>
    <w:lvl w:ilvl="3" w:tplc="0C090001" w:tentative="1">
      <w:start w:val="1"/>
      <w:numFmt w:val="bullet"/>
      <w:lvlText w:val=""/>
      <w:lvlJc w:val="left"/>
      <w:pPr>
        <w:tabs>
          <w:tab w:val="num" w:pos="4079"/>
        </w:tabs>
        <w:ind w:left="4079" w:hanging="360"/>
      </w:pPr>
      <w:rPr>
        <w:rFonts w:ascii="Symbol" w:hAnsi="Symbol" w:hint="default"/>
      </w:rPr>
    </w:lvl>
    <w:lvl w:ilvl="4" w:tplc="0C090003" w:tentative="1">
      <w:start w:val="1"/>
      <w:numFmt w:val="bullet"/>
      <w:lvlText w:val="o"/>
      <w:lvlJc w:val="left"/>
      <w:pPr>
        <w:tabs>
          <w:tab w:val="num" w:pos="4799"/>
        </w:tabs>
        <w:ind w:left="4799" w:hanging="360"/>
      </w:pPr>
      <w:rPr>
        <w:rFonts w:ascii="Courier New" w:hAnsi="Courier New" w:cs="Courier New" w:hint="default"/>
      </w:rPr>
    </w:lvl>
    <w:lvl w:ilvl="5" w:tplc="0C090005" w:tentative="1">
      <w:start w:val="1"/>
      <w:numFmt w:val="bullet"/>
      <w:lvlText w:val=""/>
      <w:lvlJc w:val="left"/>
      <w:pPr>
        <w:tabs>
          <w:tab w:val="num" w:pos="5519"/>
        </w:tabs>
        <w:ind w:left="5519" w:hanging="360"/>
      </w:pPr>
      <w:rPr>
        <w:rFonts w:ascii="Wingdings" w:hAnsi="Wingdings" w:hint="default"/>
      </w:rPr>
    </w:lvl>
    <w:lvl w:ilvl="6" w:tplc="0C090001" w:tentative="1">
      <w:start w:val="1"/>
      <w:numFmt w:val="bullet"/>
      <w:lvlText w:val=""/>
      <w:lvlJc w:val="left"/>
      <w:pPr>
        <w:tabs>
          <w:tab w:val="num" w:pos="6239"/>
        </w:tabs>
        <w:ind w:left="6239" w:hanging="360"/>
      </w:pPr>
      <w:rPr>
        <w:rFonts w:ascii="Symbol" w:hAnsi="Symbol" w:hint="default"/>
      </w:rPr>
    </w:lvl>
    <w:lvl w:ilvl="7" w:tplc="0C090003" w:tentative="1">
      <w:start w:val="1"/>
      <w:numFmt w:val="bullet"/>
      <w:lvlText w:val="o"/>
      <w:lvlJc w:val="left"/>
      <w:pPr>
        <w:tabs>
          <w:tab w:val="num" w:pos="6959"/>
        </w:tabs>
        <w:ind w:left="6959" w:hanging="360"/>
      </w:pPr>
      <w:rPr>
        <w:rFonts w:ascii="Courier New" w:hAnsi="Courier New" w:cs="Courier New" w:hint="default"/>
      </w:rPr>
    </w:lvl>
    <w:lvl w:ilvl="8" w:tplc="0C090005" w:tentative="1">
      <w:start w:val="1"/>
      <w:numFmt w:val="bullet"/>
      <w:lvlText w:val=""/>
      <w:lvlJc w:val="left"/>
      <w:pPr>
        <w:tabs>
          <w:tab w:val="num" w:pos="7679"/>
        </w:tabs>
        <w:ind w:left="7679" w:hanging="360"/>
      </w:pPr>
      <w:rPr>
        <w:rFonts w:ascii="Wingdings" w:hAnsi="Wingdings" w:hint="default"/>
      </w:rPr>
    </w:lvl>
  </w:abstractNum>
  <w:abstractNum w:abstractNumId="14" w15:restartNumberingAfterBreak="0">
    <w:nsid w:val="2019142B"/>
    <w:multiLevelType w:val="hybridMultilevel"/>
    <w:tmpl w:val="7ACC73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0797D"/>
    <w:multiLevelType w:val="hybridMultilevel"/>
    <w:tmpl w:val="E31A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0224BB"/>
    <w:multiLevelType w:val="hybridMultilevel"/>
    <w:tmpl w:val="B7D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F85B3D"/>
    <w:multiLevelType w:val="hybridMultilevel"/>
    <w:tmpl w:val="DDE8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2776E7"/>
    <w:multiLevelType w:val="hybridMultilevel"/>
    <w:tmpl w:val="AF78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B0272"/>
    <w:multiLevelType w:val="hybridMultilevel"/>
    <w:tmpl w:val="0B90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E3F74"/>
    <w:multiLevelType w:val="hybridMultilevel"/>
    <w:tmpl w:val="98B4A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3B4E04"/>
    <w:multiLevelType w:val="hybridMultilevel"/>
    <w:tmpl w:val="8354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4EDA4CEA"/>
    <w:multiLevelType w:val="hybridMultilevel"/>
    <w:tmpl w:val="D330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4D003C"/>
    <w:multiLevelType w:val="hybridMultilevel"/>
    <w:tmpl w:val="9528C8C8"/>
    <w:lvl w:ilvl="0" w:tplc="0C090001">
      <w:start w:val="1"/>
      <w:numFmt w:val="bullet"/>
      <w:lvlText w:val=""/>
      <w:lvlJc w:val="left"/>
      <w:pPr>
        <w:ind w:left="1004" w:hanging="360"/>
      </w:pPr>
      <w:rPr>
        <w:rFonts w:ascii="Symbol" w:hAnsi="Symbol" w:hint="default"/>
      </w:rPr>
    </w:lvl>
    <w:lvl w:ilvl="1" w:tplc="254409CE">
      <w:start w:val="1"/>
      <w:numFmt w:val="bullet"/>
      <w:lvlText w:val="o"/>
      <w:lvlJc w:val="left"/>
      <w:pPr>
        <w:ind w:left="2880" w:hanging="360"/>
      </w:pPr>
      <w:rPr>
        <w:rFonts w:ascii="Courier New" w:hAnsi="Courier New" w:cs="Courier New" w:hint="default"/>
        <w:color w:val="auto"/>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6225E1"/>
    <w:multiLevelType w:val="hybridMultilevel"/>
    <w:tmpl w:val="D048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A1E17"/>
    <w:multiLevelType w:val="hybridMultilevel"/>
    <w:tmpl w:val="57B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0640540">
    <w:abstractNumId w:val="11"/>
  </w:num>
  <w:num w:numId="2" w16cid:durableId="1746369392">
    <w:abstractNumId w:val="1"/>
  </w:num>
  <w:num w:numId="3" w16cid:durableId="897283646">
    <w:abstractNumId w:val="22"/>
  </w:num>
  <w:num w:numId="4" w16cid:durableId="1261255005">
    <w:abstractNumId w:val="6"/>
  </w:num>
  <w:num w:numId="5" w16cid:durableId="2013802033">
    <w:abstractNumId w:val="25"/>
  </w:num>
  <w:num w:numId="6" w16cid:durableId="1496413893">
    <w:abstractNumId w:val="13"/>
  </w:num>
  <w:num w:numId="7" w16cid:durableId="1283800382">
    <w:abstractNumId w:val="3"/>
  </w:num>
  <w:num w:numId="8" w16cid:durableId="1132670642">
    <w:abstractNumId w:val="14"/>
  </w:num>
  <w:num w:numId="9" w16cid:durableId="1272853951">
    <w:abstractNumId w:val="16"/>
  </w:num>
  <w:num w:numId="10" w16cid:durableId="452944061">
    <w:abstractNumId w:val="8"/>
  </w:num>
  <w:num w:numId="11" w16cid:durableId="418522839">
    <w:abstractNumId w:val="5"/>
  </w:num>
  <w:num w:numId="12" w16cid:durableId="2139059782">
    <w:abstractNumId w:val="20"/>
  </w:num>
  <w:num w:numId="13" w16cid:durableId="2019849933">
    <w:abstractNumId w:val="27"/>
  </w:num>
  <w:num w:numId="14" w16cid:durableId="412624257">
    <w:abstractNumId w:val="12"/>
  </w:num>
  <w:num w:numId="15" w16cid:durableId="461658228">
    <w:abstractNumId w:val="26"/>
  </w:num>
  <w:num w:numId="16" w16cid:durableId="1116869907">
    <w:abstractNumId w:val="17"/>
  </w:num>
  <w:num w:numId="17" w16cid:durableId="781725825">
    <w:abstractNumId w:val="0"/>
  </w:num>
  <w:num w:numId="18" w16cid:durableId="1139959314">
    <w:abstractNumId w:val="10"/>
  </w:num>
  <w:num w:numId="19" w16cid:durableId="1513184076">
    <w:abstractNumId w:val="18"/>
  </w:num>
  <w:num w:numId="20" w16cid:durableId="360254128">
    <w:abstractNumId w:val="21"/>
  </w:num>
  <w:num w:numId="21" w16cid:durableId="92827439">
    <w:abstractNumId w:val="9"/>
  </w:num>
  <w:num w:numId="22" w16cid:durableId="459878024">
    <w:abstractNumId w:val="24"/>
  </w:num>
  <w:num w:numId="23" w16cid:durableId="649361577">
    <w:abstractNumId w:val="23"/>
  </w:num>
  <w:num w:numId="24" w16cid:durableId="1169760285">
    <w:abstractNumId w:val="15"/>
  </w:num>
  <w:num w:numId="25" w16cid:durableId="1165440093">
    <w:abstractNumId w:val="2"/>
  </w:num>
  <w:num w:numId="26" w16cid:durableId="496770700">
    <w:abstractNumId w:val="4"/>
  </w:num>
  <w:num w:numId="27" w16cid:durableId="813638502">
    <w:abstractNumId w:val="19"/>
  </w:num>
  <w:num w:numId="28" w16cid:durableId="199788198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54"/>
    <w:rsid w:val="00002EE1"/>
    <w:rsid w:val="000035C5"/>
    <w:rsid w:val="00003E4D"/>
    <w:rsid w:val="00010429"/>
    <w:rsid w:val="00011482"/>
    <w:rsid w:val="00014EA3"/>
    <w:rsid w:val="0001601D"/>
    <w:rsid w:val="000166C6"/>
    <w:rsid w:val="0002009F"/>
    <w:rsid w:val="000214D8"/>
    <w:rsid w:val="00022123"/>
    <w:rsid w:val="00022C65"/>
    <w:rsid w:val="00026772"/>
    <w:rsid w:val="00027D29"/>
    <w:rsid w:val="00032974"/>
    <w:rsid w:val="00034E52"/>
    <w:rsid w:val="00042759"/>
    <w:rsid w:val="00044E6D"/>
    <w:rsid w:val="00045426"/>
    <w:rsid w:val="0005044C"/>
    <w:rsid w:val="00051D1E"/>
    <w:rsid w:val="000532C2"/>
    <w:rsid w:val="000532C3"/>
    <w:rsid w:val="00054286"/>
    <w:rsid w:val="00055B70"/>
    <w:rsid w:val="000560AA"/>
    <w:rsid w:val="0006188B"/>
    <w:rsid w:val="00061907"/>
    <w:rsid w:val="00061D37"/>
    <w:rsid w:val="00072420"/>
    <w:rsid w:val="00080095"/>
    <w:rsid w:val="00080A21"/>
    <w:rsid w:val="000821E4"/>
    <w:rsid w:val="00083772"/>
    <w:rsid w:val="0008446C"/>
    <w:rsid w:val="000847C6"/>
    <w:rsid w:val="000873AF"/>
    <w:rsid w:val="00091029"/>
    <w:rsid w:val="0009529A"/>
    <w:rsid w:val="000957D9"/>
    <w:rsid w:val="00097371"/>
    <w:rsid w:val="00097C98"/>
    <w:rsid w:val="000A5459"/>
    <w:rsid w:val="000B18B0"/>
    <w:rsid w:val="000B2A4B"/>
    <w:rsid w:val="000B6C0D"/>
    <w:rsid w:val="000C0BF0"/>
    <w:rsid w:val="000C2D7F"/>
    <w:rsid w:val="000C3D90"/>
    <w:rsid w:val="000C414E"/>
    <w:rsid w:val="000C5650"/>
    <w:rsid w:val="000C597B"/>
    <w:rsid w:val="000C6D2E"/>
    <w:rsid w:val="000D2661"/>
    <w:rsid w:val="000D285D"/>
    <w:rsid w:val="000D2D23"/>
    <w:rsid w:val="000D5734"/>
    <w:rsid w:val="000D6C56"/>
    <w:rsid w:val="000E25FD"/>
    <w:rsid w:val="000E2F64"/>
    <w:rsid w:val="000E3913"/>
    <w:rsid w:val="000E3B0C"/>
    <w:rsid w:val="000E3B21"/>
    <w:rsid w:val="000E3E48"/>
    <w:rsid w:val="000E4696"/>
    <w:rsid w:val="000E4F16"/>
    <w:rsid w:val="000E525A"/>
    <w:rsid w:val="000E6E8F"/>
    <w:rsid w:val="000E73EA"/>
    <w:rsid w:val="000F715F"/>
    <w:rsid w:val="000F7E6E"/>
    <w:rsid w:val="00102024"/>
    <w:rsid w:val="00102E7A"/>
    <w:rsid w:val="00103D0A"/>
    <w:rsid w:val="00105805"/>
    <w:rsid w:val="00106858"/>
    <w:rsid w:val="001116ED"/>
    <w:rsid w:val="001118DF"/>
    <w:rsid w:val="0011272A"/>
    <w:rsid w:val="00116E28"/>
    <w:rsid w:val="00124E77"/>
    <w:rsid w:val="00125B6A"/>
    <w:rsid w:val="00130EDB"/>
    <w:rsid w:val="001316AF"/>
    <w:rsid w:val="00133ED2"/>
    <w:rsid w:val="00134D98"/>
    <w:rsid w:val="00137FDE"/>
    <w:rsid w:val="00143EA4"/>
    <w:rsid w:val="00145A6A"/>
    <w:rsid w:val="00147166"/>
    <w:rsid w:val="00150322"/>
    <w:rsid w:val="00150808"/>
    <w:rsid w:val="00150E17"/>
    <w:rsid w:val="00152E91"/>
    <w:rsid w:val="001539AE"/>
    <w:rsid w:val="0015468F"/>
    <w:rsid w:val="00160B3F"/>
    <w:rsid w:val="0016206F"/>
    <w:rsid w:val="00165163"/>
    <w:rsid w:val="00167792"/>
    <w:rsid w:val="00171F34"/>
    <w:rsid w:val="001726F6"/>
    <w:rsid w:val="00172704"/>
    <w:rsid w:val="0017393D"/>
    <w:rsid w:val="00176A5D"/>
    <w:rsid w:val="00176AAD"/>
    <w:rsid w:val="00177663"/>
    <w:rsid w:val="00184C66"/>
    <w:rsid w:val="00186112"/>
    <w:rsid w:val="00187120"/>
    <w:rsid w:val="00194EE3"/>
    <w:rsid w:val="001A1FF6"/>
    <w:rsid w:val="001A3997"/>
    <w:rsid w:val="001A5FE9"/>
    <w:rsid w:val="001B351D"/>
    <w:rsid w:val="001B4E1D"/>
    <w:rsid w:val="001B6001"/>
    <w:rsid w:val="001C3436"/>
    <w:rsid w:val="001C656C"/>
    <w:rsid w:val="001C6E39"/>
    <w:rsid w:val="001D03DD"/>
    <w:rsid w:val="001D2244"/>
    <w:rsid w:val="001D2979"/>
    <w:rsid w:val="001D4C3B"/>
    <w:rsid w:val="001D4D5F"/>
    <w:rsid w:val="001D5ED2"/>
    <w:rsid w:val="001E2588"/>
    <w:rsid w:val="001E363C"/>
    <w:rsid w:val="001F0C37"/>
    <w:rsid w:val="001F1312"/>
    <w:rsid w:val="001F2D5D"/>
    <w:rsid w:val="001F3DD6"/>
    <w:rsid w:val="001F6C03"/>
    <w:rsid w:val="001F79EB"/>
    <w:rsid w:val="0020076D"/>
    <w:rsid w:val="00203BDA"/>
    <w:rsid w:val="00205F3F"/>
    <w:rsid w:val="0020649A"/>
    <w:rsid w:val="00211317"/>
    <w:rsid w:val="00213A08"/>
    <w:rsid w:val="00217C8D"/>
    <w:rsid w:val="00223534"/>
    <w:rsid w:val="00223ED4"/>
    <w:rsid w:val="002245BA"/>
    <w:rsid w:val="00226B46"/>
    <w:rsid w:val="002277F8"/>
    <w:rsid w:val="00231706"/>
    <w:rsid w:val="0023224D"/>
    <w:rsid w:val="00234350"/>
    <w:rsid w:val="0023442F"/>
    <w:rsid w:val="00241EE1"/>
    <w:rsid w:val="00242583"/>
    <w:rsid w:val="00242F03"/>
    <w:rsid w:val="002436AC"/>
    <w:rsid w:val="00243FE3"/>
    <w:rsid w:val="00244A7E"/>
    <w:rsid w:val="00245307"/>
    <w:rsid w:val="002456BA"/>
    <w:rsid w:val="002475D8"/>
    <w:rsid w:val="00247888"/>
    <w:rsid w:val="002503CB"/>
    <w:rsid w:val="00253B57"/>
    <w:rsid w:val="00255865"/>
    <w:rsid w:val="00260B11"/>
    <w:rsid w:val="00261C77"/>
    <w:rsid w:val="00261EDB"/>
    <w:rsid w:val="0026337B"/>
    <w:rsid w:val="00277591"/>
    <w:rsid w:val="00280672"/>
    <w:rsid w:val="002807D9"/>
    <w:rsid w:val="00283F20"/>
    <w:rsid w:val="00287D8C"/>
    <w:rsid w:val="00291AF3"/>
    <w:rsid w:val="00292855"/>
    <w:rsid w:val="002937B8"/>
    <w:rsid w:val="002A40E8"/>
    <w:rsid w:val="002A5BD5"/>
    <w:rsid w:val="002A5E92"/>
    <w:rsid w:val="002B1363"/>
    <w:rsid w:val="002B1B93"/>
    <w:rsid w:val="002B2303"/>
    <w:rsid w:val="002B359B"/>
    <w:rsid w:val="002B6065"/>
    <w:rsid w:val="002B7DB4"/>
    <w:rsid w:val="002C0DD9"/>
    <w:rsid w:val="002C17AD"/>
    <w:rsid w:val="002C2CC9"/>
    <w:rsid w:val="002C4290"/>
    <w:rsid w:val="002C6D15"/>
    <w:rsid w:val="002C71EC"/>
    <w:rsid w:val="002D2C2C"/>
    <w:rsid w:val="002D5B6A"/>
    <w:rsid w:val="002D6978"/>
    <w:rsid w:val="002E08C3"/>
    <w:rsid w:val="002E183D"/>
    <w:rsid w:val="002E1930"/>
    <w:rsid w:val="002E1C73"/>
    <w:rsid w:val="002E3533"/>
    <w:rsid w:val="002E4894"/>
    <w:rsid w:val="002E52A6"/>
    <w:rsid w:val="002E7E15"/>
    <w:rsid w:val="002F0481"/>
    <w:rsid w:val="002F2943"/>
    <w:rsid w:val="002F56D9"/>
    <w:rsid w:val="002F5A2B"/>
    <w:rsid w:val="002F6156"/>
    <w:rsid w:val="002F78AC"/>
    <w:rsid w:val="003004F9"/>
    <w:rsid w:val="00303A49"/>
    <w:rsid w:val="00304E3E"/>
    <w:rsid w:val="0030503C"/>
    <w:rsid w:val="00310D95"/>
    <w:rsid w:val="003163D5"/>
    <w:rsid w:val="003202DB"/>
    <w:rsid w:val="00322926"/>
    <w:rsid w:val="00323873"/>
    <w:rsid w:val="0032507D"/>
    <w:rsid w:val="00327FF3"/>
    <w:rsid w:val="0033393F"/>
    <w:rsid w:val="00334B10"/>
    <w:rsid w:val="0033502E"/>
    <w:rsid w:val="003356AD"/>
    <w:rsid w:val="00336371"/>
    <w:rsid w:val="003377CF"/>
    <w:rsid w:val="00342B21"/>
    <w:rsid w:val="003445A9"/>
    <w:rsid w:val="00345E1B"/>
    <w:rsid w:val="00347429"/>
    <w:rsid w:val="0035017D"/>
    <w:rsid w:val="00353EC4"/>
    <w:rsid w:val="00356345"/>
    <w:rsid w:val="00356F12"/>
    <w:rsid w:val="00362FAC"/>
    <w:rsid w:val="00365AC8"/>
    <w:rsid w:val="003661F7"/>
    <w:rsid w:val="00366FC4"/>
    <w:rsid w:val="00367F1E"/>
    <w:rsid w:val="00370C0E"/>
    <w:rsid w:val="00370FBF"/>
    <w:rsid w:val="003735B4"/>
    <w:rsid w:val="00375977"/>
    <w:rsid w:val="0037695D"/>
    <w:rsid w:val="0038106D"/>
    <w:rsid w:val="0038166B"/>
    <w:rsid w:val="00381BB1"/>
    <w:rsid w:val="00384B49"/>
    <w:rsid w:val="0038590B"/>
    <w:rsid w:val="0038634C"/>
    <w:rsid w:val="00387E3B"/>
    <w:rsid w:val="003906F2"/>
    <w:rsid w:val="0039186C"/>
    <w:rsid w:val="0039204E"/>
    <w:rsid w:val="003926C7"/>
    <w:rsid w:val="00392988"/>
    <w:rsid w:val="00393073"/>
    <w:rsid w:val="0039518A"/>
    <w:rsid w:val="003958DE"/>
    <w:rsid w:val="0039705E"/>
    <w:rsid w:val="003A1ADD"/>
    <w:rsid w:val="003A5790"/>
    <w:rsid w:val="003A5F6E"/>
    <w:rsid w:val="003A60AC"/>
    <w:rsid w:val="003A7231"/>
    <w:rsid w:val="003A7DA1"/>
    <w:rsid w:val="003B0568"/>
    <w:rsid w:val="003B0EE3"/>
    <w:rsid w:val="003C15DD"/>
    <w:rsid w:val="003D0E2F"/>
    <w:rsid w:val="003D21D1"/>
    <w:rsid w:val="003D2D50"/>
    <w:rsid w:val="003D341E"/>
    <w:rsid w:val="003D43E6"/>
    <w:rsid w:val="003D4526"/>
    <w:rsid w:val="003D588B"/>
    <w:rsid w:val="003E2123"/>
    <w:rsid w:val="003E3C3A"/>
    <w:rsid w:val="003E7FD0"/>
    <w:rsid w:val="003F2E49"/>
    <w:rsid w:val="003F43FE"/>
    <w:rsid w:val="003F4508"/>
    <w:rsid w:val="003F6132"/>
    <w:rsid w:val="00400828"/>
    <w:rsid w:val="00403045"/>
    <w:rsid w:val="00403C68"/>
    <w:rsid w:val="004053B8"/>
    <w:rsid w:val="0041073E"/>
    <w:rsid w:val="00413059"/>
    <w:rsid w:val="004138D2"/>
    <w:rsid w:val="00416628"/>
    <w:rsid w:val="00420EEF"/>
    <w:rsid w:val="00422887"/>
    <w:rsid w:val="0042319E"/>
    <w:rsid w:val="00425D2F"/>
    <w:rsid w:val="0042675D"/>
    <w:rsid w:val="00431166"/>
    <w:rsid w:val="004338D7"/>
    <w:rsid w:val="004343C9"/>
    <w:rsid w:val="00434B29"/>
    <w:rsid w:val="00434C46"/>
    <w:rsid w:val="00435E91"/>
    <w:rsid w:val="00436E84"/>
    <w:rsid w:val="004370E1"/>
    <w:rsid w:val="004375B8"/>
    <w:rsid w:val="00442178"/>
    <w:rsid w:val="00443740"/>
    <w:rsid w:val="00447ACD"/>
    <w:rsid w:val="0045083F"/>
    <w:rsid w:val="00454060"/>
    <w:rsid w:val="004541D3"/>
    <w:rsid w:val="00454727"/>
    <w:rsid w:val="00455503"/>
    <w:rsid w:val="0045591B"/>
    <w:rsid w:val="00457439"/>
    <w:rsid w:val="00463086"/>
    <w:rsid w:val="00464B9E"/>
    <w:rsid w:val="0046523C"/>
    <w:rsid w:val="004673C1"/>
    <w:rsid w:val="004707DB"/>
    <w:rsid w:val="00470EF4"/>
    <w:rsid w:val="004730CE"/>
    <w:rsid w:val="00473882"/>
    <w:rsid w:val="0047441A"/>
    <w:rsid w:val="0047627B"/>
    <w:rsid w:val="0047760D"/>
    <w:rsid w:val="00477B06"/>
    <w:rsid w:val="00482B72"/>
    <w:rsid w:val="00483C3A"/>
    <w:rsid w:val="00486A97"/>
    <w:rsid w:val="004904AE"/>
    <w:rsid w:val="00492E7B"/>
    <w:rsid w:val="004A1CC3"/>
    <w:rsid w:val="004A3DC4"/>
    <w:rsid w:val="004B0BD5"/>
    <w:rsid w:val="004B2803"/>
    <w:rsid w:val="004B67AA"/>
    <w:rsid w:val="004C289F"/>
    <w:rsid w:val="004C2A63"/>
    <w:rsid w:val="004C3F47"/>
    <w:rsid w:val="004C3FCF"/>
    <w:rsid w:val="004D064C"/>
    <w:rsid w:val="004D0758"/>
    <w:rsid w:val="004D08D2"/>
    <w:rsid w:val="004D1D61"/>
    <w:rsid w:val="004D620E"/>
    <w:rsid w:val="004E018E"/>
    <w:rsid w:val="004E02C7"/>
    <w:rsid w:val="004E0CCF"/>
    <w:rsid w:val="004E2BFE"/>
    <w:rsid w:val="004E3149"/>
    <w:rsid w:val="004E53D3"/>
    <w:rsid w:val="004E56BE"/>
    <w:rsid w:val="004F18F8"/>
    <w:rsid w:val="004F49B7"/>
    <w:rsid w:val="004F5188"/>
    <w:rsid w:val="004F55F8"/>
    <w:rsid w:val="004F6679"/>
    <w:rsid w:val="004F6871"/>
    <w:rsid w:val="00500A46"/>
    <w:rsid w:val="005020C0"/>
    <w:rsid w:val="00503443"/>
    <w:rsid w:val="005068B7"/>
    <w:rsid w:val="00510C06"/>
    <w:rsid w:val="00513120"/>
    <w:rsid w:val="00514158"/>
    <w:rsid w:val="00514793"/>
    <w:rsid w:val="005204C0"/>
    <w:rsid w:val="00527DEE"/>
    <w:rsid w:val="00530F3B"/>
    <w:rsid w:val="0053204F"/>
    <w:rsid w:val="00535527"/>
    <w:rsid w:val="00537B4D"/>
    <w:rsid w:val="005406BF"/>
    <w:rsid w:val="00540F6D"/>
    <w:rsid w:val="0054605E"/>
    <w:rsid w:val="005465D0"/>
    <w:rsid w:val="00555426"/>
    <w:rsid w:val="00563B4A"/>
    <w:rsid w:val="00563DC3"/>
    <w:rsid w:val="00566B87"/>
    <w:rsid w:val="005670FE"/>
    <w:rsid w:val="00567908"/>
    <w:rsid w:val="00567A3E"/>
    <w:rsid w:val="00567D80"/>
    <w:rsid w:val="00573732"/>
    <w:rsid w:val="00574554"/>
    <w:rsid w:val="00574AE4"/>
    <w:rsid w:val="00576B4A"/>
    <w:rsid w:val="0057708C"/>
    <w:rsid w:val="00581DFA"/>
    <w:rsid w:val="00584652"/>
    <w:rsid w:val="00584DE8"/>
    <w:rsid w:val="00587888"/>
    <w:rsid w:val="00587CE8"/>
    <w:rsid w:val="00590ABF"/>
    <w:rsid w:val="00590D76"/>
    <w:rsid w:val="0059279E"/>
    <w:rsid w:val="00594352"/>
    <w:rsid w:val="005965FE"/>
    <w:rsid w:val="005A1524"/>
    <w:rsid w:val="005A19D5"/>
    <w:rsid w:val="005A3383"/>
    <w:rsid w:val="005A39D4"/>
    <w:rsid w:val="005A3C8C"/>
    <w:rsid w:val="005A4DF3"/>
    <w:rsid w:val="005B3AB6"/>
    <w:rsid w:val="005B6AC3"/>
    <w:rsid w:val="005B6BE4"/>
    <w:rsid w:val="005B732D"/>
    <w:rsid w:val="005C03F1"/>
    <w:rsid w:val="005C0706"/>
    <w:rsid w:val="005C1617"/>
    <w:rsid w:val="005C2BC2"/>
    <w:rsid w:val="005C5BDB"/>
    <w:rsid w:val="005C5DC5"/>
    <w:rsid w:val="005C7C26"/>
    <w:rsid w:val="005D2019"/>
    <w:rsid w:val="005D2A7B"/>
    <w:rsid w:val="005D48F3"/>
    <w:rsid w:val="005D63F0"/>
    <w:rsid w:val="005D7673"/>
    <w:rsid w:val="005E1E28"/>
    <w:rsid w:val="005E25F3"/>
    <w:rsid w:val="005E49D0"/>
    <w:rsid w:val="005E4C50"/>
    <w:rsid w:val="005E7129"/>
    <w:rsid w:val="005E7CFB"/>
    <w:rsid w:val="005E7E9A"/>
    <w:rsid w:val="005F3C1C"/>
    <w:rsid w:val="005F576B"/>
    <w:rsid w:val="005F5C0C"/>
    <w:rsid w:val="006000BF"/>
    <w:rsid w:val="00602F4F"/>
    <w:rsid w:val="00603B82"/>
    <w:rsid w:val="00610371"/>
    <w:rsid w:val="00614B40"/>
    <w:rsid w:val="00616A93"/>
    <w:rsid w:val="00622097"/>
    <w:rsid w:val="006250D8"/>
    <w:rsid w:val="006306CC"/>
    <w:rsid w:val="00630B18"/>
    <w:rsid w:val="00633A27"/>
    <w:rsid w:val="00633E97"/>
    <w:rsid w:val="00634AB8"/>
    <w:rsid w:val="00634BD6"/>
    <w:rsid w:val="00634D79"/>
    <w:rsid w:val="00635739"/>
    <w:rsid w:val="00635BB2"/>
    <w:rsid w:val="00636B02"/>
    <w:rsid w:val="00636E20"/>
    <w:rsid w:val="006373E4"/>
    <w:rsid w:val="00646CA3"/>
    <w:rsid w:val="00647CB6"/>
    <w:rsid w:val="0065151E"/>
    <w:rsid w:val="00653527"/>
    <w:rsid w:val="006540FE"/>
    <w:rsid w:val="00655856"/>
    <w:rsid w:val="00660A8D"/>
    <w:rsid w:val="006731D4"/>
    <w:rsid w:val="0067733E"/>
    <w:rsid w:val="0068034C"/>
    <w:rsid w:val="00685A9C"/>
    <w:rsid w:val="006878D1"/>
    <w:rsid w:val="006911D1"/>
    <w:rsid w:val="00693A64"/>
    <w:rsid w:val="00694091"/>
    <w:rsid w:val="00696596"/>
    <w:rsid w:val="00696AF4"/>
    <w:rsid w:val="006978D8"/>
    <w:rsid w:val="00697E6F"/>
    <w:rsid w:val="006A4412"/>
    <w:rsid w:val="006A5229"/>
    <w:rsid w:val="006A6D71"/>
    <w:rsid w:val="006A7BB9"/>
    <w:rsid w:val="006A7FA2"/>
    <w:rsid w:val="006B0F33"/>
    <w:rsid w:val="006B607A"/>
    <w:rsid w:val="006B6C2C"/>
    <w:rsid w:val="006B70DB"/>
    <w:rsid w:val="006C1BEA"/>
    <w:rsid w:val="006C6E1A"/>
    <w:rsid w:val="006D455D"/>
    <w:rsid w:val="006D6C01"/>
    <w:rsid w:val="006D6C94"/>
    <w:rsid w:val="006D6E2A"/>
    <w:rsid w:val="006E01B5"/>
    <w:rsid w:val="006E051A"/>
    <w:rsid w:val="006E3BD2"/>
    <w:rsid w:val="006F0F4B"/>
    <w:rsid w:val="006F2223"/>
    <w:rsid w:val="006F446A"/>
    <w:rsid w:val="006F747F"/>
    <w:rsid w:val="006F7CF0"/>
    <w:rsid w:val="00700D4A"/>
    <w:rsid w:val="007021BE"/>
    <w:rsid w:val="00712806"/>
    <w:rsid w:val="007205F1"/>
    <w:rsid w:val="00721FD2"/>
    <w:rsid w:val="00725556"/>
    <w:rsid w:val="0072749F"/>
    <w:rsid w:val="007279BD"/>
    <w:rsid w:val="00730FB9"/>
    <w:rsid w:val="007321BE"/>
    <w:rsid w:val="0073348B"/>
    <w:rsid w:val="00733C98"/>
    <w:rsid w:val="00735965"/>
    <w:rsid w:val="00736267"/>
    <w:rsid w:val="007422CE"/>
    <w:rsid w:val="0074422E"/>
    <w:rsid w:val="00746D09"/>
    <w:rsid w:val="00747460"/>
    <w:rsid w:val="00747648"/>
    <w:rsid w:val="00750B83"/>
    <w:rsid w:val="00751FF4"/>
    <w:rsid w:val="007541ED"/>
    <w:rsid w:val="0075617C"/>
    <w:rsid w:val="00766CAD"/>
    <w:rsid w:val="00771E1F"/>
    <w:rsid w:val="007734F0"/>
    <w:rsid w:val="0077603A"/>
    <w:rsid w:val="00776F55"/>
    <w:rsid w:val="007806C9"/>
    <w:rsid w:val="0078347C"/>
    <w:rsid w:val="00786342"/>
    <w:rsid w:val="0078675E"/>
    <w:rsid w:val="00790485"/>
    <w:rsid w:val="00791948"/>
    <w:rsid w:val="00791E65"/>
    <w:rsid w:val="007930DD"/>
    <w:rsid w:val="00793214"/>
    <w:rsid w:val="00794D77"/>
    <w:rsid w:val="00794E1B"/>
    <w:rsid w:val="007971E9"/>
    <w:rsid w:val="007A64FC"/>
    <w:rsid w:val="007B12B0"/>
    <w:rsid w:val="007B21E2"/>
    <w:rsid w:val="007B4164"/>
    <w:rsid w:val="007B7A43"/>
    <w:rsid w:val="007C0AAF"/>
    <w:rsid w:val="007C16AC"/>
    <w:rsid w:val="007C5416"/>
    <w:rsid w:val="007C7BD0"/>
    <w:rsid w:val="007D1322"/>
    <w:rsid w:val="007D1B60"/>
    <w:rsid w:val="007D4B87"/>
    <w:rsid w:val="007D5B3D"/>
    <w:rsid w:val="007E02E6"/>
    <w:rsid w:val="007E0B4B"/>
    <w:rsid w:val="007E4E35"/>
    <w:rsid w:val="007E5C28"/>
    <w:rsid w:val="007E6B42"/>
    <w:rsid w:val="007F0FC2"/>
    <w:rsid w:val="007F17D8"/>
    <w:rsid w:val="007F3B17"/>
    <w:rsid w:val="007F78FC"/>
    <w:rsid w:val="00803C6A"/>
    <w:rsid w:val="00807002"/>
    <w:rsid w:val="00814874"/>
    <w:rsid w:val="00815068"/>
    <w:rsid w:val="00816A83"/>
    <w:rsid w:val="008173E8"/>
    <w:rsid w:val="008179C1"/>
    <w:rsid w:val="0082184E"/>
    <w:rsid w:val="00822F71"/>
    <w:rsid w:val="00824935"/>
    <w:rsid w:val="00826797"/>
    <w:rsid w:val="00826FC6"/>
    <w:rsid w:val="008308B3"/>
    <w:rsid w:val="008322E1"/>
    <w:rsid w:val="00841F5D"/>
    <w:rsid w:val="008430EE"/>
    <w:rsid w:val="00846060"/>
    <w:rsid w:val="00854B73"/>
    <w:rsid w:val="0085646B"/>
    <w:rsid w:val="00857E40"/>
    <w:rsid w:val="008631D0"/>
    <w:rsid w:val="00865D5C"/>
    <w:rsid w:val="008737EC"/>
    <w:rsid w:val="0087402B"/>
    <w:rsid w:val="0087428A"/>
    <w:rsid w:val="008744A8"/>
    <w:rsid w:val="008843B1"/>
    <w:rsid w:val="00885A4A"/>
    <w:rsid w:val="00892429"/>
    <w:rsid w:val="00895F25"/>
    <w:rsid w:val="00895FF0"/>
    <w:rsid w:val="008963FA"/>
    <w:rsid w:val="008A1973"/>
    <w:rsid w:val="008B040B"/>
    <w:rsid w:val="008B0D95"/>
    <w:rsid w:val="008B0E8B"/>
    <w:rsid w:val="008B2517"/>
    <w:rsid w:val="008B4646"/>
    <w:rsid w:val="008B46F5"/>
    <w:rsid w:val="008B47D7"/>
    <w:rsid w:val="008B4934"/>
    <w:rsid w:val="008B588A"/>
    <w:rsid w:val="008B6EDA"/>
    <w:rsid w:val="008C12FC"/>
    <w:rsid w:val="008C2857"/>
    <w:rsid w:val="008C2C71"/>
    <w:rsid w:val="008C3044"/>
    <w:rsid w:val="008C3F3D"/>
    <w:rsid w:val="008C4228"/>
    <w:rsid w:val="008C53C3"/>
    <w:rsid w:val="008C66BB"/>
    <w:rsid w:val="008D023C"/>
    <w:rsid w:val="008D0500"/>
    <w:rsid w:val="008D19B9"/>
    <w:rsid w:val="008D26AE"/>
    <w:rsid w:val="008D2E1F"/>
    <w:rsid w:val="008D4780"/>
    <w:rsid w:val="008D5032"/>
    <w:rsid w:val="008D5079"/>
    <w:rsid w:val="008D5589"/>
    <w:rsid w:val="008D61A0"/>
    <w:rsid w:val="008D61A7"/>
    <w:rsid w:val="008D65C2"/>
    <w:rsid w:val="008E6DE2"/>
    <w:rsid w:val="008E7615"/>
    <w:rsid w:val="008F2454"/>
    <w:rsid w:val="008F36AE"/>
    <w:rsid w:val="008F3DDA"/>
    <w:rsid w:val="008F4CEB"/>
    <w:rsid w:val="008F7832"/>
    <w:rsid w:val="009011B9"/>
    <w:rsid w:val="00903235"/>
    <w:rsid w:val="00903E26"/>
    <w:rsid w:val="00904D11"/>
    <w:rsid w:val="00905A35"/>
    <w:rsid w:val="009110D2"/>
    <w:rsid w:val="009117D6"/>
    <w:rsid w:val="00912862"/>
    <w:rsid w:val="00912A85"/>
    <w:rsid w:val="00916860"/>
    <w:rsid w:val="0092029A"/>
    <w:rsid w:val="00920950"/>
    <w:rsid w:val="009228B4"/>
    <w:rsid w:val="00923320"/>
    <w:rsid w:val="00924D78"/>
    <w:rsid w:val="00924F9B"/>
    <w:rsid w:val="009272A5"/>
    <w:rsid w:val="009279A6"/>
    <w:rsid w:val="00927D76"/>
    <w:rsid w:val="009336CF"/>
    <w:rsid w:val="00933D3A"/>
    <w:rsid w:val="00940B30"/>
    <w:rsid w:val="00941CC4"/>
    <w:rsid w:val="00945317"/>
    <w:rsid w:val="00945B67"/>
    <w:rsid w:val="00945D1A"/>
    <w:rsid w:val="009466C7"/>
    <w:rsid w:val="009545FA"/>
    <w:rsid w:val="0096570C"/>
    <w:rsid w:val="009676A6"/>
    <w:rsid w:val="009700B3"/>
    <w:rsid w:val="009706BE"/>
    <w:rsid w:val="00975EC6"/>
    <w:rsid w:val="009800BE"/>
    <w:rsid w:val="00980597"/>
    <w:rsid w:val="0098198C"/>
    <w:rsid w:val="00987938"/>
    <w:rsid w:val="0099136D"/>
    <w:rsid w:val="009A08FB"/>
    <w:rsid w:val="009A2CB0"/>
    <w:rsid w:val="009A3861"/>
    <w:rsid w:val="009B0ECB"/>
    <w:rsid w:val="009B2762"/>
    <w:rsid w:val="009B52C1"/>
    <w:rsid w:val="009B78A4"/>
    <w:rsid w:val="009C192B"/>
    <w:rsid w:val="009C4F22"/>
    <w:rsid w:val="009D1E07"/>
    <w:rsid w:val="009D24CC"/>
    <w:rsid w:val="009D4BC9"/>
    <w:rsid w:val="009D5EFF"/>
    <w:rsid w:val="009D5FB5"/>
    <w:rsid w:val="009D6346"/>
    <w:rsid w:val="009D68F2"/>
    <w:rsid w:val="009D721E"/>
    <w:rsid w:val="009E0FF0"/>
    <w:rsid w:val="009E405A"/>
    <w:rsid w:val="009E40D5"/>
    <w:rsid w:val="009E4291"/>
    <w:rsid w:val="009E535E"/>
    <w:rsid w:val="009E739E"/>
    <w:rsid w:val="009E76CD"/>
    <w:rsid w:val="009F015F"/>
    <w:rsid w:val="009F4197"/>
    <w:rsid w:val="009F42B7"/>
    <w:rsid w:val="009F4CE5"/>
    <w:rsid w:val="009F4D6C"/>
    <w:rsid w:val="009F506E"/>
    <w:rsid w:val="009F6D9A"/>
    <w:rsid w:val="009F7FE6"/>
    <w:rsid w:val="00A037DD"/>
    <w:rsid w:val="00A1077B"/>
    <w:rsid w:val="00A10A95"/>
    <w:rsid w:val="00A1418D"/>
    <w:rsid w:val="00A14F5D"/>
    <w:rsid w:val="00A1603D"/>
    <w:rsid w:val="00A165D3"/>
    <w:rsid w:val="00A2020E"/>
    <w:rsid w:val="00A35614"/>
    <w:rsid w:val="00A35C71"/>
    <w:rsid w:val="00A37606"/>
    <w:rsid w:val="00A41FB3"/>
    <w:rsid w:val="00A453DC"/>
    <w:rsid w:val="00A45F56"/>
    <w:rsid w:val="00A46121"/>
    <w:rsid w:val="00A522E9"/>
    <w:rsid w:val="00A522FC"/>
    <w:rsid w:val="00A53802"/>
    <w:rsid w:val="00A565EF"/>
    <w:rsid w:val="00A62B58"/>
    <w:rsid w:val="00A63CAA"/>
    <w:rsid w:val="00A66523"/>
    <w:rsid w:val="00A67FE4"/>
    <w:rsid w:val="00A73C65"/>
    <w:rsid w:val="00A759C4"/>
    <w:rsid w:val="00A808E3"/>
    <w:rsid w:val="00A80A2B"/>
    <w:rsid w:val="00A8155C"/>
    <w:rsid w:val="00A81967"/>
    <w:rsid w:val="00A83230"/>
    <w:rsid w:val="00A91EBE"/>
    <w:rsid w:val="00A92BF7"/>
    <w:rsid w:val="00A93B52"/>
    <w:rsid w:val="00A96CFF"/>
    <w:rsid w:val="00A97C59"/>
    <w:rsid w:val="00AA1CD5"/>
    <w:rsid w:val="00AA6802"/>
    <w:rsid w:val="00AA6D0A"/>
    <w:rsid w:val="00AA79C7"/>
    <w:rsid w:val="00AB0F1F"/>
    <w:rsid w:val="00AB1F8D"/>
    <w:rsid w:val="00AB3295"/>
    <w:rsid w:val="00AB6021"/>
    <w:rsid w:val="00AB78E2"/>
    <w:rsid w:val="00AC2880"/>
    <w:rsid w:val="00AC4BA1"/>
    <w:rsid w:val="00AC5216"/>
    <w:rsid w:val="00AC64C2"/>
    <w:rsid w:val="00AC6F95"/>
    <w:rsid w:val="00AC75C6"/>
    <w:rsid w:val="00AD1288"/>
    <w:rsid w:val="00AD19F2"/>
    <w:rsid w:val="00AD2154"/>
    <w:rsid w:val="00AD2756"/>
    <w:rsid w:val="00AE0F56"/>
    <w:rsid w:val="00AE127B"/>
    <w:rsid w:val="00AE27DC"/>
    <w:rsid w:val="00AE3516"/>
    <w:rsid w:val="00AE4EC8"/>
    <w:rsid w:val="00AE5B4C"/>
    <w:rsid w:val="00AF21BC"/>
    <w:rsid w:val="00AF2828"/>
    <w:rsid w:val="00AF430D"/>
    <w:rsid w:val="00AF601C"/>
    <w:rsid w:val="00B0073B"/>
    <w:rsid w:val="00B017D4"/>
    <w:rsid w:val="00B02E26"/>
    <w:rsid w:val="00B03116"/>
    <w:rsid w:val="00B045AB"/>
    <w:rsid w:val="00B06E3E"/>
    <w:rsid w:val="00B109BF"/>
    <w:rsid w:val="00B1179B"/>
    <w:rsid w:val="00B216C0"/>
    <w:rsid w:val="00B21BED"/>
    <w:rsid w:val="00B24C71"/>
    <w:rsid w:val="00B272B7"/>
    <w:rsid w:val="00B313B0"/>
    <w:rsid w:val="00B3247B"/>
    <w:rsid w:val="00B329AD"/>
    <w:rsid w:val="00B32EB0"/>
    <w:rsid w:val="00B34081"/>
    <w:rsid w:val="00B349B9"/>
    <w:rsid w:val="00B34F5A"/>
    <w:rsid w:val="00B36DF9"/>
    <w:rsid w:val="00B40A27"/>
    <w:rsid w:val="00B4137C"/>
    <w:rsid w:val="00B42B85"/>
    <w:rsid w:val="00B44D2E"/>
    <w:rsid w:val="00B465A6"/>
    <w:rsid w:val="00B46BAB"/>
    <w:rsid w:val="00B46BEC"/>
    <w:rsid w:val="00B505A4"/>
    <w:rsid w:val="00B509FE"/>
    <w:rsid w:val="00B51B6A"/>
    <w:rsid w:val="00B51BC4"/>
    <w:rsid w:val="00B53210"/>
    <w:rsid w:val="00B536FC"/>
    <w:rsid w:val="00B56CBA"/>
    <w:rsid w:val="00B570EF"/>
    <w:rsid w:val="00B60990"/>
    <w:rsid w:val="00B66D2C"/>
    <w:rsid w:val="00B67CC3"/>
    <w:rsid w:val="00B713C5"/>
    <w:rsid w:val="00B71F38"/>
    <w:rsid w:val="00B732EE"/>
    <w:rsid w:val="00B742A2"/>
    <w:rsid w:val="00B750EF"/>
    <w:rsid w:val="00B76CE1"/>
    <w:rsid w:val="00B838BE"/>
    <w:rsid w:val="00B840F5"/>
    <w:rsid w:val="00B90F62"/>
    <w:rsid w:val="00B96AFB"/>
    <w:rsid w:val="00B96CA4"/>
    <w:rsid w:val="00B97C8A"/>
    <w:rsid w:val="00BA1454"/>
    <w:rsid w:val="00BA1E26"/>
    <w:rsid w:val="00BA2058"/>
    <w:rsid w:val="00BA40F9"/>
    <w:rsid w:val="00BA5C76"/>
    <w:rsid w:val="00BA6E22"/>
    <w:rsid w:val="00BA6E2C"/>
    <w:rsid w:val="00BB2978"/>
    <w:rsid w:val="00BB68FF"/>
    <w:rsid w:val="00BB6EAA"/>
    <w:rsid w:val="00BC124A"/>
    <w:rsid w:val="00BC2E08"/>
    <w:rsid w:val="00BC4369"/>
    <w:rsid w:val="00BC6913"/>
    <w:rsid w:val="00BC7CBD"/>
    <w:rsid w:val="00BD08BF"/>
    <w:rsid w:val="00BD3584"/>
    <w:rsid w:val="00BD7BE0"/>
    <w:rsid w:val="00BE1F81"/>
    <w:rsid w:val="00BF05C6"/>
    <w:rsid w:val="00C00D42"/>
    <w:rsid w:val="00C01352"/>
    <w:rsid w:val="00C02A2E"/>
    <w:rsid w:val="00C04D64"/>
    <w:rsid w:val="00C10780"/>
    <w:rsid w:val="00C16521"/>
    <w:rsid w:val="00C1759E"/>
    <w:rsid w:val="00C20A24"/>
    <w:rsid w:val="00C25F1D"/>
    <w:rsid w:val="00C27044"/>
    <w:rsid w:val="00C27917"/>
    <w:rsid w:val="00C328EE"/>
    <w:rsid w:val="00C3723A"/>
    <w:rsid w:val="00C4090A"/>
    <w:rsid w:val="00C42373"/>
    <w:rsid w:val="00C430F9"/>
    <w:rsid w:val="00C44136"/>
    <w:rsid w:val="00C45324"/>
    <w:rsid w:val="00C47051"/>
    <w:rsid w:val="00C47ED9"/>
    <w:rsid w:val="00C506ED"/>
    <w:rsid w:val="00C52ABB"/>
    <w:rsid w:val="00C53658"/>
    <w:rsid w:val="00C538F2"/>
    <w:rsid w:val="00C53CB1"/>
    <w:rsid w:val="00C56567"/>
    <w:rsid w:val="00C65E5B"/>
    <w:rsid w:val="00C675FF"/>
    <w:rsid w:val="00C72CCD"/>
    <w:rsid w:val="00C74563"/>
    <w:rsid w:val="00C8080C"/>
    <w:rsid w:val="00C80CEC"/>
    <w:rsid w:val="00C81EDF"/>
    <w:rsid w:val="00C90339"/>
    <w:rsid w:val="00CA09EF"/>
    <w:rsid w:val="00CA104E"/>
    <w:rsid w:val="00CA38C3"/>
    <w:rsid w:val="00CA49DE"/>
    <w:rsid w:val="00CA4A77"/>
    <w:rsid w:val="00CA702D"/>
    <w:rsid w:val="00CA7C3A"/>
    <w:rsid w:val="00CC4B92"/>
    <w:rsid w:val="00CC557D"/>
    <w:rsid w:val="00CC6D68"/>
    <w:rsid w:val="00CD1864"/>
    <w:rsid w:val="00CD531E"/>
    <w:rsid w:val="00CE1255"/>
    <w:rsid w:val="00CE5563"/>
    <w:rsid w:val="00CE781C"/>
    <w:rsid w:val="00CF052E"/>
    <w:rsid w:val="00CF0C6B"/>
    <w:rsid w:val="00D01262"/>
    <w:rsid w:val="00D01479"/>
    <w:rsid w:val="00D01480"/>
    <w:rsid w:val="00D04656"/>
    <w:rsid w:val="00D05AB5"/>
    <w:rsid w:val="00D06DBA"/>
    <w:rsid w:val="00D0791F"/>
    <w:rsid w:val="00D07A43"/>
    <w:rsid w:val="00D07E12"/>
    <w:rsid w:val="00D11702"/>
    <w:rsid w:val="00D15972"/>
    <w:rsid w:val="00D16C5D"/>
    <w:rsid w:val="00D22B05"/>
    <w:rsid w:val="00D231ED"/>
    <w:rsid w:val="00D25CBC"/>
    <w:rsid w:val="00D2717C"/>
    <w:rsid w:val="00D30FBB"/>
    <w:rsid w:val="00D311E4"/>
    <w:rsid w:val="00D3374E"/>
    <w:rsid w:val="00D36175"/>
    <w:rsid w:val="00D372AB"/>
    <w:rsid w:val="00D37DAD"/>
    <w:rsid w:val="00D37FF1"/>
    <w:rsid w:val="00D4418E"/>
    <w:rsid w:val="00D44A1D"/>
    <w:rsid w:val="00D4531B"/>
    <w:rsid w:val="00D50CA3"/>
    <w:rsid w:val="00D510F2"/>
    <w:rsid w:val="00D5449F"/>
    <w:rsid w:val="00D55794"/>
    <w:rsid w:val="00D5608E"/>
    <w:rsid w:val="00D6068B"/>
    <w:rsid w:val="00D6112F"/>
    <w:rsid w:val="00D61988"/>
    <w:rsid w:val="00D64B6D"/>
    <w:rsid w:val="00D66189"/>
    <w:rsid w:val="00D66528"/>
    <w:rsid w:val="00D725BB"/>
    <w:rsid w:val="00D725F6"/>
    <w:rsid w:val="00D7625A"/>
    <w:rsid w:val="00D768CC"/>
    <w:rsid w:val="00D7714D"/>
    <w:rsid w:val="00D8157D"/>
    <w:rsid w:val="00D85167"/>
    <w:rsid w:val="00D86161"/>
    <w:rsid w:val="00D91ACE"/>
    <w:rsid w:val="00D920F5"/>
    <w:rsid w:val="00D92A72"/>
    <w:rsid w:val="00D94F52"/>
    <w:rsid w:val="00D97836"/>
    <w:rsid w:val="00D979EE"/>
    <w:rsid w:val="00DA21D3"/>
    <w:rsid w:val="00DA3C81"/>
    <w:rsid w:val="00DA4E39"/>
    <w:rsid w:val="00DB10CD"/>
    <w:rsid w:val="00DB1B01"/>
    <w:rsid w:val="00DB2A2A"/>
    <w:rsid w:val="00DB41E8"/>
    <w:rsid w:val="00DB57EA"/>
    <w:rsid w:val="00DB5E87"/>
    <w:rsid w:val="00DB7C08"/>
    <w:rsid w:val="00DC3D28"/>
    <w:rsid w:val="00DC51CB"/>
    <w:rsid w:val="00DC626A"/>
    <w:rsid w:val="00DC6701"/>
    <w:rsid w:val="00DC7B86"/>
    <w:rsid w:val="00DD25D4"/>
    <w:rsid w:val="00DD28B2"/>
    <w:rsid w:val="00DD4640"/>
    <w:rsid w:val="00DD743F"/>
    <w:rsid w:val="00DE44C2"/>
    <w:rsid w:val="00DE66DE"/>
    <w:rsid w:val="00DE78A1"/>
    <w:rsid w:val="00DF09B0"/>
    <w:rsid w:val="00DF14AF"/>
    <w:rsid w:val="00DF1E4D"/>
    <w:rsid w:val="00DF4E5E"/>
    <w:rsid w:val="00DF5856"/>
    <w:rsid w:val="00DF77EE"/>
    <w:rsid w:val="00E02632"/>
    <w:rsid w:val="00E03893"/>
    <w:rsid w:val="00E049B8"/>
    <w:rsid w:val="00E12FF3"/>
    <w:rsid w:val="00E13915"/>
    <w:rsid w:val="00E141B5"/>
    <w:rsid w:val="00E144B1"/>
    <w:rsid w:val="00E1680D"/>
    <w:rsid w:val="00E17616"/>
    <w:rsid w:val="00E22FCA"/>
    <w:rsid w:val="00E26700"/>
    <w:rsid w:val="00E2674E"/>
    <w:rsid w:val="00E27166"/>
    <w:rsid w:val="00E31D07"/>
    <w:rsid w:val="00E320BB"/>
    <w:rsid w:val="00E32171"/>
    <w:rsid w:val="00E32BB3"/>
    <w:rsid w:val="00E35699"/>
    <w:rsid w:val="00E3761D"/>
    <w:rsid w:val="00E378BC"/>
    <w:rsid w:val="00E403AC"/>
    <w:rsid w:val="00E4221F"/>
    <w:rsid w:val="00E42E64"/>
    <w:rsid w:val="00E46478"/>
    <w:rsid w:val="00E46543"/>
    <w:rsid w:val="00E465C2"/>
    <w:rsid w:val="00E472F1"/>
    <w:rsid w:val="00E47506"/>
    <w:rsid w:val="00E507D0"/>
    <w:rsid w:val="00E510F8"/>
    <w:rsid w:val="00E515D3"/>
    <w:rsid w:val="00E5471E"/>
    <w:rsid w:val="00E5553A"/>
    <w:rsid w:val="00E57A02"/>
    <w:rsid w:val="00E611C4"/>
    <w:rsid w:val="00E613B8"/>
    <w:rsid w:val="00E6168E"/>
    <w:rsid w:val="00E664DC"/>
    <w:rsid w:val="00E70426"/>
    <w:rsid w:val="00E7043F"/>
    <w:rsid w:val="00E720AD"/>
    <w:rsid w:val="00E7240A"/>
    <w:rsid w:val="00E7255A"/>
    <w:rsid w:val="00E72E1F"/>
    <w:rsid w:val="00E74011"/>
    <w:rsid w:val="00E86805"/>
    <w:rsid w:val="00E8709E"/>
    <w:rsid w:val="00E90E3C"/>
    <w:rsid w:val="00E96793"/>
    <w:rsid w:val="00E97154"/>
    <w:rsid w:val="00EA0066"/>
    <w:rsid w:val="00EA17BB"/>
    <w:rsid w:val="00EA3F4C"/>
    <w:rsid w:val="00EA5752"/>
    <w:rsid w:val="00EA61E2"/>
    <w:rsid w:val="00EA64A1"/>
    <w:rsid w:val="00EB5BA5"/>
    <w:rsid w:val="00EB72A7"/>
    <w:rsid w:val="00EC06BC"/>
    <w:rsid w:val="00EC15AC"/>
    <w:rsid w:val="00EC1ED5"/>
    <w:rsid w:val="00EC4988"/>
    <w:rsid w:val="00EC747F"/>
    <w:rsid w:val="00ED0BB5"/>
    <w:rsid w:val="00ED2E22"/>
    <w:rsid w:val="00ED3EAC"/>
    <w:rsid w:val="00ED4977"/>
    <w:rsid w:val="00ED5D95"/>
    <w:rsid w:val="00ED5E32"/>
    <w:rsid w:val="00ED6245"/>
    <w:rsid w:val="00ED74E3"/>
    <w:rsid w:val="00ED74ED"/>
    <w:rsid w:val="00EE4C6A"/>
    <w:rsid w:val="00EF1FFD"/>
    <w:rsid w:val="00EF3836"/>
    <w:rsid w:val="00EF49E2"/>
    <w:rsid w:val="00F01950"/>
    <w:rsid w:val="00F068C9"/>
    <w:rsid w:val="00F06AAD"/>
    <w:rsid w:val="00F07FF9"/>
    <w:rsid w:val="00F1371E"/>
    <w:rsid w:val="00F14029"/>
    <w:rsid w:val="00F163F5"/>
    <w:rsid w:val="00F17405"/>
    <w:rsid w:val="00F17775"/>
    <w:rsid w:val="00F228CC"/>
    <w:rsid w:val="00F2330F"/>
    <w:rsid w:val="00F24B61"/>
    <w:rsid w:val="00F257C1"/>
    <w:rsid w:val="00F26D1B"/>
    <w:rsid w:val="00F30ED9"/>
    <w:rsid w:val="00F314D3"/>
    <w:rsid w:val="00F363E0"/>
    <w:rsid w:val="00F4070E"/>
    <w:rsid w:val="00F4274A"/>
    <w:rsid w:val="00F43BF8"/>
    <w:rsid w:val="00F46EE3"/>
    <w:rsid w:val="00F5521E"/>
    <w:rsid w:val="00F567F6"/>
    <w:rsid w:val="00F56882"/>
    <w:rsid w:val="00F61A73"/>
    <w:rsid w:val="00F63252"/>
    <w:rsid w:val="00F63FDA"/>
    <w:rsid w:val="00F6534B"/>
    <w:rsid w:val="00F664CC"/>
    <w:rsid w:val="00F6661B"/>
    <w:rsid w:val="00F66CF4"/>
    <w:rsid w:val="00F70F1D"/>
    <w:rsid w:val="00F7779E"/>
    <w:rsid w:val="00F80D80"/>
    <w:rsid w:val="00F81375"/>
    <w:rsid w:val="00F84696"/>
    <w:rsid w:val="00F84A30"/>
    <w:rsid w:val="00F852E5"/>
    <w:rsid w:val="00F85327"/>
    <w:rsid w:val="00F85648"/>
    <w:rsid w:val="00F915D5"/>
    <w:rsid w:val="00F91D3F"/>
    <w:rsid w:val="00F92027"/>
    <w:rsid w:val="00F925F7"/>
    <w:rsid w:val="00F94831"/>
    <w:rsid w:val="00F95D49"/>
    <w:rsid w:val="00FA0073"/>
    <w:rsid w:val="00FB2096"/>
    <w:rsid w:val="00FB3A56"/>
    <w:rsid w:val="00FC24C6"/>
    <w:rsid w:val="00FC2DDD"/>
    <w:rsid w:val="00FC2F9D"/>
    <w:rsid w:val="00FC5A84"/>
    <w:rsid w:val="00FC5AF2"/>
    <w:rsid w:val="00FD038E"/>
    <w:rsid w:val="00FD29F2"/>
    <w:rsid w:val="00FD3047"/>
    <w:rsid w:val="00FD4820"/>
    <w:rsid w:val="00FD55F8"/>
    <w:rsid w:val="00FD5A0D"/>
    <w:rsid w:val="00FE00E9"/>
    <w:rsid w:val="00FE0732"/>
    <w:rsid w:val="00FE08AC"/>
    <w:rsid w:val="00FE1665"/>
    <w:rsid w:val="00FE1EC5"/>
    <w:rsid w:val="00FE5571"/>
    <w:rsid w:val="00FF26A4"/>
    <w:rsid w:val="00FF2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CB5A6"/>
  <w15:chartTrackingRefBased/>
  <w15:docId w15:val="{85C82AF7-C670-4A6E-9011-516B684B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EDB"/>
    <w:pPr>
      <w:spacing w:before="60" w:after="60"/>
    </w:pPr>
    <w:rPr>
      <w:rFonts w:ascii="Arial" w:hAnsi="Arial"/>
      <w:sz w:val="22"/>
      <w:szCs w:val="24"/>
      <w:lang w:eastAsia="en-US"/>
    </w:rPr>
  </w:style>
  <w:style w:type="paragraph" w:styleId="Heading1">
    <w:name w:val="heading 1"/>
    <w:aliases w:val="H1 Function"/>
    <w:basedOn w:val="Normal"/>
    <w:next w:val="Normal"/>
    <w:qFormat/>
    <w:rsid w:val="00261EDB"/>
    <w:pPr>
      <w:autoSpaceDE w:val="0"/>
      <w:autoSpaceDN w:val="0"/>
      <w:adjustRightInd w:val="0"/>
      <w:outlineLvl w:val="0"/>
    </w:pPr>
    <w:rPr>
      <w:rFonts w:cs="Arial"/>
      <w:b/>
      <w:bCs/>
      <w:sz w:val="36"/>
      <w:szCs w:val="36"/>
      <w:lang w:eastAsia="en-AU"/>
    </w:rPr>
  </w:style>
  <w:style w:type="paragraph" w:styleId="Heading2">
    <w:name w:val="heading 2"/>
    <w:aliases w:val="H2 Activity"/>
    <w:basedOn w:val="Heading3"/>
    <w:next w:val="Normal"/>
    <w:link w:val="Heading2Char"/>
    <w:qFormat/>
    <w:rsid w:val="00261EDB"/>
    <w:pPr>
      <w:outlineLvl w:val="1"/>
    </w:pPr>
  </w:style>
  <w:style w:type="paragraph" w:styleId="Heading3">
    <w:name w:val="heading 3"/>
    <w:aliases w:val="H3 Record class"/>
    <w:basedOn w:val="Normal"/>
    <w:next w:val="Normal"/>
    <w:qFormat/>
    <w:rsid w:val="008F3DDA"/>
    <w:pPr>
      <w:outlineLvl w:val="2"/>
    </w:pPr>
    <w:rPr>
      <w:b/>
      <w:noProof/>
    </w:rPr>
  </w:style>
  <w:style w:type="paragraph" w:styleId="Heading4">
    <w:name w:val="heading 4"/>
    <w:aliases w:val="H4 Preamble headings"/>
    <w:basedOn w:val="Heading3"/>
    <w:next w:val="Normal"/>
    <w:link w:val="Heading4Char"/>
    <w:unhideWhenUsed/>
    <w:qFormat/>
    <w:rsid w:val="00261ED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paragraph" w:styleId="Footer">
    <w:name w:val="footer"/>
    <w:basedOn w:val="Header"/>
    <w:link w:val="FooterChar"/>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Normal"/>
    <w:next w:val="Normal"/>
    <w:uiPriority w:val="39"/>
    <w:rsid w:val="00F915D5"/>
    <w:pPr>
      <w:tabs>
        <w:tab w:val="right" w:leader="dot" w:pos="14600"/>
      </w:tabs>
      <w:spacing w:before="120" w:after="0"/>
      <w:ind w:left="340"/>
    </w:pPr>
    <w:rPr>
      <w:b/>
    </w:r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uiPriority w:val="99"/>
    <w:rsid w:val="00E97154"/>
    <w:rPr>
      <w:color w:val="5F5F5F"/>
      <w:u w:val="single"/>
    </w:rPr>
  </w:style>
  <w:style w:type="paragraph" w:customStyle="1" w:styleId="Footer-landscape">
    <w:name w:val="Footer-landscape"/>
    <w:basedOn w:val="Footer"/>
    <w:link w:val="Footer-landscapeChar"/>
    <w:rsid w:val="00E97154"/>
    <w:pPr>
      <w:pBdr>
        <w:top w:val="single" w:sz="4" w:space="4" w:color="808080"/>
      </w:pBdr>
      <w:tabs>
        <w:tab w:val="clear" w:pos="9639"/>
      </w:tabs>
      <w:spacing w:after="0"/>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pPr>
    <w:rPr>
      <w:b/>
      <w:bCs/>
      <w:sz w:val="22"/>
      <w:szCs w:val="22"/>
    </w:rPr>
  </w:style>
  <w:style w:type="character" w:customStyle="1" w:styleId="Heading2Char">
    <w:name w:val="Heading 2 Char"/>
    <w:aliases w:val="H2 Activity Char"/>
    <w:link w:val="Heading2"/>
    <w:rsid w:val="00261EDB"/>
    <w:rPr>
      <w:rFonts w:ascii="Arial" w:hAnsi="Arial"/>
      <w:b/>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link w:val="Tablesub-headingChar"/>
    <w:rsid w:val="00535527"/>
    <w:pPr>
      <w:spacing w:before="120" w:after="120"/>
    </w:pPr>
    <w:rPr>
      <w:b/>
    </w:rPr>
  </w:style>
  <w:style w:type="paragraph" w:customStyle="1" w:styleId="QSABullet">
    <w:name w:val="QSA Bullet"/>
    <w:basedOn w:val="Normal"/>
    <w:link w:val="QSABulletChar"/>
    <w:autoRedefine/>
    <w:rsid w:val="00535527"/>
    <w:pPr>
      <w:widowControl w:val="0"/>
      <w:numPr>
        <w:numId w:val="5"/>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copeNote">
    <w:name w:val="Scope Note"/>
    <w:basedOn w:val="Tabletext"/>
    <w:link w:val="ScopeNoteChar"/>
    <w:qFormat/>
    <w:rsid w:val="00261EDB"/>
    <w:pPr>
      <w:spacing w:before="60" w:after="60"/>
    </w:pPr>
    <w:rPr>
      <w:i/>
      <w:sz w:val="22"/>
      <w:szCs w:val="22"/>
    </w:rPr>
  </w:style>
  <w:style w:type="character" w:customStyle="1" w:styleId="Heading4Char">
    <w:name w:val="Heading 4 Char"/>
    <w:aliases w:val="H4 Preamble headings Char"/>
    <w:link w:val="Heading4"/>
    <w:rsid w:val="00261EDB"/>
    <w:rPr>
      <w:rFonts w:ascii="Arial" w:hAnsi="Arial"/>
      <w:b/>
      <w:sz w:val="22"/>
      <w:szCs w:val="24"/>
      <w:lang w:eastAsia="en-US"/>
    </w:rPr>
  </w:style>
  <w:style w:type="character" w:customStyle="1" w:styleId="ScopeNoteChar">
    <w:name w:val="Scope Note Char"/>
    <w:link w:val="ScopeNote"/>
    <w:rsid w:val="00261EDB"/>
    <w:rPr>
      <w:rFonts w:ascii="Arial" w:hAnsi="Arial"/>
      <w:i/>
      <w:sz w:val="22"/>
      <w:szCs w:val="22"/>
      <w:lang w:eastAsia="en-US"/>
    </w:rPr>
  </w:style>
  <w:style w:type="paragraph" w:styleId="Title">
    <w:name w:val="Title"/>
    <w:basedOn w:val="Documenttitle"/>
    <w:next w:val="Normal"/>
    <w:link w:val="TitleChar"/>
    <w:qFormat/>
    <w:rsid w:val="00261EDB"/>
    <w:pPr>
      <w:pBdr>
        <w:bottom w:val="none" w:sz="0" w:space="0" w:color="auto"/>
      </w:pBdr>
      <w:spacing w:before="60" w:after="60" w:line="360" w:lineRule="auto"/>
      <w:jc w:val="center"/>
    </w:pPr>
    <w:rPr>
      <w:b/>
      <w:noProof/>
      <w:sz w:val="64"/>
      <w:szCs w:val="64"/>
    </w:rPr>
  </w:style>
  <w:style w:type="character" w:customStyle="1" w:styleId="TitleChar">
    <w:name w:val="Title Char"/>
    <w:link w:val="Title"/>
    <w:rsid w:val="00261EDB"/>
    <w:rPr>
      <w:rFonts w:ascii="Arial" w:hAnsi="Arial" w:cs="Arial"/>
      <w:b/>
      <w:bCs/>
      <w:noProof/>
      <w:kern w:val="32"/>
      <w:sz w:val="64"/>
      <w:szCs w:val="64"/>
    </w:rPr>
  </w:style>
  <w:style w:type="paragraph" w:customStyle="1" w:styleId="Tableheadings">
    <w:name w:val="Table headings"/>
    <w:basedOn w:val="Tabletext"/>
    <w:link w:val="TableheadingsChar"/>
    <w:qFormat/>
    <w:rsid w:val="00261EDB"/>
    <w:pPr>
      <w:spacing w:before="60" w:after="60"/>
      <w:jc w:val="center"/>
    </w:pPr>
    <w:rPr>
      <w:b/>
    </w:rPr>
  </w:style>
  <w:style w:type="paragraph" w:customStyle="1" w:styleId="Headerfooter">
    <w:name w:val="Header footer"/>
    <w:basedOn w:val="Footer-landscape"/>
    <w:link w:val="HeaderfooterChar"/>
    <w:qFormat/>
    <w:rsid w:val="00FD29F2"/>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261EDB"/>
    <w:rPr>
      <w:rFonts w:ascii="Arial" w:hAnsi="Arial"/>
      <w:b/>
      <w:lang w:eastAsia="en-US"/>
    </w:rPr>
  </w:style>
  <w:style w:type="character" w:customStyle="1" w:styleId="UnresolvedMention1">
    <w:name w:val="Unresolved Mention1"/>
    <w:uiPriority w:val="99"/>
    <w:semiHidden/>
    <w:unhideWhenUsed/>
    <w:rsid w:val="00D2717C"/>
    <w:rPr>
      <w:color w:val="808080"/>
      <w:shd w:val="clear" w:color="auto" w:fill="E6E6E6"/>
    </w:rPr>
  </w:style>
  <w:style w:type="character" w:customStyle="1" w:styleId="HeaderChar">
    <w:name w:val="Header Char"/>
    <w:link w:val="Header"/>
    <w:rsid w:val="00FD29F2"/>
    <w:rPr>
      <w:rFonts w:ascii="Arial" w:hAnsi="Arial"/>
      <w:sz w:val="18"/>
      <w:szCs w:val="24"/>
      <w:lang w:eastAsia="en-US"/>
    </w:rPr>
  </w:style>
  <w:style w:type="character" w:customStyle="1" w:styleId="FooterChar">
    <w:name w:val="Footer Char"/>
    <w:basedOn w:val="HeaderChar"/>
    <w:link w:val="Footer"/>
    <w:rsid w:val="00FD29F2"/>
    <w:rPr>
      <w:rFonts w:ascii="Arial" w:hAnsi="Arial"/>
      <w:sz w:val="18"/>
      <w:szCs w:val="24"/>
      <w:lang w:eastAsia="en-US"/>
    </w:rPr>
  </w:style>
  <w:style w:type="character" w:customStyle="1" w:styleId="Footer-landscapeChar">
    <w:name w:val="Footer-landscape Char"/>
    <w:basedOn w:val="FooterChar"/>
    <w:link w:val="Footer-landscape"/>
    <w:rsid w:val="00FD29F2"/>
    <w:rPr>
      <w:rFonts w:ascii="Arial" w:hAnsi="Arial"/>
      <w:sz w:val="18"/>
      <w:szCs w:val="24"/>
      <w:lang w:eastAsia="en-US"/>
    </w:rPr>
  </w:style>
  <w:style w:type="character" w:customStyle="1" w:styleId="HeaderfooterChar">
    <w:name w:val="Header footer Char"/>
    <w:link w:val="Headerfooter"/>
    <w:rsid w:val="00FD29F2"/>
    <w:rPr>
      <w:rFonts w:ascii="Arial" w:hAnsi="Arial"/>
      <w:b/>
      <w:sz w:val="18"/>
      <w:szCs w:val="22"/>
      <w:lang w:eastAsia="en-US"/>
    </w:rPr>
  </w:style>
  <w:style w:type="character" w:styleId="CommentReference">
    <w:name w:val="annotation reference"/>
    <w:rsid w:val="007E4E35"/>
    <w:rPr>
      <w:sz w:val="16"/>
      <w:szCs w:val="16"/>
    </w:rPr>
  </w:style>
  <w:style w:type="paragraph" w:styleId="CommentText">
    <w:name w:val="annotation text"/>
    <w:basedOn w:val="Normal"/>
    <w:link w:val="CommentTextChar"/>
    <w:rsid w:val="007E4E35"/>
    <w:rPr>
      <w:sz w:val="20"/>
      <w:szCs w:val="20"/>
    </w:rPr>
  </w:style>
  <w:style w:type="character" w:customStyle="1" w:styleId="CommentTextChar">
    <w:name w:val="Comment Text Char"/>
    <w:link w:val="CommentText"/>
    <w:rsid w:val="007E4E35"/>
    <w:rPr>
      <w:rFonts w:ascii="Arial" w:hAnsi="Arial"/>
      <w:lang w:eastAsia="en-US"/>
    </w:rPr>
  </w:style>
  <w:style w:type="paragraph" w:styleId="CommentSubject">
    <w:name w:val="annotation subject"/>
    <w:basedOn w:val="CommentText"/>
    <w:next w:val="CommentText"/>
    <w:link w:val="CommentSubjectChar"/>
    <w:rsid w:val="007E4E35"/>
    <w:rPr>
      <w:b/>
      <w:bCs/>
    </w:rPr>
  </w:style>
  <w:style w:type="character" w:customStyle="1" w:styleId="CommentSubjectChar">
    <w:name w:val="Comment Subject Char"/>
    <w:link w:val="CommentSubject"/>
    <w:rsid w:val="007E4E35"/>
    <w:rPr>
      <w:rFonts w:ascii="Arial" w:hAnsi="Arial"/>
      <w:b/>
      <w:bCs/>
      <w:lang w:eastAsia="en-US"/>
    </w:rPr>
  </w:style>
  <w:style w:type="paragraph" w:styleId="BalloonText">
    <w:name w:val="Balloon Text"/>
    <w:basedOn w:val="Normal"/>
    <w:link w:val="BalloonTextChar"/>
    <w:rsid w:val="007E4E35"/>
    <w:pPr>
      <w:spacing w:before="0" w:after="0"/>
    </w:pPr>
    <w:rPr>
      <w:rFonts w:ascii="Segoe UI" w:hAnsi="Segoe UI" w:cs="Segoe UI"/>
      <w:sz w:val="18"/>
      <w:szCs w:val="18"/>
    </w:rPr>
  </w:style>
  <w:style w:type="character" w:customStyle="1" w:styleId="BalloonTextChar">
    <w:name w:val="Balloon Text Char"/>
    <w:link w:val="BalloonText"/>
    <w:rsid w:val="007E4E35"/>
    <w:rPr>
      <w:rFonts w:ascii="Segoe UI" w:hAnsi="Segoe UI" w:cs="Segoe UI"/>
      <w:sz w:val="18"/>
      <w:szCs w:val="18"/>
      <w:lang w:eastAsia="en-US"/>
    </w:rPr>
  </w:style>
  <w:style w:type="paragraph" w:styleId="TOC1">
    <w:name w:val="toc 1"/>
    <w:basedOn w:val="Normal"/>
    <w:next w:val="Normal"/>
    <w:autoRedefine/>
    <w:uiPriority w:val="39"/>
    <w:rsid w:val="00D37DAD"/>
    <w:pPr>
      <w:tabs>
        <w:tab w:val="right" w:leader="dot" w:pos="15126"/>
      </w:tabs>
      <w:spacing w:line="480" w:lineRule="auto"/>
      <w:ind w:left="340"/>
    </w:pPr>
    <w:rPr>
      <w:b/>
    </w:rPr>
  </w:style>
  <w:style w:type="paragraph" w:styleId="TOC3">
    <w:name w:val="toc 3"/>
    <w:basedOn w:val="Normal"/>
    <w:next w:val="Normal"/>
    <w:autoRedefine/>
    <w:uiPriority w:val="39"/>
    <w:rsid w:val="00F915D5"/>
    <w:pPr>
      <w:ind w:left="440"/>
    </w:pPr>
  </w:style>
  <w:style w:type="paragraph" w:styleId="ListParagraph">
    <w:name w:val="List Paragraph"/>
    <w:basedOn w:val="Normal"/>
    <w:uiPriority w:val="34"/>
    <w:qFormat/>
    <w:rsid w:val="00776F55"/>
    <w:pPr>
      <w:ind w:left="720"/>
      <w:contextualSpacing/>
    </w:pPr>
  </w:style>
  <w:style w:type="character" w:styleId="Emphasis">
    <w:name w:val="Emphasis"/>
    <w:basedOn w:val="DefaultParagraphFont"/>
    <w:qFormat/>
    <w:rsid w:val="00630B18"/>
    <w:rPr>
      <w:i/>
      <w:iCs/>
    </w:rPr>
  </w:style>
  <w:style w:type="paragraph" w:styleId="TOC4">
    <w:name w:val="toc 4"/>
    <w:basedOn w:val="Normal"/>
    <w:next w:val="Normal"/>
    <w:autoRedefine/>
    <w:uiPriority w:val="39"/>
    <w:rsid w:val="00BC2E08"/>
    <w:pPr>
      <w:spacing w:after="100"/>
      <w:ind w:left="660"/>
    </w:pPr>
  </w:style>
  <w:style w:type="paragraph" w:styleId="TOC7">
    <w:name w:val="toc 7"/>
    <w:basedOn w:val="Normal"/>
    <w:next w:val="Normal"/>
    <w:autoRedefine/>
    <w:rsid w:val="006306CC"/>
    <w:pPr>
      <w:spacing w:after="100"/>
      <w:ind w:left="1320"/>
    </w:pPr>
  </w:style>
  <w:style w:type="character" w:styleId="UnresolvedMention">
    <w:name w:val="Unresolved Mention"/>
    <w:basedOn w:val="DefaultParagraphFont"/>
    <w:uiPriority w:val="99"/>
    <w:semiHidden/>
    <w:unhideWhenUsed/>
    <w:rsid w:val="00B329AD"/>
    <w:rPr>
      <w:color w:val="605E5C"/>
      <w:shd w:val="clear" w:color="auto" w:fill="E1DFDD"/>
    </w:rPr>
  </w:style>
  <w:style w:type="paragraph" w:styleId="Revision">
    <w:name w:val="Revision"/>
    <w:hidden/>
    <w:uiPriority w:val="99"/>
    <w:semiHidden/>
    <w:rsid w:val="000C5650"/>
    <w:rPr>
      <w:rFonts w:ascii="Arial" w:hAnsi="Arial"/>
      <w:sz w:val="22"/>
      <w:szCs w:val="24"/>
      <w:lang w:eastAsia="en-US"/>
    </w:rPr>
  </w:style>
  <w:style w:type="paragraph" w:customStyle="1" w:styleId="Bullets3rdlevel">
    <w:name w:val="Bullets 3rd level"/>
    <w:basedOn w:val="Normal"/>
    <w:rsid w:val="004370E1"/>
    <w:pPr>
      <w:tabs>
        <w:tab w:val="left" w:pos="1134"/>
        <w:tab w:val="num" w:pos="1276"/>
      </w:tabs>
      <w:autoSpaceDE w:val="0"/>
      <w:autoSpaceDN w:val="0"/>
      <w:adjustRightInd w:val="0"/>
      <w:spacing w:before="0" w:after="0"/>
      <w:ind w:left="1134" w:hanging="360"/>
    </w:pPr>
    <w:rPr>
      <w:szCs w:val="22"/>
      <w:lang w:eastAsia="en-AU"/>
    </w:rPr>
  </w:style>
  <w:style w:type="character" w:customStyle="1" w:styleId="Tablesub-headingChar">
    <w:name w:val="Table sub-heading Char"/>
    <w:link w:val="Tablesub-heading"/>
    <w:rsid w:val="004370E1"/>
    <w:rPr>
      <w:rFonts w:ascii="Arial" w:hAnsi="Arial"/>
      <w:b/>
      <w:sz w:val="22"/>
      <w:szCs w:val="24"/>
      <w:lang w:eastAsia="en-US"/>
    </w:rPr>
  </w:style>
  <w:style w:type="character" w:styleId="FollowedHyperlink">
    <w:name w:val="FollowedHyperlink"/>
    <w:basedOn w:val="DefaultParagraphFont"/>
    <w:rsid w:val="00EE4C6A"/>
    <w:rPr>
      <w:color w:val="954F72" w:themeColor="followedHyperlink"/>
      <w:u w:val="single"/>
    </w:rPr>
  </w:style>
  <w:style w:type="table" w:styleId="TableGrid">
    <w:name w:val="Table Grid"/>
    <w:basedOn w:val="TableNormal"/>
    <w:rsid w:val="0067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3507">
      <w:bodyDiv w:val="1"/>
      <w:marLeft w:val="0"/>
      <w:marRight w:val="0"/>
      <w:marTop w:val="0"/>
      <w:marBottom w:val="0"/>
      <w:divBdr>
        <w:top w:val="none" w:sz="0" w:space="0" w:color="auto"/>
        <w:left w:val="none" w:sz="0" w:space="0" w:color="auto"/>
        <w:bottom w:val="none" w:sz="0" w:space="0" w:color="auto"/>
        <w:right w:val="none" w:sz="0" w:space="0" w:color="auto"/>
      </w:divBdr>
    </w:div>
    <w:div w:id="251278842">
      <w:bodyDiv w:val="1"/>
      <w:marLeft w:val="0"/>
      <w:marRight w:val="0"/>
      <w:marTop w:val="0"/>
      <w:marBottom w:val="0"/>
      <w:divBdr>
        <w:top w:val="none" w:sz="0" w:space="0" w:color="auto"/>
        <w:left w:val="none" w:sz="0" w:space="0" w:color="auto"/>
        <w:bottom w:val="none" w:sz="0" w:space="0" w:color="auto"/>
        <w:right w:val="none" w:sz="0" w:space="0" w:color="auto"/>
      </w:divBdr>
      <w:divsChild>
        <w:div w:id="136269028">
          <w:marLeft w:val="0"/>
          <w:marRight w:val="0"/>
          <w:marTop w:val="0"/>
          <w:marBottom w:val="0"/>
          <w:divBdr>
            <w:top w:val="none" w:sz="0" w:space="0" w:color="auto"/>
            <w:left w:val="none" w:sz="0" w:space="0" w:color="auto"/>
            <w:bottom w:val="none" w:sz="0" w:space="0" w:color="auto"/>
            <w:right w:val="none" w:sz="0" w:space="0" w:color="auto"/>
          </w:divBdr>
        </w:div>
        <w:div w:id="1811820107">
          <w:marLeft w:val="0"/>
          <w:marRight w:val="0"/>
          <w:marTop w:val="0"/>
          <w:marBottom w:val="0"/>
          <w:divBdr>
            <w:top w:val="none" w:sz="0" w:space="0" w:color="auto"/>
            <w:left w:val="none" w:sz="0" w:space="0" w:color="auto"/>
            <w:bottom w:val="none" w:sz="0" w:space="0" w:color="auto"/>
            <w:right w:val="none" w:sz="0" w:space="0" w:color="auto"/>
          </w:divBdr>
        </w:div>
      </w:divsChild>
    </w:div>
    <w:div w:id="252016527">
      <w:bodyDiv w:val="1"/>
      <w:marLeft w:val="0"/>
      <w:marRight w:val="0"/>
      <w:marTop w:val="0"/>
      <w:marBottom w:val="0"/>
      <w:divBdr>
        <w:top w:val="none" w:sz="0" w:space="0" w:color="auto"/>
        <w:left w:val="none" w:sz="0" w:space="0" w:color="auto"/>
        <w:bottom w:val="none" w:sz="0" w:space="0" w:color="auto"/>
        <w:right w:val="none" w:sz="0" w:space="0" w:color="auto"/>
      </w:divBdr>
    </w:div>
    <w:div w:id="456725309">
      <w:bodyDiv w:val="1"/>
      <w:marLeft w:val="0"/>
      <w:marRight w:val="0"/>
      <w:marTop w:val="0"/>
      <w:marBottom w:val="0"/>
      <w:divBdr>
        <w:top w:val="none" w:sz="0" w:space="0" w:color="auto"/>
        <w:left w:val="none" w:sz="0" w:space="0" w:color="auto"/>
        <w:bottom w:val="none" w:sz="0" w:space="0" w:color="auto"/>
        <w:right w:val="none" w:sz="0" w:space="0" w:color="auto"/>
      </w:divBdr>
    </w:div>
    <w:div w:id="646128569">
      <w:bodyDiv w:val="1"/>
      <w:marLeft w:val="0"/>
      <w:marRight w:val="0"/>
      <w:marTop w:val="0"/>
      <w:marBottom w:val="0"/>
      <w:divBdr>
        <w:top w:val="none" w:sz="0" w:space="0" w:color="auto"/>
        <w:left w:val="none" w:sz="0" w:space="0" w:color="auto"/>
        <w:bottom w:val="none" w:sz="0" w:space="0" w:color="auto"/>
        <w:right w:val="none" w:sz="0" w:space="0" w:color="auto"/>
      </w:divBdr>
    </w:div>
    <w:div w:id="823280057">
      <w:bodyDiv w:val="1"/>
      <w:marLeft w:val="0"/>
      <w:marRight w:val="0"/>
      <w:marTop w:val="0"/>
      <w:marBottom w:val="0"/>
      <w:divBdr>
        <w:top w:val="none" w:sz="0" w:space="0" w:color="auto"/>
        <w:left w:val="none" w:sz="0" w:space="0" w:color="auto"/>
        <w:bottom w:val="none" w:sz="0" w:space="0" w:color="auto"/>
        <w:right w:val="none" w:sz="0" w:space="0" w:color="auto"/>
      </w:divBdr>
      <w:divsChild>
        <w:div w:id="4405108">
          <w:marLeft w:val="0"/>
          <w:marRight w:val="0"/>
          <w:marTop w:val="0"/>
          <w:marBottom w:val="0"/>
          <w:divBdr>
            <w:top w:val="none" w:sz="0" w:space="0" w:color="auto"/>
            <w:left w:val="none" w:sz="0" w:space="0" w:color="auto"/>
            <w:bottom w:val="none" w:sz="0" w:space="0" w:color="auto"/>
            <w:right w:val="none" w:sz="0" w:space="0" w:color="auto"/>
          </w:divBdr>
        </w:div>
        <w:div w:id="1730955580">
          <w:marLeft w:val="0"/>
          <w:marRight w:val="0"/>
          <w:marTop w:val="0"/>
          <w:marBottom w:val="0"/>
          <w:divBdr>
            <w:top w:val="none" w:sz="0" w:space="0" w:color="auto"/>
            <w:left w:val="none" w:sz="0" w:space="0" w:color="auto"/>
            <w:bottom w:val="none" w:sz="0" w:space="0" w:color="auto"/>
            <w:right w:val="none" w:sz="0" w:space="0" w:color="auto"/>
          </w:divBdr>
        </w:div>
        <w:div w:id="669409101">
          <w:marLeft w:val="0"/>
          <w:marRight w:val="0"/>
          <w:marTop w:val="0"/>
          <w:marBottom w:val="0"/>
          <w:divBdr>
            <w:top w:val="none" w:sz="0" w:space="0" w:color="auto"/>
            <w:left w:val="none" w:sz="0" w:space="0" w:color="auto"/>
            <w:bottom w:val="none" w:sz="0" w:space="0" w:color="auto"/>
            <w:right w:val="none" w:sz="0" w:space="0" w:color="auto"/>
          </w:divBdr>
        </w:div>
      </w:divsChild>
    </w:div>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094593450">
      <w:bodyDiv w:val="1"/>
      <w:marLeft w:val="0"/>
      <w:marRight w:val="0"/>
      <w:marTop w:val="0"/>
      <w:marBottom w:val="0"/>
      <w:divBdr>
        <w:top w:val="none" w:sz="0" w:space="0" w:color="auto"/>
        <w:left w:val="none" w:sz="0" w:space="0" w:color="auto"/>
        <w:bottom w:val="none" w:sz="0" w:space="0" w:color="auto"/>
        <w:right w:val="none" w:sz="0" w:space="0" w:color="auto"/>
      </w:divBdr>
      <w:divsChild>
        <w:div w:id="2027437872">
          <w:marLeft w:val="0"/>
          <w:marRight w:val="0"/>
          <w:marTop w:val="0"/>
          <w:marBottom w:val="0"/>
          <w:divBdr>
            <w:top w:val="none" w:sz="0" w:space="0" w:color="auto"/>
            <w:left w:val="none" w:sz="0" w:space="0" w:color="auto"/>
            <w:bottom w:val="none" w:sz="0" w:space="0" w:color="auto"/>
            <w:right w:val="none" w:sz="0" w:space="0" w:color="auto"/>
          </w:divBdr>
        </w:div>
        <w:div w:id="539168647">
          <w:marLeft w:val="0"/>
          <w:marRight w:val="0"/>
          <w:marTop w:val="0"/>
          <w:marBottom w:val="0"/>
          <w:divBdr>
            <w:top w:val="none" w:sz="0" w:space="0" w:color="auto"/>
            <w:left w:val="none" w:sz="0" w:space="0" w:color="auto"/>
            <w:bottom w:val="none" w:sz="0" w:space="0" w:color="auto"/>
            <w:right w:val="none" w:sz="0" w:space="0" w:color="auto"/>
          </w:divBdr>
        </w:div>
      </w:divsChild>
    </w:div>
    <w:div w:id="1249077007">
      <w:bodyDiv w:val="1"/>
      <w:marLeft w:val="0"/>
      <w:marRight w:val="0"/>
      <w:marTop w:val="0"/>
      <w:marBottom w:val="0"/>
      <w:divBdr>
        <w:top w:val="none" w:sz="0" w:space="0" w:color="auto"/>
        <w:left w:val="none" w:sz="0" w:space="0" w:color="auto"/>
        <w:bottom w:val="none" w:sz="0" w:space="0" w:color="auto"/>
        <w:right w:val="none" w:sz="0" w:space="0" w:color="auto"/>
      </w:divBdr>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 w:id="1420374493">
      <w:bodyDiv w:val="1"/>
      <w:marLeft w:val="0"/>
      <w:marRight w:val="0"/>
      <w:marTop w:val="0"/>
      <w:marBottom w:val="0"/>
      <w:divBdr>
        <w:top w:val="none" w:sz="0" w:space="0" w:color="auto"/>
        <w:left w:val="none" w:sz="0" w:space="0" w:color="auto"/>
        <w:bottom w:val="none" w:sz="0" w:space="0" w:color="auto"/>
        <w:right w:val="none" w:sz="0" w:space="0" w:color="auto"/>
      </w:divBdr>
    </w:div>
    <w:div w:id="1751537699">
      <w:bodyDiv w:val="1"/>
      <w:marLeft w:val="0"/>
      <w:marRight w:val="0"/>
      <w:marTop w:val="0"/>
      <w:marBottom w:val="0"/>
      <w:divBdr>
        <w:top w:val="none" w:sz="0" w:space="0" w:color="auto"/>
        <w:left w:val="none" w:sz="0" w:space="0" w:color="auto"/>
        <w:bottom w:val="none" w:sz="0" w:space="0" w:color="auto"/>
        <w:right w:val="none" w:sz="0" w:space="0" w:color="auto"/>
      </w:divBdr>
    </w:div>
    <w:div w:id="21274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gov.qld.gov.au/schedules/general-retention-and-disposal-schedule-grds" TargetMode="External"/><Relationship Id="rId18" Type="http://schemas.openxmlformats.org/officeDocument/2006/relationships/hyperlink" Target="https://www.forgov.qld.gov.au/recordkeep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orgov.qld.gov.au/recordkeeping" TargetMode="External"/><Relationship Id="rId7" Type="http://schemas.openxmlformats.org/officeDocument/2006/relationships/styles" Target="styles.xml"/><Relationship Id="rId12" Type="http://schemas.openxmlformats.org/officeDocument/2006/relationships/hyperlink" Target="https://www.forgov.qld.gov.au/recordkeeping" TargetMode="External"/><Relationship Id="rId17" Type="http://schemas.openxmlformats.org/officeDocument/2006/relationships/hyperlink" Target="https://www.forgov.qld.gov.au/records-relating-vulnerable-persons" TargetMode="External"/><Relationship Id="rId25" Type="http://schemas.openxmlformats.org/officeDocument/2006/relationships/hyperlink" Target="https://www.forgov.qld.gov.au/information-and-communication-technology/recordkeeping-and-information-management/recordkeeping/retention-disposal-and-destruction-of-records/search-for-a-retention-and-disposal-schedule/general-retention-and-disposal-schedule-gr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gov.qld.gov.au/schedules/general-retention-and-disposal-schedule-grds" TargetMode="External"/><Relationship Id="rId20" Type="http://schemas.openxmlformats.org/officeDocument/2006/relationships/hyperlink" Target="https://www.forgov.qld.gov.au/recordkeep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orgov.qld.gov.au/recordkeeping" TargetMode="External"/><Relationship Id="rId23"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qgcio.qld.gov.au/documents/records-governance-policy"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rgov.qld.gov.au/schedules/general-retention-and-disposal-schedule-grds" TargetMode="External"/><Relationship Id="rId22" Type="http://schemas.openxmlformats.org/officeDocument/2006/relationships/hyperlink" Target="https://www.forgov.qld.gov.au/information-and-communication-technology/recordkeeping-and-information-management/recordkeeping/disposal-of-records/search-for-a-retention-and-disposal-schedule/general-retention-and-disposal-schedule-grds"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C915FDE3ECC4CB09293BEFEC6FA3A" ma:contentTypeVersion="12" ma:contentTypeDescription="Create a new document." ma:contentTypeScope="" ma:versionID="f6a8a889c5a7746d688eb63378f80ddd">
  <xsd:schema xmlns:xsd="http://www.w3.org/2001/XMLSchema" xmlns:xs="http://www.w3.org/2001/XMLSchema" xmlns:p="http://schemas.microsoft.com/office/2006/metadata/properties" xmlns:ns3="50dfbe05-9bb0-48de-9599-8c574e5d9586" xmlns:ns4="a6a9ab58-2360-4948-912b-cb7dd89d26d4" targetNamespace="http://schemas.microsoft.com/office/2006/metadata/properties" ma:root="true" ma:fieldsID="76959aa2e57b936f9d8c746dd3dbf574" ns3:_="" ns4:_="">
    <xsd:import namespace="50dfbe05-9bb0-48de-9599-8c574e5d9586"/>
    <xsd:import namespace="a6a9ab58-2360-4948-912b-cb7dd89d26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fbe05-9bb0-48de-9599-8c574e5d95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9ab58-2360-4948-912b-cb7dd89d26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9779508-A734-4D92-AB02-15918998E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fbe05-9bb0-48de-9599-8c574e5d9586"/>
    <ds:schemaRef ds:uri="a6a9ab58-2360-4948-912b-cb7dd89d2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94981-8778-49C5-BB9C-EFFFC3A6A627}">
  <ds:schemaRefs>
    <ds:schemaRef ds:uri="http://schemas.microsoft.com/sharepoint/v3/contenttype/forms"/>
  </ds:schemaRefs>
</ds:datastoreItem>
</file>

<file path=customXml/itemProps3.xml><?xml version="1.0" encoding="utf-8"?>
<ds:datastoreItem xmlns:ds="http://schemas.openxmlformats.org/officeDocument/2006/customXml" ds:itemID="{E8DE4B2B-061F-441D-BBD9-5B41D9E20B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ED031-4E6A-4944-B018-90F2699C4925}">
  <ds:schemaRefs>
    <ds:schemaRef ds:uri="http://schemas.openxmlformats.org/officeDocument/2006/bibliography"/>
  </ds:schemaRefs>
</ds:datastoreItem>
</file>

<file path=customXml/itemProps5.xml><?xml version="1.0" encoding="utf-8"?>
<ds:datastoreItem xmlns:ds="http://schemas.openxmlformats.org/officeDocument/2006/customXml" ds:itemID="{590839F2-2724-4D1D-90F3-3606A5B86D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5506</Words>
  <Characters>31386</Characters>
  <DocSecurity>0</DocSecurity>
  <Lines>261</Lines>
  <Paragraphs>73</Paragraphs>
  <ScaleCrop>false</ScaleCrop>
  <HeadingPairs>
    <vt:vector size="2" baseType="variant">
      <vt:variant>
        <vt:lpstr>Title</vt:lpstr>
      </vt:variant>
      <vt:variant>
        <vt:i4>1</vt:i4>
      </vt:variant>
    </vt:vector>
  </HeadingPairs>
  <TitlesOfParts>
    <vt:vector size="1" baseType="lpstr">
      <vt:lpstr>Retention and disposal schedule template</vt:lpstr>
    </vt:vector>
  </TitlesOfParts>
  <Company/>
  <LinksUpToDate>false</LinksUpToDate>
  <CharactersWithSpaces>36819</CharactersWithSpaces>
  <SharedDoc>false</SharedDoc>
  <HLinks>
    <vt:vector size="60" baseType="variant">
      <vt:variant>
        <vt:i4>6881383</vt:i4>
      </vt:variant>
      <vt:variant>
        <vt:i4>69</vt:i4>
      </vt:variant>
      <vt:variant>
        <vt:i4>0</vt:i4>
      </vt:variant>
      <vt:variant>
        <vt:i4>5</vt:i4>
      </vt:variant>
      <vt:variant>
        <vt:lpwstr>https://www.forgov.qld.gov.au/recordkeeping</vt:lpwstr>
      </vt:variant>
      <vt:variant>
        <vt:lpwstr/>
      </vt:variant>
      <vt:variant>
        <vt:i4>6881383</vt:i4>
      </vt:variant>
      <vt:variant>
        <vt:i4>66</vt:i4>
      </vt:variant>
      <vt:variant>
        <vt:i4>0</vt:i4>
      </vt:variant>
      <vt:variant>
        <vt:i4>5</vt:i4>
      </vt:variant>
      <vt:variant>
        <vt:lpwstr>https://www.forgov.qld.gov.au/recordkeeping</vt:lpwstr>
      </vt:variant>
      <vt:variant>
        <vt:lpwstr/>
      </vt:variant>
      <vt:variant>
        <vt:i4>4849664</vt:i4>
      </vt:variant>
      <vt:variant>
        <vt:i4>63</vt:i4>
      </vt:variant>
      <vt:variant>
        <vt:i4>0</vt:i4>
      </vt:variant>
      <vt:variant>
        <vt:i4>5</vt:i4>
      </vt:variant>
      <vt:variant>
        <vt:lpwstr>https://www.qgcio.qld.gov.au/documents/records-governance-policy</vt:lpwstr>
      </vt:variant>
      <vt:variant>
        <vt:lpwstr/>
      </vt:variant>
      <vt:variant>
        <vt:i4>6881383</vt:i4>
      </vt:variant>
      <vt:variant>
        <vt:i4>60</vt:i4>
      </vt:variant>
      <vt:variant>
        <vt:i4>0</vt:i4>
      </vt:variant>
      <vt:variant>
        <vt:i4>5</vt:i4>
      </vt:variant>
      <vt:variant>
        <vt:lpwstr>https://www.forgov.qld.gov.au/recordkeeping</vt:lpwstr>
      </vt:variant>
      <vt:variant>
        <vt:lpwstr/>
      </vt:variant>
      <vt:variant>
        <vt:i4>6881383</vt:i4>
      </vt:variant>
      <vt:variant>
        <vt:i4>57</vt:i4>
      </vt:variant>
      <vt:variant>
        <vt:i4>0</vt:i4>
      </vt:variant>
      <vt:variant>
        <vt:i4>5</vt:i4>
      </vt:variant>
      <vt:variant>
        <vt:lpwstr>https://www.forgov.qld.gov.au/recordkeeping</vt:lpwstr>
      </vt:variant>
      <vt:variant>
        <vt:lpwstr/>
      </vt:variant>
      <vt:variant>
        <vt:i4>1179737</vt:i4>
      </vt:variant>
      <vt:variant>
        <vt:i4>48</vt:i4>
      </vt:variant>
      <vt:variant>
        <vt:i4>0</vt:i4>
      </vt:variant>
      <vt:variant>
        <vt:i4>5</vt:i4>
      </vt:variant>
      <vt:variant>
        <vt:lpwstr>https://www.forgov.qld.gov.au/records-relating-vulnerable-persons</vt:lpwstr>
      </vt:variant>
      <vt:variant>
        <vt:lpwstr/>
      </vt:variant>
      <vt:variant>
        <vt:i4>4522079</vt:i4>
      </vt:variant>
      <vt:variant>
        <vt:i4>45</vt:i4>
      </vt:variant>
      <vt:variant>
        <vt:i4>0</vt:i4>
      </vt:variant>
      <vt:variant>
        <vt:i4>5</vt:i4>
      </vt:variant>
      <vt:variant>
        <vt:lpwstr>https://www.forgov.qld.gov.au/schedules/general-retention-and-disposal-schedule-grds</vt:lpwstr>
      </vt:variant>
      <vt:variant>
        <vt:lpwstr/>
      </vt:variant>
      <vt:variant>
        <vt:i4>4718713</vt:i4>
      </vt:variant>
      <vt:variant>
        <vt:i4>36</vt:i4>
      </vt:variant>
      <vt:variant>
        <vt:i4>0</vt:i4>
      </vt:variant>
      <vt:variant>
        <vt:i4>5</vt:i4>
      </vt:variant>
      <vt:variant>
        <vt:lpwstr>mailto:rkqueries@archives.qld.gov.au</vt:lpwstr>
      </vt:variant>
      <vt:variant>
        <vt:lpwstr/>
      </vt:variant>
      <vt:variant>
        <vt:i4>4522079</vt:i4>
      </vt:variant>
      <vt:variant>
        <vt:i4>27</vt:i4>
      </vt:variant>
      <vt:variant>
        <vt:i4>0</vt:i4>
      </vt:variant>
      <vt:variant>
        <vt:i4>5</vt:i4>
      </vt:variant>
      <vt:variant>
        <vt:lpwstr>https://www.forgov.qld.gov.au/schedules/general-retention-and-disposal-schedule-grds</vt:lpwstr>
      </vt:variant>
      <vt:variant>
        <vt:lpwstr/>
      </vt:variant>
      <vt:variant>
        <vt:i4>6881383</vt:i4>
      </vt:variant>
      <vt:variant>
        <vt:i4>12</vt:i4>
      </vt:variant>
      <vt:variant>
        <vt:i4>0</vt:i4>
      </vt:variant>
      <vt:variant>
        <vt:i4>5</vt:i4>
      </vt:variant>
      <vt:variant>
        <vt:lpwstr>https://www.forgov.qld.gov.au/recordkeeping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Building and Construction Commission retention and disposal schedule</dc:title>
  <dc:subject>retention and disposal schedule</dc:subject>
  <cp:keywords>Queensland Building and Construction Commission; QBCC; retention and disposal schedule; RDS; Queensland State Archives; QSA</cp:keywords>
  <cp:lastPrinted>2023-08-28T23:18:00Z</cp:lastPrinted>
  <dcterms:created xsi:type="dcterms:W3CDTF">2023-12-19T03:43:00Z</dcterms:created>
  <dcterms:modified xsi:type="dcterms:W3CDTF">2023-12-19T04:11:00Z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0x010100542C915FDE3ECC4CB09293BEFEC6FA3A</vt:lpwstr>
  </property>
</Properties>
</file>