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6C89" w14:textId="77777777" w:rsidR="001E12D2" w:rsidRPr="00B575C9" w:rsidRDefault="001E12D2" w:rsidP="001E12D2">
      <w:bookmarkStart w:id="0" w:name="_Toc314475542"/>
      <w:bookmarkStart w:id="1" w:name="_GoBack"/>
      <w:bookmarkEnd w:id="1"/>
    </w:p>
    <w:p w14:paraId="326873CD" w14:textId="77777777" w:rsidR="001E12D2" w:rsidRDefault="001E12D2" w:rsidP="00391CA2"/>
    <w:p w14:paraId="6C2F4382" w14:textId="77777777" w:rsidR="001E12D2" w:rsidRDefault="001E12D2" w:rsidP="00391CA2"/>
    <w:p w14:paraId="6C3DC05E" w14:textId="77777777" w:rsidR="00FE7FE4" w:rsidRDefault="00FE7FE4" w:rsidP="00391CA2">
      <w:bookmarkStart w:id="2" w:name="_Toc336267542"/>
    </w:p>
    <w:p w14:paraId="1809D6F4" w14:textId="46771CFA" w:rsidR="00FE7FE4" w:rsidRDefault="00FE7FE4" w:rsidP="00FE7FE4">
      <w:pPr>
        <w:pStyle w:val="Documenttitle"/>
        <w:pBdr>
          <w:bottom w:val="none" w:sz="0" w:space="0" w:color="auto"/>
        </w:pBdr>
        <w:spacing w:before="60" w:after="60" w:line="360" w:lineRule="auto"/>
        <w:jc w:val="center"/>
        <w:rPr>
          <w:sz w:val="64"/>
          <w:szCs w:val="64"/>
        </w:rPr>
      </w:pPr>
      <w:r>
        <w:rPr>
          <w:sz w:val="64"/>
          <w:szCs w:val="64"/>
        </w:rPr>
        <w:t>Fair Trading</w:t>
      </w:r>
      <w:r w:rsidR="006F2F2B">
        <w:rPr>
          <w:sz w:val="64"/>
          <w:szCs w:val="64"/>
        </w:rPr>
        <w:t xml:space="preserve"> </w:t>
      </w:r>
      <w:r w:rsidR="00391CA2">
        <w:rPr>
          <w:sz w:val="64"/>
          <w:szCs w:val="64"/>
        </w:rPr>
        <w:br/>
      </w:r>
      <w:r w:rsidR="006F2F2B">
        <w:rPr>
          <w:sz w:val="64"/>
          <w:szCs w:val="64"/>
        </w:rPr>
        <w:t>Retention and Disposal S</w:t>
      </w:r>
      <w:r w:rsidRPr="00F84696">
        <w:rPr>
          <w:sz w:val="64"/>
          <w:szCs w:val="64"/>
        </w:rPr>
        <w:t>chedule</w:t>
      </w:r>
    </w:p>
    <w:p w14:paraId="6AABA6DE" w14:textId="54160E7C" w:rsidR="00FE7FE4" w:rsidRPr="00746863" w:rsidRDefault="00FE7FE4" w:rsidP="00FE7FE4">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AF1C26">
        <w:rPr>
          <w:sz w:val="56"/>
          <w:szCs w:val="56"/>
          <w:lang w:eastAsia="en-AU"/>
        </w:rPr>
        <w:t>on</w:t>
      </w:r>
      <w:r w:rsidR="00E26FBD">
        <w:rPr>
          <w:sz w:val="56"/>
          <w:szCs w:val="56"/>
          <w:lang w:eastAsia="en-AU"/>
        </w:rPr>
        <w:t xml:space="preserve"> </w:t>
      </w:r>
      <w:r w:rsidR="00B12D2F">
        <w:rPr>
          <w:sz w:val="56"/>
          <w:szCs w:val="56"/>
          <w:lang w:eastAsia="en-AU"/>
        </w:rPr>
        <w:t>28 March 2017</w:t>
      </w:r>
    </w:p>
    <w:p w14:paraId="562D8F54" w14:textId="77777777" w:rsidR="00FE7FE4" w:rsidRDefault="00FE7FE4" w:rsidP="00FE7FE4">
      <w:pPr>
        <w:spacing w:before="60"/>
        <w:rPr>
          <w:lang w:eastAsia="en-AU"/>
        </w:rPr>
      </w:pPr>
    </w:p>
    <w:p w14:paraId="2CE06CF2" w14:textId="77777777" w:rsidR="00FE7FE4" w:rsidRPr="00746863" w:rsidRDefault="00FE7FE4" w:rsidP="00FE7FE4">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Pr>
          <w:sz w:val="36"/>
          <w:szCs w:val="36"/>
          <w:lang w:eastAsia="en-AU"/>
        </w:rPr>
        <w:t>records of the Office of Fair Trading</w:t>
      </w:r>
      <w:r w:rsidRPr="00746863">
        <w:rPr>
          <w:sz w:val="36"/>
          <w:szCs w:val="36"/>
          <w:lang w:eastAsia="en-AU"/>
        </w:rPr>
        <w:t xml:space="preserve"> created by </w:t>
      </w:r>
      <w:r>
        <w:rPr>
          <w:sz w:val="36"/>
          <w:szCs w:val="36"/>
          <w:lang w:eastAsia="en-AU"/>
        </w:rPr>
        <w:t>Department of Justice and Attorney-General.</w:t>
      </w:r>
    </w:p>
    <w:p w14:paraId="38C05B2D" w14:textId="77777777" w:rsidR="00FE7FE4" w:rsidRDefault="00FE7FE4" w:rsidP="00391CA2">
      <w:pPr>
        <w:rPr>
          <w:lang w:eastAsia="en-AU"/>
        </w:rPr>
      </w:pPr>
    </w:p>
    <w:p w14:paraId="4F69103A" w14:textId="77777777" w:rsidR="00AF1C26" w:rsidRDefault="00AF1C26" w:rsidP="00FE7FE4">
      <w:pPr>
        <w:spacing w:before="60"/>
        <w:jc w:val="center"/>
        <w:rPr>
          <w:rFonts w:cs="Arial"/>
          <w:sz w:val="20"/>
          <w:szCs w:val="20"/>
          <w:lang w:eastAsia="en-AU"/>
        </w:rPr>
      </w:pPr>
    </w:p>
    <w:p w14:paraId="0CA06D58" w14:textId="77777777" w:rsidR="00AF1C26" w:rsidRDefault="00AF1C26" w:rsidP="00FE7FE4">
      <w:pPr>
        <w:spacing w:before="60"/>
        <w:jc w:val="center"/>
        <w:rPr>
          <w:rFonts w:cs="Arial"/>
          <w:sz w:val="20"/>
          <w:szCs w:val="20"/>
          <w:lang w:eastAsia="en-AU"/>
        </w:rPr>
      </w:pPr>
    </w:p>
    <w:p w14:paraId="018F8E82" w14:textId="77777777" w:rsidR="00AF1C26" w:rsidRDefault="00AF1C26" w:rsidP="00FE7FE4">
      <w:pPr>
        <w:spacing w:before="60"/>
        <w:jc w:val="center"/>
        <w:rPr>
          <w:rFonts w:cs="Arial"/>
          <w:sz w:val="20"/>
          <w:szCs w:val="20"/>
          <w:lang w:eastAsia="en-AU"/>
        </w:rPr>
      </w:pPr>
    </w:p>
    <w:p w14:paraId="4676B054" w14:textId="77777777" w:rsidR="00FE7FE4" w:rsidRPr="00AF1C26" w:rsidRDefault="00FE7FE4" w:rsidP="00FE7FE4">
      <w:pPr>
        <w:spacing w:before="60"/>
        <w:jc w:val="center"/>
        <w:rPr>
          <w:rFonts w:cs="Arial"/>
          <w:sz w:val="20"/>
          <w:szCs w:val="20"/>
          <w:lang w:eastAsia="en-AU"/>
        </w:rPr>
      </w:pPr>
      <w:r w:rsidRPr="00AF1C26">
        <w:rPr>
          <w:rFonts w:cs="Arial"/>
          <w:sz w:val="20"/>
          <w:szCs w:val="20"/>
          <w:lang w:eastAsia="en-AU"/>
        </w:rPr>
        <w:t xml:space="preserve">Where printed, this reproduction is only accurate at the time of printing. </w:t>
      </w:r>
    </w:p>
    <w:p w14:paraId="52575E55" w14:textId="70FEAAC6" w:rsidR="00FE7FE4" w:rsidRPr="00AF1C26" w:rsidRDefault="003E28F9" w:rsidP="00FE7FE4">
      <w:pPr>
        <w:spacing w:before="60"/>
        <w:jc w:val="center"/>
        <w:rPr>
          <w:rFonts w:cs="Arial"/>
          <w:sz w:val="20"/>
          <w:szCs w:val="20"/>
          <w:lang w:eastAsia="en-AU"/>
        </w:rPr>
      </w:pPr>
      <w:hyperlink r:id="rId9" w:history="1">
        <w:r w:rsidR="00B74808" w:rsidRPr="00B74808">
          <w:rPr>
            <w:rStyle w:val="Hyperlink"/>
            <w:sz w:val="20"/>
            <w:szCs w:val="20"/>
          </w:rPr>
          <w:t>Queensland Government (For Government) website</w:t>
        </w:r>
      </w:hyperlink>
      <w:r w:rsidR="00FE7FE4" w:rsidRPr="00AF1C26">
        <w:rPr>
          <w:sz w:val="20"/>
          <w:szCs w:val="20"/>
          <w:lang w:eastAsia="en-AU"/>
        </w:rPr>
        <w:t xml:space="preserve"> should always be referred to for the current, authorised version.</w:t>
      </w:r>
    </w:p>
    <w:p w14:paraId="7CCAB838" w14:textId="77777777" w:rsidR="00FE7FE4" w:rsidRDefault="00FE7FE4" w:rsidP="00391CA2"/>
    <w:p w14:paraId="080A3847" w14:textId="77777777" w:rsidR="00FE7FE4" w:rsidRPr="00327FF3" w:rsidRDefault="00FE7FE4" w:rsidP="00391CA2">
      <w:pPr>
        <w:pStyle w:val="Heading3"/>
        <w:spacing w:before="60" w:after="60"/>
      </w:pPr>
      <w:r>
        <w:br w:type="page"/>
      </w:r>
      <w:r w:rsidRPr="00327FF3">
        <w:lastRenderedPageBreak/>
        <w:t>Using this schedule</w:t>
      </w:r>
    </w:p>
    <w:p w14:paraId="0B1DC00E" w14:textId="4A90F3DB" w:rsidR="00FE7FE4" w:rsidRPr="00FE7FE4" w:rsidRDefault="00FE7FE4" w:rsidP="00FE7FE4">
      <w:pPr>
        <w:pStyle w:val="Default"/>
        <w:spacing w:before="60" w:after="60"/>
        <w:rPr>
          <w:rFonts w:ascii="Arial" w:hAnsi="Arial" w:cs="Arial"/>
          <w:color w:val="auto"/>
          <w:sz w:val="22"/>
          <w:szCs w:val="22"/>
          <w:lang w:eastAsia="en-US"/>
        </w:rPr>
      </w:pPr>
      <w:r w:rsidRPr="00FE7FE4">
        <w:rPr>
          <w:rFonts w:ascii="Arial" w:hAnsi="Arial" w:cs="Arial"/>
          <w:sz w:val="22"/>
          <w:szCs w:val="22"/>
        </w:rPr>
        <w:t xml:space="preserve">The </w:t>
      </w:r>
      <w:r>
        <w:rPr>
          <w:rFonts w:ascii="Arial" w:hAnsi="Arial" w:cs="Arial"/>
          <w:sz w:val="22"/>
          <w:szCs w:val="22"/>
        </w:rPr>
        <w:t>Fair Trading</w:t>
      </w:r>
      <w:r w:rsidRPr="00FE7FE4">
        <w:rPr>
          <w:rFonts w:ascii="Arial" w:hAnsi="Arial" w:cs="Arial"/>
          <w:sz w:val="22"/>
          <w:szCs w:val="22"/>
        </w:rPr>
        <w:t xml:space="preserve"> retention and disposal schedule authorises the disposal of</w:t>
      </w:r>
      <w:r w:rsidR="00C3765E">
        <w:rPr>
          <w:rFonts w:ascii="Arial" w:hAnsi="Arial" w:cs="Arial"/>
          <w:sz w:val="22"/>
          <w:szCs w:val="22"/>
        </w:rPr>
        <w:t xml:space="preserve"> records relating to delivering a fair and safe marketplace for Queensland</w:t>
      </w:r>
      <w:r w:rsidR="009329B2">
        <w:rPr>
          <w:rFonts w:ascii="Arial" w:hAnsi="Arial" w:cs="Arial"/>
          <w:sz w:val="22"/>
          <w:szCs w:val="22"/>
        </w:rPr>
        <w:t xml:space="preserve"> </w:t>
      </w:r>
      <w:r w:rsidR="00C3765E">
        <w:rPr>
          <w:rFonts w:ascii="Arial" w:hAnsi="Arial" w:cs="Arial"/>
          <w:sz w:val="22"/>
          <w:szCs w:val="22"/>
        </w:rPr>
        <w:t>consumers and businesses including compliance, enforcement and investigation activities, industry licensing and registration, claims and recoveries</w:t>
      </w:r>
      <w:r w:rsidR="009329B2">
        <w:rPr>
          <w:rFonts w:ascii="Arial" w:hAnsi="Arial" w:cs="Arial"/>
          <w:sz w:val="22"/>
          <w:szCs w:val="22"/>
        </w:rPr>
        <w:t xml:space="preserve"> </w:t>
      </w:r>
      <w:r w:rsidRPr="00FE7FE4">
        <w:rPr>
          <w:rFonts w:ascii="Arial" w:hAnsi="Arial" w:cs="Arial"/>
          <w:sz w:val="22"/>
          <w:szCs w:val="22"/>
        </w:rPr>
        <w:t xml:space="preserve">created by </w:t>
      </w:r>
      <w:r>
        <w:rPr>
          <w:rFonts w:ascii="Arial" w:hAnsi="Arial" w:cs="Arial"/>
          <w:sz w:val="22"/>
          <w:szCs w:val="22"/>
        </w:rPr>
        <w:t>Department of Justice and Attorney-General</w:t>
      </w:r>
      <w:r w:rsidRPr="00FE7FE4">
        <w:rPr>
          <w:rFonts w:ascii="Arial" w:hAnsi="Arial" w:cs="Arial"/>
          <w:sz w:val="22"/>
          <w:szCs w:val="22"/>
        </w:rPr>
        <w:t xml:space="preserve">. It applies to records created in any format, unless otherwise specified in the class description. </w:t>
      </w:r>
    </w:p>
    <w:p w14:paraId="0F5D9EC6" w14:textId="7964D2B2" w:rsidR="00FE7FE4" w:rsidRPr="00FE7FE4" w:rsidRDefault="00FE7FE4" w:rsidP="00FE7FE4">
      <w:pPr>
        <w:spacing w:before="60" w:line="240" w:lineRule="auto"/>
        <w:rPr>
          <w:rFonts w:cs="Arial"/>
          <w:szCs w:val="22"/>
        </w:rPr>
      </w:pPr>
      <w:r w:rsidRPr="00FE7FE4">
        <w:rPr>
          <w:rFonts w:cs="Arial"/>
          <w:szCs w:val="22"/>
        </w:rPr>
        <w:t xml:space="preserve">The </w:t>
      </w:r>
      <w:r>
        <w:rPr>
          <w:rFonts w:cs="Arial"/>
          <w:szCs w:val="22"/>
        </w:rPr>
        <w:t>Fair Trading</w:t>
      </w:r>
      <w:r w:rsidRPr="00FE7FE4">
        <w:rPr>
          <w:rFonts w:cs="Arial"/>
          <w:szCs w:val="22"/>
        </w:rPr>
        <w:t xml:space="preserve"> retention and disposal schedule can be used in conjunction with the </w:t>
      </w:r>
      <w:hyperlink r:id="rId10" w:history="1">
        <w:r w:rsidR="00B74808" w:rsidRPr="00303A49">
          <w:rPr>
            <w:rStyle w:val="Hyperlink"/>
            <w:szCs w:val="22"/>
          </w:rPr>
          <w:t>General retention and disposal schedule</w:t>
        </w:r>
      </w:hyperlink>
      <w:r w:rsidRPr="00FE7FE4">
        <w:rPr>
          <w:rFonts w:cs="Arial"/>
          <w:szCs w:val="22"/>
        </w:rPr>
        <w:t xml:space="preserve"> (GRDS). Record classes in the Common Activities section of the GRDS can be applied to any function undertaken by the agency, provided the retention period meets all of the agency’s specific regulatory requirements and there are no exclusions listed. Schedules should be reviewed at least every 5 years. </w:t>
      </w:r>
    </w:p>
    <w:p w14:paraId="15A0C290" w14:textId="77777777" w:rsidR="00FE7FE4" w:rsidRPr="00FE7FE4" w:rsidRDefault="00FE7FE4" w:rsidP="00FE7FE4">
      <w:pPr>
        <w:spacing w:before="60" w:line="240" w:lineRule="auto"/>
        <w:ind w:right="-170"/>
        <w:rPr>
          <w:rFonts w:cs="Arial"/>
          <w:szCs w:val="22"/>
        </w:rPr>
      </w:pPr>
      <w:r w:rsidRPr="00FE7FE4">
        <w:rPr>
          <w:rFonts w:cs="Arial"/>
          <w:szCs w:val="22"/>
        </w:rPr>
        <w:t>Any references to repealed legislation may be taken as a reference to current legislation if the context permits.</w:t>
      </w:r>
    </w:p>
    <w:p w14:paraId="5354BD5E" w14:textId="0B852DDD" w:rsidR="00FE7FE4" w:rsidRPr="00695C51" w:rsidRDefault="00FE7FE4" w:rsidP="00FE7FE4">
      <w:pPr>
        <w:spacing w:before="60" w:line="240" w:lineRule="auto"/>
        <w:rPr>
          <w:rFonts w:cs="Arial"/>
        </w:rPr>
      </w:pPr>
      <w:r w:rsidRPr="00FE7FE4">
        <w:rPr>
          <w:rFonts w:cs="Arial"/>
          <w:szCs w:val="22"/>
        </w:rPr>
        <w:t xml:space="preserve">Any previously authorised retention and disposal schedule covering record classes described in this schedule is now superseded and previous versions should be removed from use. </w:t>
      </w:r>
      <w:r w:rsidR="00924579">
        <w:rPr>
          <w:rFonts w:cs="Arial"/>
          <w:szCs w:val="22"/>
        </w:rPr>
        <w:t xml:space="preserve">The Office of Fair Trading (OFT) should take measures to withdraw revoked authorities from circulation and </w:t>
      </w:r>
      <w:r w:rsidRPr="00FE7FE4">
        <w:rPr>
          <w:rFonts w:cs="Arial"/>
          <w:szCs w:val="22"/>
        </w:rPr>
        <w:t>maintain th</w:t>
      </w:r>
      <w:r w:rsidR="00924579">
        <w:rPr>
          <w:rFonts w:cs="Arial"/>
          <w:szCs w:val="22"/>
        </w:rPr>
        <w:t>is</w:t>
      </w:r>
      <w:r w:rsidRPr="00FE7FE4">
        <w:rPr>
          <w:rFonts w:cs="Arial"/>
          <w:szCs w:val="22"/>
        </w:rPr>
        <w:t xml:space="preserve"> current approved schedule within their business practices and systems. </w:t>
      </w:r>
      <w:r w:rsidRPr="00695C51">
        <w:rPr>
          <w:rFonts w:cs="Arial"/>
          <w:szCs w:val="22"/>
        </w:rPr>
        <w:t xml:space="preserve">Revoked schedules </w:t>
      </w:r>
      <w:r w:rsidRPr="00695C51">
        <w:rPr>
          <w:rFonts w:cs="Arial"/>
        </w:rPr>
        <w:t xml:space="preserve">include: </w:t>
      </w:r>
    </w:p>
    <w:p w14:paraId="74F19BAF" w14:textId="41785FE4" w:rsidR="00FE7FE4" w:rsidRPr="00695C51" w:rsidRDefault="00FE7FE4" w:rsidP="005E240A">
      <w:pPr>
        <w:pStyle w:val="ListBullet"/>
        <w:numPr>
          <w:ilvl w:val="0"/>
          <w:numId w:val="22"/>
        </w:numPr>
        <w:spacing w:line="240" w:lineRule="auto"/>
        <w:ind w:left="714" w:hanging="357"/>
        <w:rPr>
          <w:b/>
        </w:rPr>
      </w:pPr>
      <w:r w:rsidRPr="00695C51">
        <w:t xml:space="preserve">QDAN 586 v2 – Department of Employment, Economic Development and Innovation (OFT </w:t>
      </w:r>
      <w:r w:rsidR="00924579" w:rsidRPr="00695C51">
        <w:t xml:space="preserve">related </w:t>
      </w:r>
      <w:r w:rsidRPr="00695C51">
        <w:t>activities</w:t>
      </w:r>
      <w:r w:rsidR="00211CC2" w:rsidRPr="00695C51">
        <w:t xml:space="preserve"> covered under function</w:t>
      </w:r>
      <w:r w:rsidR="00E8523B">
        <w:t xml:space="preserve">s 2 </w:t>
      </w:r>
      <w:r w:rsidR="0096327E">
        <w:t xml:space="preserve">Product Safety and Quality </w:t>
      </w:r>
      <w:r w:rsidR="00E8523B">
        <w:t>and</w:t>
      </w:r>
      <w:r w:rsidR="00211CC2" w:rsidRPr="00695C51">
        <w:t xml:space="preserve"> 3 </w:t>
      </w:r>
      <w:r w:rsidR="00E2103B" w:rsidRPr="00695C51">
        <w:t>Regulatory Compliance</w:t>
      </w:r>
      <w:r w:rsidRPr="00695C51">
        <w:t>)</w:t>
      </w:r>
    </w:p>
    <w:p w14:paraId="73EE6EEC" w14:textId="77777777" w:rsidR="00FE7FE4" w:rsidRPr="000B46D0" w:rsidRDefault="00FE7FE4" w:rsidP="00391CA2">
      <w:pPr>
        <w:pStyle w:val="Heading3"/>
        <w:spacing w:before="60" w:after="60"/>
      </w:pPr>
      <w:r w:rsidRPr="000B46D0">
        <w:t xml:space="preserve">When this schedule should </w:t>
      </w:r>
      <w:r w:rsidRPr="000B46D0">
        <w:rPr>
          <w:u w:val="single"/>
        </w:rPr>
        <w:t>not</w:t>
      </w:r>
      <w:r w:rsidRPr="000B46D0">
        <w:t xml:space="preserve"> be used</w:t>
      </w:r>
    </w:p>
    <w:p w14:paraId="1D2258BC" w14:textId="77777777" w:rsidR="00FE7FE4" w:rsidRPr="00DC4374" w:rsidRDefault="00FE7FE4" w:rsidP="00FE7FE4">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 xml:space="preserve">may occur e.g. retaining </w:t>
      </w:r>
      <w:r w:rsidRPr="00DC4374">
        <w:rPr>
          <w:szCs w:val="22"/>
        </w:rPr>
        <w:lastRenderedPageBreak/>
        <w:t>property files that may contain information on the use of asbestos in buildings</w:t>
      </w:r>
      <w:r>
        <w:rPr>
          <w:szCs w:val="22"/>
        </w:rPr>
        <w:t xml:space="preserve">. </w:t>
      </w:r>
    </w:p>
    <w:p w14:paraId="49B2E7A8" w14:textId="7A1D23FE" w:rsidR="00FE7FE4" w:rsidRDefault="00FE7FE4" w:rsidP="00FE7FE4">
      <w:pPr>
        <w:spacing w:before="60"/>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1" w:history="1">
        <w:r w:rsidR="00B74808" w:rsidRPr="00241EE1">
          <w:rPr>
            <w:rStyle w:val="Hyperlink"/>
          </w:rPr>
          <w:t>Queensland Government (For Government) website</w:t>
        </w:r>
      </w:hyperlink>
      <w:r>
        <w:t xml:space="preserve">. </w:t>
      </w:r>
    </w:p>
    <w:p w14:paraId="6F6DFD2F" w14:textId="77777777" w:rsidR="00FE7FE4" w:rsidRDefault="00FE7FE4" w:rsidP="00FE7FE4">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6996D627" w14:textId="77777777" w:rsidR="00FE7FE4" w:rsidRPr="00327FF3" w:rsidRDefault="00FE7FE4" w:rsidP="00391CA2">
      <w:pPr>
        <w:pStyle w:val="Heading3"/>
        <w:spacing w:before="60" w:after="60"/>
      </w:pPr>
      <w:r w:rsidRPr="00327FF3">
        <w:t>Schedule layout</w:t>
      </w:r>
    </w:p>
    <w:p w14:paraId="5AA28D87" w14:textId="01180EB0" w:rsidR="00FE7FE4" w:rsidRPr="00567794" w:rsidRDefault="00FE7FE4" w:rsidP="00FE7FE4">
      <w:pPr>
        <w:spacing w:before="60" w:line="240" w:lineRule="auto"/>
      </w:pPr>
      <w:r>
        <w:t xml:space="preserve">Each class has been allocated a unique number to aid with the disposal of records. Further implementation information is available on the </w:t>
      </w:r>
      <w:hyperlink r:id="rId12" w:history="1">
        <w:r w:rsidR="00B74808" w:rsidRPr="00241EE1">
          <w:rPr>
            <w:rStyle w:val="Hyperlink"/>
          </w:rPr>
          <w:t>Queensland Government (For Government) website</w:t>
        </w:r>
      </w:hyperlink>
      <w:r w:rsidR="00B74808" w:rsidRPr="00303A49">
        <w:t>.</w:t>
      </w:r>
    </w:p>
    <w:p w14:paraId="7FF46B87" w14:textId="77777777" w:rsidR="00FE7FE4" w:rsidRPr="00327FF3" w:rsidRDefault="00FE7FE4" w:rsidP="00391CA2">
      <w:pPr>
        <w:pStyle w:val="Heading3"/>
        <w:spacing w:before="60" w:after="60"/>
      </w:pPr>
      <w:r w:rsidRPr="00327FF3">
        <w:t xml:space="preserve">Disposal </w:t>
      </w:r>
    </w:p>
    <w:p w14:paraId="5ECE05B7" w14:textId="77777777" w:rsidR="00FE7FE4" w:rsidRDefault="00FE7FE4" w:rsidP="00FE7FE4">
      <w:pPr>
        <w:spacing w:before="60" w:line="240" w:lineRule="auto"/>
        <w:rPr>
          <w:szCs w:val="22"/>
        </w:rPr>
      </w:pPr>
      <w:r>
        <w:rPr>
          <w:szCs w:val="22"/>
        </w:rPr>
        <w:t>No further authorisation is required from the State Archivist for the records disposed of under this schedule. However, disposal</w:t>
      </w:r>
      <w:r w:rsidRPr="003C7C3C">
        <w:rPr>
          <w:szCs w:val="22"/>
        </w:rPr>
        <w:t xml:space="preserve"> must be appropriately documented in accordance with</w:t>
      </w:r>
      <w:r w:rsidRPr="00777DD1">
        <w:rPr>
          <w:i/>
          <w:szCs w:val="22"/>
        </w:rPr>
        <w:t xml:space="preserve"> Information Standard 31: Retention and Disposal of Public Records</w:t>
      </w:r>
      <w:r w:rsidRPr="003C7C3C">
        <w:rPr>
          <w:szCs w:val="22"/>
        </w:rPr>
        <w:t>. Approval from your CEO or authorised delegate is also required prior to disposal.</w:t>
      </w:r>
    </w:p>
    <w:p w14:paraId="20BE1812" w14:textId="77777777" w:rsidR="00FE7FE4" w:rsidRDefault="00FE7FE4" w:rsidP="00FE7FE4">
      <w:pPr>
        <w:spacing w:before="60" w:line="240" w:lineRule="auto"/>
        <w:rPr>
          <w:szCs w:val="22"/>
        </w:rPr>
      </w:pPr>
      <w:r>
        <w:rPr>
          <w:szCs w:val="22"/>
        </w:rPr>
        <w:t>A</w:t>
      </w:r>
      <w:r w:rsidRPr="00DC4374">
        <w:rPr>
          <w:szCs w:val="22"/>
        </w:rPr>
        <w:t xml:space="preserve">ny disposal </w:t>
      </w:r>
      <w:r>
        <w:rPr>
          <w:szCs w:val="22"/>
        </w:rPr>
        <w:t xml:space="preserve">of public records </w:t>
      </w:r>
      <w:r w:rsidRPr="00DC4374">
        <w:rPr>
          <w:szCs w:val="22"/>
        </w:rPr>
        <w:t xml:space="preserve">without authorisation from the State Archivist may be a breach of the </w:t>
      </w:r>
      <w:r w:rsidRPr="00DC4374">
        <w:rPr>
          <w:i/>
          <w:iCs/>
          <w:szCs w:val="22"/>
        </w:rPr>
        <w:t>Public Records Act 2002 (s.13).</w:t>
      </w:r>
    </w:p>
    <w:p w14:paraId="5C58296B" w14:textId="77777777" w:rsidR="00B74808" w:rsidRDefault="00B74808" w:rsidP="00FE7FE4">
      <w:pPr>
        <w:spacing w:before="60"/>
        <w:rPr>
          <w:b/>
        </w:rPr>
      </w:pPr>
    </w:p>
    <w:p w14:paraId="37AE352B" w14:textId="77777777" w:rsidR="00FE7FE4" w:rsidRPr="00327FF3" w:rsidRDefault="00FE7FE4" w:rsidP="00391CA2">
      <w:pPr>
        <w:pStyle w:val="Heading3"/>
        <w:spacing w:before="60" w:after="60"/>
      </w:pPr>
      <w:r w:rsidRPr="00327FF3">
        <w:t>How we can help?</w:t>
      </w:r>
    </w:p>
    <w:p w14:paraId="313A892A" w14:textId="17159A2E" w:rsidR="00FE7FE4" w:rsidRPr="00DC4374" w:rsidRDefault="00FE7FE4" w:rsidP="00FE7FE4">
      <w:pPr>
        <w:spacing w:before="60" w:line="240" w:lineRule="auto"/>
        <w:rPr>
          <w:szCs w:val="22"/>
        </w:rPr>
      </w:pPr>
      <w:r w:rsidRPr="00DC4374">
        <w:rPr>
          <w:szCs w:val="22"/>
        </w:rPr>
        <w:t xml:space="preserve">More information on implementing schedules is available on the </w:t>
      </w:r>
      <w:hyperlink r:id="rId13" w:history="1">
        <w:r w:rsidR="00B74808" w:rsidRPr="00241EE1">
          <w:rPr>
            <w:rStyle w:val="Hyperlink"/>
          </w:rPr>
          <w:t>Queensland Government (For Government) website</w:t>
        </w:r>
      </w:hyperlink>
      <w:r w:rsidRPr="00DC4374">
        <w:rPr>
          <w:szCs w:val="22"/>
        </w:rPr>
        <w:t xml:space="preserve">. 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w:t>
      </w:r>
      <w:r w:rsidRPr="00DC4374">
        <w:rPr>
          <w:szCs w:val="22"/>
        </w:rPr>
        <w:t xml:space="preserve"> </w:t>
      </w:r>
      <w:r w:rsidR="00B74808">
        <w:rPr>
          <w:szCs w:val="22"/>
        </w:rPr>
        <w:t>or via the</w:t>
      </w:r>
      <w:r w:rsidR="00B74808">
        <w:t xml:space="preserve"> </w:t>
      </w:r>
      <w:hyperlink r:id="rId14" w:history="1">
        <w:r w:rsidR="00B74808" w:rsidRPr="00241EE1">
          <w:rPr>
            <w:rStyle w:val="Hyperlink"/>
          </w:rPr>
          <w:t>Queensland Government (For Government) website</w:t>
        </w:r>
      </w:hyperlink>
      <w:r w:rsidRPr="00DC4374">
        <w:rPr>
          <w:szCs w:val="22"/>
        </w:rPr>
        <w:t xml:space="preserve">. </w:t>
      </w:r>
    </w:p>
    <w:p w14:paraId="2DACE23B" w14:textId="52DB07D4" w:rsidR="00FE7FE4" w:rsidRDefault="00FE7FE4" w:rsidP="00391CA2"/>
    <w:p w14:paraId="5C6FC055" w14:textId="72EAC36A" w:rsidR="00FE7FE4" w:rsidRPr="00327FF3" w:rsidRDefault="00FE7FE4" w:rsidP="00391CA2">
      <w:pPr>
        <w:tabs>
          <w:tab w:val="left" w:pos="4820"/>
          <w:tab w:val="left" w:pos="9923"/>
        </w:tabs>
        <w:spacing w:before="60"/>
        <w:rPr>
          <w:b/>
          <w:sz w:val="28"/>
        </w:rPr>
      </w:pPr>
      <w:r w:rsidRPr="00327FF3">
        <w:rPr>
          <w:b/>
          <w:sz w:val="28"/>
        </w:rPr>
        <w:lastRenderedPageBreak/>
        <w:t xml:space="preserve">Approved by State Archivist: </w:t>
      </w:r>
      <w:r w:rsidRPr="00327FF3">
        <w:rPr>
          <w:b/>
          <w:sz w:val="28"/>
        </w:rPr>
        <w:tab/>
      </w:r>
      <w:r w:rsidR="00B12D2F">
        <w:rPr>
          <w:b/>
          <w:color w:val="808080"/>
          <w:sz w:val="28"/>
        </w:rPr>
        <w:t>Mike Summerell</w:t>
      </w:r>
      <w:r w:rsidRPr="00327FF3">
        <w:rPr>
          <w:b/>
          <w:color w:val="808080"/>
          <w:sz w:val="28"/>
        </w:rPr>
        <w:tab/>
      </w:r>
      <w:r w:rsidRPr="00327FF3">
        <w:rPr>
          <w:b/>
          <w:sz w:val="28"/>
        </w:rPr>
        <w:t>Date:</w:t>
      </w:r>
      <w:r w:rsidR="00B12D2F">
        <w:rPr>
          <w:b/>
          <w:sz w:val="28"/>
        </w:rPr>
        <w:t xml:space="preserve"> 28/03/2017</w:t>
      </w:r>
    </w:p>
    <w:bookmarkEnd w:id="0"/>
    <w:bookmarkEnd w:id="2"/>
    <w:p w14:paraId="463260FC" w14:textId="77777777" w:rsidR="001E12D2" w:rsidRPr="004977CE" w:rsidRDefault="001E12D2" w:rsidP="00FE7FE4">
      <w:pPr>
        <w:pStyle w:val="Heading1"/>
        <w:spacing w:before="0" w:after="0" w:line="240" w:lineRule="auto"/>
      </w:pPr>
      <w:r w:rsidRPr="004977CE">
        <w:br w:type="page"/>
      </w:r>
      <w:bookmarkStart w:id="3" w:name="_Toc314475557"/>
      <w:bookmarkStart w:id="4" w:name="_Toc336267549"/>
      <w:r w:rsidRPr="004977CE">
        <w:lastRenderedPageBreak/>
        <w:t>Contents</w:t>
      </w:r>
      <w:bookmarkEnd w:id="3"/>
      <w:bookmarkEnd w:id="4"/>
    </w:p>
    <w:p w14:paraId="1ADCBBD1" w14:textId="77777777" w:rsidR="000224BF" w:rsidRDefault="001E12D2" w:rsidP="000224BF">
      <w:pPr>
        <w:tabs>
          <w:tab w:val="right" w:leader="dot" w:pos="15026"/>
        </w:tabs>
        <w:ind w:left="426"/>
        <w:rPr>
          <w:rFonts w:asciiTheme="minorHAnsi" w:eastAsiaTheme="minorEastAsia" w:hAnsiTheme="minorHAnsi" w:cstheme="minorBidi"/>
          <w:b/>
          <w:bCs/>
          <w:noProof/>
          <w:szCs w:val="22"/>
        </w:rPr>
      </w:pPr>
      <w:r w:rsidRPr="00165804">
        <w:rPr>
          <w:b/>
          <w:color w:val="5F5F5F"/>
          <w:u w:val="single"/>
        </w:rPr>
        <w:fldChar w:fldCharType="begin"/>
      </w:r>
      <w:r w:rsidRPr="00165804">
        <w:rPr>
          <w:color w:val="5F5F5F"/>
          <w:u w:val="single"/>
        </w:rPr>
        <w:instrText xml:space="preserve"> TOC \o "2-2" \u </w:instrText>
      </w:r>
      <w:r w:rsidRPr="00165804">
        <w:rPr>
          <w:b/>
          <w:color w:val="5F5F5F"/>
          <w:u w:val="single"/>
        </w:rPr>
        <w:fldChar w:fldCharType="separate"/>
      </w:r>
      <w:r w:rsidR="000224BF" w:rsidRPr="00692BBC">
        <w:rPr>
          <w:noProof/>
        </w:rPr>
        <w:t>COMPLIANCE</w:t>
      </w:r>
      <w:r w:rsidR="000224BF">
        <w:rPr>
          <w:noProof/>
        </w:rPr>
        <w:tab/>
      </w:r>
      <w:r w:rsidR="000224BF">
        <w:rPr>
          <w:noProof/>
        </w:rPr>
        <w:fldChar w:fldCharType="begin"/>
      </w:r>
      <w:r w:rsidR="000224BF">
        <w:rPr>
          <w:noProof/>
        </w:rPr>
        <w:instrText xml:space="preserve"> PAGEREF _Toc478544523 \h </w:instrText>
      </w:r>
      <w:r w:rsidR="000224BF">
        <w:rPr>
          <w:noProof/>
        </w:rPr>
      </w:r>
      <w:r w:rsidR="000224BF">
        <w:rPr>
          <w:noProof/>
        </w:rPr>
        <w:fldChar w:fldCharType="separate"/>
      </w:r>
      <w:r w:rsidR="000224BF">
        <w:rPr>
          <w:noProof/>
        </w:rPr>
        <w:t>5</w:t>
      </w:r>
      <w:r w:rsidR="000224BF">
        <w:rPr>
          <w:noProof/>
        </w:rPr>
        <w:fldChar w:fldCharType="end"/>
      </w:r>
    </w:p>
    <w:p w14:paraId="211E1118" w14:textId="77777777" w:rsidR="000224BF" w:rsidRDefault="000224BF" w:rsidP="000224BF">
      <w:pPr>
        <w:tabs>
          <w:tab w:val="right" w:leader="dot" w:pos="15026"/>
        </w:tabs>
        <w:ind w:left="426"/>
        <w:rPr>
          <w:rFonts w:asciiTheme="minorHAnsi" w:eastAsiaTheme="minorEastAsia" w:hAnsiTheme="minorHAnsi" w:cstheme="minorBidi"/>
          <w:b/>
          <w:bCs/>
          <w:noProof/>
          <w:szCs w:val="22"/>
        </w:rPr>
      </w:pPr>
      <w:r w:rsidRPr="00692BBC">
        <w:rPr>
          <w:noProof/>
        </w:rPr>
        <w:t>CONSUMER COMPENSATION</w:t>
      </w:r>
      <w:r>
        <w:rPr>
          <w:noProof/>
        </w:rPr>
        <w:tab/>
      </w:r>
      <w:r>
        <w:rPr>
          <w:noProof/>
        </w:rPr>
        <w:fldChar w:fldCharType="begin"/>
      </w:r>
      <w:r>
        <w:rPr>
          <w:noProof/>
        </w:rPr>
        <w:instrText xml:space="preserve"> PAGEREF _Toc478544524 \h </w:instrText>
      </w:r>
      <w:r>
        <w:rPr>
          <w:noProof/>
        </w:rPr>
      </w:r>
      <w:r>
        <w:rPr>
          <w:noProof/>
        </w:rPr>
        <w:fldChar w:fldCharType="separate"/>
      </w:r>
      <w:r>
        <w:rPr>
          <w:noProof/>
        </w:rPr>
        <w:t>10</w:t>
      </w:r>
      <w:r>
        <w:rPr>
          <w:noProof/>
        </w:rPr>
        <w:fldChar w:fldCharType="end"/>
      </w:r>
    </w:p>
    <w:p w14:paraId="19827796" w14:textId="77777777" w:rsidR="000224BF" w:rsidRDefault="000224BF" w:rsidP="000224BF">
      <w:pPr>
        <w:tabs>
          <w:tab w:val="right" w:leader="dot" w:pos="15026"/>
        </w:tabs>
        <w:ind w:left="426"/>
        <w:rPr>
          <w:rFonts w:asciiTheme="minorHAnsi" w:eastAsiaTheme="minorEastAsia" w:hAnsiTheme="minorHAnsi" w:cstheme="minorBidi"/>
          <w:b/>
          <w:bCs/>
          <w:noProof/>
          <w:szCs w:val="22"/>
        </w:rPr>
      </w:pPr>
      <w:r w:rsidRPr="00692BBC">
        <w:rPr>
          <w:noProof/>
        </w:rPr>
        <w:t>INDUSTRY LICENSING</w:t>
      </w:r>
      <w:r>
        <w:rPr>
          <w:noProof/>
        </w:rPr>
        <w:tab/>
      </w:r>
      <w:r>
        <w:rPr>
          <w:noProof/>
        </w:rPr>
        <w:fldChar w:fldCharType="begin"/>
      </w:r>
      <w:r>
        <w:rPr>
          <w:noProof/>
        </w:rPr>
        <w:instrText xml:space="preserve"> PAGEREF _Toc478544525 \h </w:instrText>
      </w:r>
      <w:r>
        <w:rPr>
          <w:noProof/>
        </w:rPr>
      </w:r>
      <w:r>
        <w:rPr>
          <w:noProof/>
        </w:rPr>
        <w:fldChar w:fldCharType="separate"/>
      </w:r>
      <w:r>
        <w:rPr>
          <w:noProof/>
        </w:rPr>
        <w:t>11</w:t>
      </w:r>
      <w:r>
        <w:rPr>
          <w:noProof/>
        </w:rPr>
        <w:fldChar w:fldCharType="end"/>
      </w:r>
    </w:p>
    <w:p w14:paraId="3D32779E" w14:textId="77777777" w:rsidR="000224BF" w:rsidRDefault="000224BF" w:rsidP="000224BF">
      <w:pPr>
        <w:tabs>
          <w:tab w:val="right" w:leader="dot" w:pos="15026"/>
        </w:tabs>
        <w:ind w:left="426"/>
        <w:rPr>
          <w:rFonts w:asciiTheme="minorHAnsi" w:eastAsiaTheme="minorEastAsia" w:hAnsiTheme="minorHAnsi" w:cstheme="minorBidi"/>
          <w:b/>
          <w:bCs/>
          <w:noProof/>
          <w:szCs w:val="22"/>
        </w:rPr>
      </w:pPr>
      <w:r w:rsidRPr="00692BBC">
        <w:rPr>
          <w:noProof/>
        </w:rPr>
        <w:t>REGISTRATION SERVICES</w:t>
      </w:r>
      <w:r>
        <w:rPr>
          <w:noProof/>
        </w:rPr>
        <w:tab/>
      </w:r>
      <w:r>
        <w:rPr>
          <w:noProof/>
        </w:rPr>
        <w:fldChar w:fldCharType="begin"/>
      </w:r>
      <w:r>
        <w:rPr>
          <w:noProof/>
        </w:rPr>
        <w:instrText xml:space="preserve"> PAGEREF _Toc478544526 \h </w:instrText>
      </w:r>
      <w:r>
        <w:rPr>
          <w:noProof/>
        </w:rPr>
      </w:r>
      <w:r>
        <w:rPr>
          <w:noProof/>
        </w:rPr>
        <w:fldChar w:fldCharType="separate"/>
      </w:r>
      <w:r>
        <w:rPr>
          <w:noProof/>
        </w:rPr>
        <w:t>12</w:t>
      </w:r>
      <w:r>
        <w:rPr>
          <w:noProof/>
        </w:rPr>
        <w:fldChar w:fldCharType="end"/>
      </w:r>
    </w:p>
    <w:p w14:paraId="5423BA7B" w14:textId="77777777" w:rsidR="000224BF" w:rsidRDefault="000224BF" w:rsidP="000224BF">
      <w:pPr>
        <w:tabs>
          <w:tab w:val="right" w:leader="dot" w:pos="15026"/>
        </w:tabs>
        <w:ind w:left="426"/>
        <w:rPr>
          <w:rFonts w:asciiTheme="minorHAnsi" w:eastAsiaTheme="minorEastAsia" w:hAnsiTheme="minorHAnsi" w:cstheme="minorBidi"/>
          <w:b/>
          <w:bCs/>
          <w:noProof/>
          <w:szCs w:val="22"/>
        </w:rPr>
      </w:pPr>
      <w:r w:rsidRPr="00692BBC">
        <w:rPr>
          <w:noProof/>
        </w:rPr>
        <w:t>LEGACY RECORDS</w:t>
      </w:r>
      <w:r>
        <w:rPr>
          <w:noProof/>
        </w:rPr>
        <w:tab/>
      </w:r>
      <w:r>
        <w:rPr>
          <w:noProof/>
        </w:rPr>
        <w:fldChar w:fldCharType="begin"/>
      </w:r>
      <w:r>
        <w:rPr>
          <w:noProof/>
        </w:rPr>
        <w:instrText xml:space="preserve"> PAGEREF _Toc478544527 \h </w:instrText>
      </w:r>
      <w:r>
        <w:rPr>
          <w:noProof/>
        </w:rPr>
      </w:r>
      <w:r>
        <w:rPr>
          <w:noProof/>
        </w:rPr>
        <w:fldChar w:fldCharType="separate"/>
      </w:r>
      <w:r>
        <w:rPr>
          <w:noProof/>
        </w:rPr>
        <w:t>17</w:t>
      </w:r>
      <w:r>
        <w:rPr>
          <w:noProof/>
        </w:rPr>
        <w:fldChar w:fldCharType="end"/>
      </w:r>
    </w:p>
    <w:p w14:paraId="0F633FFA" w14:textId="6F344BB1" w:rsidR="001E12D2" w:rsidRPr="00A67529" w:rsidRDefault="001E12D2" w:rsidP="000224BF">
      <w:pPr>
        <w:tabs>
          <w:tab w:val="right" w:leader="dot" w:pos="15026"/>
        </w:tabs>
        <w:ind w:left="426"/>
        <w:rPr>
          <w:lang w:eastAsia="en-AU"/>
        </w:rPr>
      </w:pPr>
      <w:r w:rsidRPr="00165804">
        <w:rPr>
          <w:b/>
          <w:color w:val="5F5F5F"/>
          <w:u w:val="single"/>
        </w:rPr>
        <w:fldChar w:fldCharType="end"/>
      </w:r>
    </w:p>
    <w:p w14:paraId="6D9A1E61" w14:textId="1293B20C" w:rsidR="001E12D2" w:rsidRPr="004977CE" w:rsidRDefault="001E12D2" w:rsidP="001E12D2">
      <w:pPr>
        <w:pStyle w:val="Heading1"/>
        <w:spacing w:before="60" w:after="60" w:line="240" w:lineRule="auto"/>
      </w:pPr>
      <w:r w:rsidRPr="004977CE">
        <w:br w:type="page"/>
      </w:r>
      <w:bookmarkStart w:id="5" w:name="Compliance"/>
      <w:bookmarkStart w:id="6" w:name="_Toc478544523"/>
      <w:r>
        <w:rPr>
          <w:rStyle w:val="Heading2Char"/>
          <w:szCs w:val="36"/>
        </w:rPr>
        <w:lastRenderedPageBreak/>
        <w:t>COMPLIANCE</w:t>
      </w:r>
      <w:bookmarkEnd w:id="5"/>
      <w:bookmarkEnd w:id="6"/>
    </w:p>
    <w:p w14:paraId="2B0BE552" w14:textId="2F343DD1" w:rsidR="001E12D2" w:rsidRDefault="001E12D2" w:rsidP="001E12D2">
      <w:pPr>
        <w:spacing w:before="60" w:line="240" w:lineRule="auto"/>
        <w:rPr>
          <w:i/>
        </w:rPr>
      </w:pPr>
      <w:r>
        <w:rPr>
          <w:i/>
        </w:rPr>
        <w:t xml:space="preserve">The function of monitoring and enforcing compliance with legislation administered by </w:t>
      </w:r>
      <w:r w:rsidR="00C734DB">
        <w:rPr>
          <w:i/>
        </w:rPr>
        <w:t xml:space="preserve">the </w:t>
      </w:r>
      <w:r w:rsidR="00087C0B">
        <w:rPr>
          <w:i/>
        </w:rPr>
        <w:t>Office of Fair Trading</w:t>
      </w:r>
      <w:r w:rsidR="00C734DB">
        <w:rPr>
          <w:i/>
        </w:rPr>
        <w:t xml:space="preserve"> </w:t>
      </w:r>
      <w:r>
        <w:rPr>
          <w:i/>
        </w:rPr>
        <w:t>for market and industry trading and community organisations through registration and licensing requirements, complaint handling, conciliation, investigation and pro-active and educational compliance operations</w:t>
      </w:r>
      <w:r w:rsidR="00D236DF">
        <w:rPr>
          <w:i/>
        </w:rPr>
        <w:t xml:space="preserve"> and enforcement options</w:t>
      </w:r>
      <w:r>
        <w:rPr>
          <w:i/>
        </w:rPr>
        <w:t>. The compliance function includes breaches falling under repealed legislation.</w:t>
      </w:r>
    </w:p>
    <w:p w14:paraId="5D63E92A" w14:textId="25265615" w:rsidR="00D236DF" w:rsidRPr="00B647B3" w:rsidRDefault="00D236DF" w:rsidP="001E12D2">
      <w:pPr>
        <w:spacing w:before="6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7"/>
        <w:gridCol w:w="10667"/>
        <w:gridCol w:w="3199"/>
      </w:tblGrid>
      <w:tr w:rsidR="00FE7FE4" w:rsidRPr="004977CE" w14:paraId="562CD8F2" w14:textId="77777777" w:rsidTr="00FE7FE4">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CF4D110" w14:textId="77777777" w:rsidR="00FE7FE4" w:rsidRPr="003147E4" w:rsidRDefault="00FE7FE4" w:rsidP="003D4D02">
            <w:pPr>
              <w:pStyle w:val="Tabletext"/>
              <w:spacing w:before="60" w:after="60" w:line="240" w:lineRule="auto"/>
              <w:jc w:val="center"/>
              <w:rPr>
                <w:b/>
              </w:rPr>
            </w:pPr>
            <w:r>
              <w:rPr>
                <w:b/>
              </w:rPr>
              <w:t>Disposal Authorisation</w:t>
            </w:r>
          </w:p>
        </w:tc>
        <w:tc>
          <w:tcPr>
            <w:tcW w:w="346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70546BA" w14:textId="77777777" w:rsidR="00FE7FE4" w:rsidRPr="003147E4" w:rsidRDefault="00FE7FE4" w:rsidP="003D4D02">
            <w:pPr>
              <w:pStyle w:val="Tabletext"/>
              <w:spacing w:before="60" w:after="60" w:line="240" w:lineRule="auto"/>
              <w:jc w:val="center"/>
              <w:rPr>
                <w:b/>
              </w:rPr>
            </w:pPr>
            <w:r w:rsidRPr="003147E4">
              <w:rPr>
                <w:b/>
              </w:rPr>
              <w:t>Description of records</w:t>
            </w:r>
          </w:p>
        </w:tc>
        <w:tc>
          <w:tcPr>
            <w:tcW w:w="10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0772755" w14:textId="77777777" w:rsidR="00FE7FE4" w:rsidRPr="003147E4" w:rsidRDefault="00FE7FE4" w:rsidP="003D4D02">
            <w:pPr>
              <w:pStyle w:val="Tabletext"/>
              <w:spacing w:before="60" w:after="60" w:line="240" w:lineRule="auto"/>
              <w:jc w:val="center"/>
              <w:rPr>
                <w:b/>
              </w:rPr>
            </w:pPr>
            <w:r>
              <w:rPr>
                <w:b/>
              </w:rPr>
              <w:t>Retention period &amp; trigger</w:t>
            </w:r>
          </w:p>
        </w:tc>
      </w:tr>
      <w:tr w:rsidR="002C0D5F" w:rsidRPr="003147E4" w14:paraId="56944A4E" w14:textId="77777777" w:rsidTr="00A170C9">
        <w:tblPrEx>
          <w:tblCellMar>
            <w:top w:w="57" w:type="dxa"/>
            <w:left w:w="119" w:type="dxa"/>
            <w:right w:w="119" w:type="dxa"/>
          </w:tblCellMar>
        </w:tblPrEx>
        <w:trPr>
          <w:trHeight w:val="1512"/>
        </w:trPr>
        <w:tc>
          <w:tcPr>
            <w:tcW w:w="5000" w:type="pct"/>
            <w:gridSpan w:val="3"/>
            <w:tcBorders>
              <w:top w:val="single" w:sz="18" w:space="0" w:color="C0C0C0"/>
            </w:tcBorders>
            <w:shd w:val="clear" w:color="auto" w:fill="auto"/>
          </w:tcPr>
          <w:p w14:paraId="118B996D" w14:textId="77777777" w:rsidR="002C0D5F" w:rsidRPr="00CB5D3E" w:rsidRDefault="002C0D5F" w:rsidP="003D4D02">
            <w:pPr>
              <w:pStyle w:val="Heading30"/>
              <w:spacing w:before="60" w:after="60"/>
            </w:pPr>
            <w:r>
              <w:t>COMPLAINT ASSESSMENT</w:t>
            </w:r>
          </w:p>
          <w:p w14:paraId="3389B873" w14:textId="39CA610D" w:rsidR="002C0D5F" w:rsidRDefault="002C0D5F" w:rsidP="003D4D02">
            <w:pPr>
              <w:pStyle w:val="Tabletext"/>
              <w:spacing w:before="60" w:after="60" w:line="240" w:lineRule="auto"/>
              <w:rPr>
                <w:i/>
                <w:sz w:val="22"/>
                <w:szCs w:val="22"/>
              </w:rPr>
            </w:pPr>
            <w:r>
              <w:rPr>
                <w:i/>
                <w:sz w:val="22"/>
                <w:szCs w:val="22"/>
              </w:rPr>
              <w:t xml:space="preserve">The activity of assessing complaints received by </w:t>
            </w:r>
            <w:r w:rsidR="00087C0B">
              <w:rPr>
                <w:i/>
                <w:sz w:val="22"/>
                <w:szCs w:val="22"/>
              </w:rPr>
              <w:t xml:space="preserve">the agency </w:t>
            </w:r>
            <w:r>
              <w:rPr>
                <w:i/>
                <w:sz w:val="22"/>
                <w:szCs w:val="22"/>
              </w:rPr>
              <w:t>for alleged breaches of legislation administered by OFT by market and industry traders, licensed individuals and community organisations such as charities and associations. Where no breach of OFT legislation is evident, advice can be provided or conciliation conducted in an effort to resolve matters.</w:t>
            </w:r>
          </w:p>
          <w:p w14:paraId="4575E30D" w14:textId="6DF928F5" w:rsidR="002C0D5F" w:rsidRPr="00BC7384" w:rsidRDefault="002C0D5F" w:rsidP="00C734DB">
            <w:pPr>
              <w:pStyle w:val="Tabletext"/>
              <w:spacing w:before="60" w:after="60" w:line="240" w:lineRule="auto"/>
              <w:rPr>
                <w:i/>
                <w:sz w:val="22"/>
                <w:szCs w:val="22"/>
              </w:rPr>
            </w:pPr>
            <w:r w:rsidRPr="00607F27">
              <w:rPr>
                <w:i/>
                <w:sz w:val="22"/>
                <w:szCs w:val="22"/>
              </w:rPr>
              <w:t xml:space="preserve">See </w:t>
            </w:r>
            <w:r w:rsidR="00A170C9">
              <w:rPr>
                <w:i/>
                <w:sz w:val="22"/>
                <w:szCs w:val="22"/>
              </w:rPr>
              <w:t>General Retention and Disposal Schedule for all other complaints</w:t>
            </w:r>
            <w:r w:rsidR="00DC34E8">
              <w:rPr>
                <w:i/>
                <w:sz w:val="22"/>
                <w:szCs w:val="22"/>
              </w:rPr>
              <w:t xml:space="preserve">, </w:t>
            </w:r>
            <w:r w:rsidR="00A170C9">
              <w:rPr>
                <w:i/>
                <w:sz w:val="22"/>
                <w:szCs w:val="22"/>
              </w:rPr>
              <w:t>enquiries</w:t>
            </w:r>
            <w:r w:rsidR="00DC34E8">
              <w:rPr>
                <w:i/>
                <w:sz w:val="22"/>
                <w:szCs w:val="22"/>
              </w:rPr>
              <w:t xml:space="preserve"> and advice</w:t>
            </w:r>
            <w:r>
              <w:rPr>
                <w:i/>
                <w:sz w:val="22"/>
                <w:szCs w:val="22"/>
              </w:rPr>
              <w:t>. (Includes</w:t>
            </w:r>
            <w:r w:rsidRPr="00BC7384">
              <w:rPr>
                <w:i/>
                <w:sz w:val="22"/>
                <w:szCs w:val="22"/>
              </w:rPr>
              <w:t xml:space="preserve"> enquiries via </w:t>
            </w:r>
            <w:r w:rsidRPr="00C734DB">
              <w:rPr>
                <w:i/>
                <w:sz w:val="22"/>
                <w:szCs w:val="22"/>
              </w:rPr>
              <w:t>Smart Service Queensland</w:t>
            </w:r>
            <w:r w:rsidRPr="00BC7384">
              <w:rPr>
                <w:i/>
                <w:sz w:val="22"/>
                <w:szCs w:val="22"/>
              </w:rPr>
              <w:t>)</w:t>
            </w:r>
          </w:p>
        </w:tc>
      </w:tr>
      <w:tr w:rsidR="00FE7FE4" w:rsidRPr="003147E4" w14:paraId="7BF59A74" w14:textId="77777777" w:rsidTr="00FE7FE4">
        <w:tblPrEx>
          <w:tblCellMar>
            <w:top w:w="57" w:type="dxa"/>
            <w:left w:w="119" w:type="dxa"/>
            <w:right w:w="119" w:type="dxa"/>
          </w:tblCellMar>
        </w:tblPrEx>
        <w:tc>
          <w:tcPr>
            <w:tcW w:w="496" w:type="pct"/>
            <w:shd w:val="clear" w:color="auto" w:fill="auto"/>
          </w:tcPr>
          <w:p w14:paraId="11F37159" w14:textId="0FD67565" w:rsidR="009907B6" w:rsidRPr="003147E4" w:rsidRDefault="00741D6C" w:rsidP="00391CA2">
            <w:pPr>
              <w:pStyle w:val="Tabletext"/>
              <w:spacing w:before="60" w:after="60" w:line="240" w:lineRule="auto"/>
              <w:rPr>
                <w:sz w:val="22"/>
                <w:szCs w:val="22"/>
              </w:rPr>
            </w:pPr>
            <w:bookmarkStart w:id="7" w:name="Complaints_1671"/>
            <w:r>
              <w:rPr>
                <w:sz w:val="22"/>
                <w:szCs w:val="22"/>
              </w:rPr>
              <w:t>1671</w:t>
            </w:r>
            <w:bookmarkEnd w:id="7"/>
          </w:p>
        </w:tc>
        <w:tc>
          <w:tcPr>
            <w:tcW w:w="3465" w:type="pct"/>
            <w:shd w:val="clear" w:color="auto" w:fill="auto"/>
          </w:tcPr>
          <w:p w14:paraId="43502319" w14:textId="77777777" w:rsidR="00FE7FE4" w:rsidRPr="003147E4" w:rsidRDefault="00FE7FE4" w:rsidP="003D4D02">
            <w:pPr>
              <w:pStyle w:val="Heading30"/>
              <w:spacing w:before="60" w:after="60"/>
              <w:rPr>
                <w:i/>
              </w:rPr>
            </w:pPr>
            <w:r>
              <w:rPr>
                <w:i/>
              </w:rPr>
              <w:t>Complaints received</w:t>
            </w:r>
          </w:p>
          <w:p w14:paraId="745F3FA9" w14:textId="2DB12A8E" w:rsidR="00A170C9" w:rsidRDefault="00FE7FE4" w:rsidP="003D4D02">
            <w:pPr>
              <w:pStyle w:val="Tabletext"/>
              <w:spacing w:before="60" w:after="60" w:line="240" w:lineRule="auto"/>
              <w:rPr>
                <w:sz w:val="22"/>
                <w:szCs w:val="22"/>
              </w:rPr>
            </w:pPr>
            <w:r>
              <w:rPr>
                <w:sz w:val="22"/>
                <w:szCs w:val="22"/>
              </w:rPr>
              <w:t xml:space="preserve">Records relating to the assessment and/or conciliation of complaints received via </w:t>
            </w:r>
            <w:r w:rsidRPr="004C4F7F">
              <w:rPr>
                <w:sz w:val="22"/>
                <w:szCs w:val="22"/>
              </w:rPr>
              <w:t>all</w:t>
            </w:r>
            <w:r>
              <w:rPr>
                <w:sz w:val="22"/>
                <w:szCs w:val="22"/>
              </w:rPr>
              <w:t xml:space="preserve"> communication mediums including social media</w:t>
            </w:r>
            <w:r w:rsidR="00A170C9">
              <w:rPr>
                <w:sz w:val="22"/>
                <w:szCs w:val="22"/>
              </w:rPr>
              <w:t xml:space="preserve"> for alleged breaches of legislation administered by the </w:t>
            </w:r>
            <w:r w:rsidR="00087C0B">
              <w:rPr>
                <w:sz w:val="22"/>
                <w:szCs w:val="22"/>
              </w:rPr>
              <w:t>agency</w:t>
            </w:r>
            <w:r w:rsidR="00226002">
              <w:rPr>
                <w:sz w:val="22"/>
                <w:szCs w:val="22"/>
              </w:rPr>
              <w:t xml:space="preserve"> that are not referred for investigation</w:t>
            </w:r>
            <w:r>
              <w:rPr>
                <w:sz w:val="22"/>
                <w:szCs w:val="22"/>
              </w:rPr>
              <w:t xml:space="preserve">. </w:t>
            </w:r>
          </w:p>
          <w:p w14:paraId="051A1E79" w14:textId="0E087F67" w:rsidR="00A170C9" w:rsidRDefault="00A170C9" w:rsidP="003D4D02">
            <w:pPr>
              <w:pStyle w:val="Tabletext"/>
              <w:spacing w:before="60" w:after="60" w:line="240" w:lineRule="auto"/>
              <w:rPr>
                <w:sz w:val="22"/>
                <w:szCs w:val="22"/>
              </w:rPr>
            </w:pPr>
            <w:r>
              <w:rPr>
                <w:sz w:val="22"/>
                <w:szCs w:val="22"/>
              </w:rPr>
              <w:t xml:space="preserve">Includes </w:t>
            </w:r>
            <w:r w:rsidR="00DC34E8">
              <w:rPr>
                <w:sz w:val="22"/>
                <w:szCs w:val="22"/>
              </w:rPr>
              <w:t xml:space="preserve">assistance offered i.e. </w:t>
            </w:r>
            <w:r>
              <w:rPr>
                <w:sz w:val="22"/>
                <w:szCs w:val="22"/>
              </w:rPr>
              <w:t xml:space="preserve">advice and conciliation </w:t>
            </w:r>
            <w:r w:rsidR="00DC34E8">
              <w:rPr>
                <w:sz w:val="22"/>
                <w:szCs w:val="22"/>
              </w:rPr>
              <w:t xml:space="preserve">for </w:t>
            </w:r>
            <w:r>
              <w:rPr>
                <w:sz w:val="22"/>
                <w:szCs w:val="22"/>
              </w:rPr>
              <w:t>complaints received where there were no breaches of legislation.</w:t>
            </w:r>
          </w:p>
          <w:p w14:paraId="560FC6F9" w14:textId="77777777" w:rsidR="00FE7FE4" w:rsidRDefault="00FE7FE4" w:rsidP="003D4D02">
            <w:pPr>
              <w:pStyle w:val="Tabletext"/>
              <w:spacing w:before="60" w:after="60" w:line="240" w:lineRule="auto"/>
              <w:rPr>
                <w:sz w:val="22"/>
                <w:szCs w:val="22"/>
              </w:rPr>
            </w:pPr>
            <w:r>
              <w:rPr>
                <w:sz w:val="22"/>
                <w:szCs w:val="22"/>
              </w:rPr>
              <w:t xml:space="preserve">Records </w:t>
            </w:r>
            <w:r w:rsidR="00A170C9">
              <w:rPr>
                <w:sz w:val="22"/>
                <w:szCs w:val="22"/>
              </w:rPr>
              <w:t xml:space="preserve">may </w:t>
            </w:r>
            <w:r>
              <w:rPr>
                <w:sz w:val="22"/>
                <w:szCs w:val="22"/>
              </w:rPr>
              <w:t>include</w:t>
            </w:r>
            <w:r w:rsidR="00A170C9">
              <w:rPr>
                <w:sz w:val="22"/>
                <w:szCs w:val="22"/>
              </w:rPr>
              <w:t>,</w:t>
            </w:r>
            <w:r>
              <w:rPr>
                <w:sz w:val="22"/>
                <w:szCs w:val="22"/>
              </w:rPr>
              <w:t xml:space="preserve"> but are not limited to:</w:t>
            </w:r>
          </w:p>
          <w:p w14:paraId="36510F15" w14:textId="77777777" w:rsidR="00FE7FE4" w:rsidRDefault="00FE7FE4" w:rsidP="005E240A">
            <w:pPr>
              <w:pStyle w:val="Tabletext"/>
              <w:numPr>
                <w:ilvl w:val="0"/>
                <w:numId w:val="4"/>
              </w:numPr>
              <w:spacing w:before="60" w:after="60" w:line="240" w:lineRule="auto"/>
              <w:rPr>
                <w:sz w:val="22"/>
                <w:szCs w:val="22"/>
              </w:rPr>
            </w:pPr>
            <w:r>
              <w:rPr>
                <w:sz w:val="22"/>
                <w:szCs w:val="22"/>
              </w:rPr>
              <w:t>complaint information</w:t>
            </w:r>
          </w:p>
          <w:p w14:paraId="5EBC5D30" w14:textId="77777777" w:rsidR="00FE7FE4" w:rsidRDefault="00FE7FE4" w:rsidP="005E240A">
            <w:pPr>
              <w:pStyle w:val="Tabletext"/>
              <w:numPr>
                <w:ilvl w:val="0"/>
                <w:numId w:val="4"/>
              </w:numPr>
              <w:spacing w:before="60" w:after="60" w:line="240" w:lineRule="auto"/>
              <w:rPr>
                <w:sz w:val="22"/>
                <w:szCs w:val="22"/>
              </w:rPr>
            </w:pPr>
            <w:r>
              <w:rPr>
                <w:sz w:val="22"/>
                <w:szCs w:val="22"/>
              </w:rPr>
              <w:t>research information</w:t>
            </w:r>
          </w:p>
          <w:p w14:paraId="7B4FDBFE" w14:textId="77777777" w:rsidR="00FE7FE4" w:rsidRDefault="00FE7FE4" w:rsidP="005E240A">
            <w:pPr>
              <w:pStyle w:val="Tabletext"/>
              <w:numPr>
                <w:ilvl w:val="0"/>
                <w:numId w:val="4"/>
              </w:numPr>
              <w:spacing w:before="60" w:after="60" w:line="240" w:lineRule="auto"/>
              <w:rPr>
                <w:sz w:val="22"/>
                <w:szCs w:val="22"/>
              </w:rPr>
            </w:pPr>
            <w:r>
              <w:rPr>
                <w:sz w:val="22"/>
                <w:szCs w:val="22"/>
              </w:rPr>
              <w:t>assessment outcome</w:t>
            </w:r>
          </w:p>
          <w:p w14:paraId="41B78C25" w14:textId="77777777" w:rsidR="00FE7FE4" w:rsidRDefault="00FE7FE4" w:rsidP="005E240A">
            <w:pPr>
              <w:pStyle w:val="Tabletext"/>
              <w:numPr>
                <w:ilvl w:val="0"/>
                <w:numId w:val="4"/>
              </w:numPr>
              <w:spacing w:before="60" w:after="60" w:line="240" w:lineRule="auto"/>
              <w:rPr>
                <w:sz w:val="22"/>
                <w:szCs w:val="22"/>
              </w:rPr>
            </w:pPr>
            <w:r>
              <w:rPr>
                <w:sz w:val="22"/>
                <w:szCs w:val="22"/>
              </w:rPr>
              <w:t>conciliation outcome</w:t>
            </w:r>
          </w:p>
          <w:p w14:paraId="39883E6F" w14:textId="77777777" w:rsidR="00FE7FE4" w:rsidRDefault="00FE7FE4" w:rsidP="005E240A">
            <w:pPr>
              <w:pStyle w:val="Tabletext"/>
              <w:numPr>
                <w:ilvl w:val="0"/>
                <w:numId w:val="4"/>
              </w:numPr>
              <w:spacing w:before="60" w:after="60" w:line="240" w:lineRule="auto"/>
              <w:rPr>
                <w:sz w:val="22"/>
                <w:szCs w:val="22"/>
              </w:rPr>
            </w:pPr>
            <w:r>
              <w:rPr>
                <w:sz w:val="22"/>
                <w:szCs w:val="22"/>
              </w:rPr>
              <w:t>referral of the complaint to another agency or public authority</w:t>
            </w:r>
          </w:p>
          <w:p w14:paraId="3ACFFDBE" w14:textId="6713B80C" w:rsidR="00FE7FE4" w:rsidRDefault="00FE7FE4" w:rsidP="005E240A">
            <w:pPr>
              <w:pStyle w:val="Tabletext"/>
              <w:numPr>
                <w:ilvl w:val="0"/>
                <w:numId w:val="4"/>
              </w:numPr>
              <w:spacing w:before="60" w:after="60" w:line="240" w:lineRule="auto"/>
              <w:rPr>
                <w:sz w:val="22"/>
                <w:szCs w:val="22"/>
              </w:rPr>
            </w:pPr>
            <w:r>
              <w:rPr>
                <w:sz w:val="22"/>
                <w:szCs w:val="22"/>
              </w:rPr>
              <w:t xml:space="preserve">referral for </w:t>
            </w:r>
            <w:r w:rsidR="00375D25">
              <w:rPr>
                <w:sz w:val="22"/>
                <w:szCs w:val="22"/>
              </w:rPr>
              <w:t xml:space="preserve">agency </w:t>
            </w:r>
            <w:r>
              <w:rPr>
                <w:sz w:val="22"/>
                <w:szCs w:val="22"/>
              </w:rPr>
              <w:t>product safety check, trader spot check, trader visit or investigation</w:t>
            </w:r>
          </w:p>
          <w:p w14:paraId="58463E8F" w14:textId="77777777" w:rsidR="00A170C9" w:rsidRPr="00A170C9" w:rsidRDefault="00A170C9" w:rsidP="00A170C9">
            <w:pPr>
              <w:pStyle w:val="Tabletext"/>
              <w:spacing w:before="60" w:after="60" w:line="240" w:lineRule="auto"/>
              <w:rPr>
                <w:i/>
                <w:sz w:val="22"/>
                <w:szCs w:val="22"/>
              </w:rPr>
            </w:pPr>
            <w:r w:rsidRPr="00A170C9">
              <w:rPr>
                <w:i/>
                <w:sz w:val="22"/>
                <w:szCs w:val="22"/>
              </w:rPr>
              <w:t>See classes in this schedule for records relating to complaints that are referred for investigation.</w:t>
            </w:r>
          </w:p>
        </w:tc>
        <w:tc>
          <w:tcPr>
            <w:tcW w:w="1039" w:type="pct"/>
            <w:shd w:val="clear" w:color="auto" w:fill="auto"/>
          </w:tcPr>
          <w:p w14:paraId="19DADA4E" w14:textId="7AF65DCA" w:rsidR="00FE7FE4" w:rsidRPr="003147E4" w:rsidRDefault="00FE7FE4" w:rsidP="003D4D02">
            <w:pPr>
              <w:pStyle w:val="Tabletext"/>
              <w:spacing w:before="60" w:after="60" w:line="240" w:lineRule="auto"/>
              <w:rPr>
                <w:sz w:val="22"/>
                <w:szCs w:val="22"/>
              </w:rPr>
            </w:pPr>
            <w:r w:rsidRPr="00D236DF">
              <w:rPr>
                <w:sz w:val="22"/>
                <w:szCs w:val="22"/>
              </w:rPr>
              <w:t xml:space="preserve">7 years </w:t>
            </w:r>
            <w:r w:rsidR="00AF1C26">
              <w:rPr>
                <w:sz w:val="22"/>
                <w:szCs w:val="22"/>
              </w:rPr>
              <w:t>after finalisation of assessment and/or conciliation of c</w:t>
            </w:r>
            <w:r w:rsidR="000B2FBD">
              <w:rPr>
                <w:sz w:val="22"/>
                <w:szCs w:val="22"/>
              </w:rPr>
              <w:t>omplaints, whichever is latest.</w:t>
            </w:r>
          </w:p>
        </w:tc>
      </w:tr>
      <w:tr w:rsidR="002C0D5F" w:rsidRPr="003147E4" w14:paraId="25EF153C" w14:textId="77777777" w:rsidTr="002C0D5F">
        <w:tblPrEx>
          <w:tblCellMar>
            <w:top w:w="57" w:type="dxa"/>
            <w:left w:w="119" w:type="dxa"/>
            <w:right w:w="119" w:type="dxa"/>
          </w:tblCellMar>
        </w:tblPrEx>
        <w:tc>
          <w:tcPr>
            <w:tcW w:w="5000" w:type="pct"/>
            <w:gridSpan w:val="3"/>
            <w:shd w:val="clear" w:color="auto" w:fill="auto"/>
          </w:tcPr>
          <w:p w14:paraId="18335638" w14:textId="77777777" w:rsidR="002C0D5F" w:rsidRDefault="002C0D5F" w:rsidP="003D4D02">
            <w:pPr>
              <w:pStyle w:val="Tabletext"/>
              <w:spacing w:before="60" w:after="60" w:line="240" w:lineRule="auto"/>
              <w:rPr>
                <w:b/>
                <w:sz w:val="22"/>
                <w:szCs w:val="22"/>
              </w:rPr>
            </w:pPr>
            <w:r w:rsidRPr="00346D9D">
              <w:rPr>
                <w:b/>
                <w:sz w:val="22"/>
                <w:szCs w:val="22"/>
              </w:rPr>
              <w:t>INVESTIGATION</w:t>
            </w:r>
            <w:r>
              <w:rPr>
                <w:b/>
                <w:sz w:val="22"/>
                <w:szCs w:val="22"/>
              </w:rPr>
              <w:t xml:space="preserve"> AND ENFORCEMENT</w:t>
            </w:r>
          </w:p>
          <w:p w14:paraId="047F6269" w14:textId="6682C0F7" w:rsidR="002C0D5F" w:rsidRPr="00962593" w:rsidRDefault="002C0D5F" w:rsidP="00375D25">
            <w:pPr>
              <w:pStyle w:val="Tabletext"/>
              <w:spacing w:before="60" w:after="60" w:line="240" w:lineRule="auto"/>
              <w:rPr>
                <w:sz w:val="22"/>
                <w:szCs w:val="22"/>
              </w:rPr>
            </w:pPr>
            <w:r>
              <w:rPr>
                <w:i/>
                <w:sz w:val="22"/>
                <w:szCs w:val="22"/>
              </w:rPr>
              <w:t xml:space="preserve">The activity of investigating and managing alleged breaches of legislation administered by </w:t>
            </w:r>
            <w:r w:rsidR="00375D25">
              <w:rPr>
                <w:i/>
                <w:sz w:val="22"/>
                <w:szCs w:val="22"/>
              </w:rPr>
              <w:t xml:space="preserve">the agency </w:t>
            </w:r>
            <w:r>
              <w:rPr>
                <w:i/>
                <w:sz w:val="22"/>
                <w:szCs w:val="22"/>
              </w:rPr>
              <w:t>(</w:t>
            </w:r>
            <w:r w:rsidRPr="006B39EF">
              <w:rPr>
                <w:i/>
                <w:sz w:val="22"/>
                <w:szCs w:val="22"/>
              </w:rPr>
              <w:t>including Fair Trading Act 1989 incorporating</w:t>
            </w:r>
            <w:r>
              <w:rPr>
                <w:i/>
                <w:sz w:val="22"/>
                <w:szCs w:val="22"/>
              </w:rPr>
              <w:t xml:space="preserve"> the </w:t>
            </w:r>
            <w:r w:rsidRPr="003F7B81">
              <w:rPr>
                <w:i/>
                <w:sz w:val="22"/>
                <w:szCs w:val="22"/>
              </w:rPr>
              <w:t>Australian Consumer Law</w:t>
            </w:r>
            <w:r>
              <w:rPr>
                <w:i/>
                <w:sz w:val="22"/>
                <w:szCs w:val="22"/>
              </w:rPr>
              <w:t xml:space="preserve">) </w:t>
            </w:r>
            <w:r w:rsidRPr="00C94590">
              <w:rPr>
                <w:i/>
                <w:sz w:val="22"/>
                <w:szCs w:val="22"/>
              </w:rPr>
              <w:t xml:space="preserve">initiated by complaint and/or intelligence received by, or referred to </w:t>
            </w:r>
            <w:r w:rsidR="00375D25">
              <w:rPr>
                <w:i/>
                <w:sz w:val="22"/>
                <w:szCs w:val="22"/>
              </w:rPr>
              <w:t>the agency</w:t>
            </w:r>
            <w:r w:rsidRPr="00C94590">
              <w:rPr>
                <w:i/>
                <w:sz w:val="22"/>
                <w:szCs w:val="22"/>
              </w:rPr>
              <w:t xml:space="preserve"> or as a result of pro-active compliance operations. Activities also include investigation and/or referral of complaints about unsafe</w:t>
            </w:r>
            <w:r>
              <w:rPr>
                <w:i/>
                <w:sz w:val="22"/>
                <w:szCs w:val="22"/>
              </w:rPr>
              <w:t xml:space="preserve"> goods and services</w:t>
            </w:r>
            <w:r w:rsidRPr="00C94590">
              <w:rPr>
                <w:i/>
                <w:sz w:val="22"/>
                <w:szCs w:val="22"/>
              </w:rPr>
              <w:t xml:space="preserve"> and</w:t>
            </w:r>
            <w:r>
              <w:rPr>
                <w:i/>
                <w:sz w:val="22"/>
                <w:szCs w:val="22"/>
              </w:rPr>
              <w:t xml:space="preserve"> non-compliance with mandatory safety and information standards. Enforcement activities involve administering appropriate enforcement action or initiating disciplinary or prosecution action where breaches are determined. </w:t>
            </w:r>
            <w:r w:rsidRPr="00245518">
              <w:rPr>
                <w:i/>
                <w:sz w:val="22"/>
                <w:szCs w:val="22"/>
              </w:rPr>
              <w:t>Investigations are categorised</w:t>
            </w:r>
            <w:r>
              <w:rPr>
                <w:i/>
                <w:sz w:val="22"/>
                <w:szCs w:val="22"/>
              </w:rPr>
              <w:t xml:space="preserve"> by risk factor according to set criteria noted in </w:t>
            </w:r>
            <w:r w:rsidR="00375D25">
              <w:rPr>
                <w:i/>
                <w:sz w:val="22"/>
                <w:szCs w:val="22"/>
              </w:rPr>
              <w:t xml:space="preserve">the agency’s </w:t>
            </w:r>
            <w:r>
              <w:rPr>
                <w:i/>
                <w:sz w:val="22"/>
                <w:szCs w:val="22"/>
              </w:rPr>
              <w:t>Compliance and Enforcement Policy and Standards (CEPS).</w:t>
            </w:r>
            <w:r>
              <w:rPr>
                <w:sz w:val="22"/>
                <w:szCs w:val="22"/>
              </w:rPr>
              <w:t xml:space="preserve"> </w:t>
            </w:r>
          </w:p>
        </w:tc>
      </w:tr>
      <w:tr w:rsidR="00FE7FE4" w:rsidRPr="003147E4" w14:paraId="512780B7" w14:textId="77777777" w:rsidTr="00FE7FE4">
        <w:tblPrEx>
          <w:tblCellMar>
            <w:top w:w="57" w:type="dxa"/>
            <w:left w:w="119" w:type="dxa"/>
            <w:right w:w="119" w:type="dxa"/>
          </w:tblCellMar>
        </w:tblPrEx>
        <w:tc>
          <w:tcPr>
            <w:tcW w:w="496" w:type="pct"/>
            <w:shd w:val="clear" w:color="auto" w:fill="auto"/>
          </w:tcPr>
          <w:p w14:paraId="600E7663" w14:textId="3A419AE8" w:rsidR="009907B6" w:rsidRDefault="00741D6C" w:rsidP="00391CA2">
            <w:pPr>
              <w:pStyle w:val="Tabletext"/>
              <w:spacing w:before="60" w:after="60" w:line="240" w:lineRule="auto"/>
              <w:rPr>
                <w:sz w:val="22"/>
                <w:szCs w:val="22"/>
              </w:rPr>
            </w:pPr>
            <w:bookmarkStart w:id="8" w:name="Significant_1672"/>
            <w:r>
              <w:rPr>
                <w:sz w:val="22"/>
                <w:szCs w:val="22"/>
              </w:rPr>
              <w:t>1672</w:t>
            </w:r>
            <w:bookmarkEnd w:id="8"/>
          </w:p>
        </w:tc>
        <w:tc>
          <w:tcPr>
            <w:tcW w:w="3465" w:type="pct"/>
            <w:shd w:val="clear" w:color="auto" w:fill="auto"/>
          </w:tcPr>
          <w:p w14:paraId="25E09AC5" w14:textId="188FFFEF" w:rsidR="00FE7FE4" w:rsidRDefault="000B2FBD" w:rsidP="0038149A">
            <w:pPr>
              <w:pStyle w:val="Tabletext"/>
              <w:spacing w:before="60" w:after="60" w:line="240" w:lineRule="auto"/>
              <w:rPr>
                <w:b/>
                <w:i/>
                <w:sz w:val="22"/>
                <w:szCs w:val="22"/>
              </w:rPr>
            </w:pPr>
            <w:r>
              <w:rPr>
                <w:b/>
                <w:i/>
                <w:sz w:val="22"/>
                <w:szCs w:val="22"/>
              </w:rPr>
              <w:t xml:space="preserve">Investigations – </w:t>
            </w:r>
            <w:r w:rsidR="007F5844">
              <w:rPr>
                <w:b/>
                <w:i/>
                <w:sz w:val="22"/>
                <w:szCs w:val="22"/>
              </w:rPr>
              <w:t>significant</w:t>
            </w:r>
          </w:p>
          <w:p w14:paraId="1D4E1CD0" w14:textId="04856464" w:rsidR="00800DDF" w:rsidRDefault="00FE7FE4" w:rsidP="00800DDF">
            <w:pPr>
              <w:pStyle w:val="Tabletext"/>
              <w:spacing w:before="60" w:after="60" w:line="240" w:lineRule="auto"/>
              <w:rPr>
                <w:sz w:val="22"/>
                <w:szCs w:val="22"/>
              </w:rPr>
            </w:pPr>
            <w:r>
              <w:rPr>
                <w:sz w:val="22"/>
                <w:szCs w:val="22"/>
              </w:rPr>
              <w:t xml:space="preserve">Records relating to investigation of complaints for alleged or proven breaches of legislation </w:t>
            </w:r>
            <w:r w:rsidR="00800DDF">
              <w:rPr>
                <w:sz w:val="22"/>
                <w:szCs w:val="22"/>
              </w:rPr>
              <w:t xml:space="preserve">administered by the agency </w:t>
            </w:r>
            <w:r>
              <w:rPr>
                <w:sz w:val="22"/>
                <w:szCs w:val="22"/>
              </w:rPr>
              <w:t>which are</w:t>
            </w:r>
            <w:r w:rsidR="00800DDF">
              <w:rPr>
                <w:sz w:val="22"/>
                <w:szCs w:val="22"/>
              </w:rPr>
              <w:t xml:space="preserve"> deemed significant.</w:t>
            </w:r>
          </w:p>
          <w:p w14:paraId="1D360257" w14:textId="77777777" w:rsidR="00322B12" w:rsidRPr="00322B12" w:rsidRDefault="00322B12" w:rsidP="00322B12">
            <w:pPr>
              <w:pStyle w:val="Tabletext"/>
              <w:spacing w:before="60" w:after="60" w:line="240" w:lineRule="auto"/>
              <w:rPr>
                <w:sz w:val="22"/>
                <w:szCs w:val="22"/>
              </w:rPr>
            </w:pPr>
            <w:r w:rsidRPr="00322B12">
              <w:rPr>
                <w:sz w:val="22"/>
                <w:szCs w:val="22"/>
              </w:rPr>
              <w:t>Significant investigations are those which set a precedent where the outcome of the investigation results in the:</w:t>
            </w:r>
          </w:p>
          <w:p w14:paraId="3C047C7A" w14:textId="77777777" w:rsidR="00322B12" w:rsidRPr="00322B12" w:rsidRDefault="00322B12" w:rsidP="005E240A">
            <w:pPr>
              <w:pStyle w:val="Tabletext"/>
              <w:numPr>
                <w:ilvl w:val="0"/>
                <w:numId w:val="23"/>
              </w:numPr>
              <w:spacing w:before="60" w:after="60" w:line="240" w:lineRule="auto"/>
              <w:rPr>
                <w:sz w:val="22"/>
                <w:szCs w:val="22"/>
              </w:rPr>
            </w:pPr>
            <w:r w:rsidRPr="00322B12">
              <w:rPr>
                <w:sz w:val="22"/>
                <w:szCs w:val="22"/>
              </w:rPr>
              <w:t>development of, or changes to, legislation administered by the agency</w:t>
            </w:r>
          </w:p>
          <w:p w14:paraId="75F4805F" w14:textId="77777777" w:rsidR="00322B12" w:rsidRPr="00787569" w:rsidRDefault="00322B12" w:rsidP="005E240A">
            <w:pPr>
              <w:pStyle w:val="Tabletext"/>
              <w:numPr>
                <w:ilvl w:val="0"/>
                <w:numId w:val="23"/>
              </w:numPr>
              <w:spacing w:before="60" w:after="60" w:line="240" w:lineRule="auto"/>
              <w:rPr>
                <w:b/>
                <w:i/>
                <w:sz w:val="22"/>
                <w:szCs w:val="22"/>
              </w:rPr>
            </w:pPr>
            <w:r w:rsidRPr="00322B12">
              <w:rPr>
                <w:sz w:val="22"/>
                <w:szCs w:val="22"/>
              </w:rPr>
              <w:t>development of, or changes to, the agency’s policies and standards</w:t>
            </w:r>
          </w:p>
          <w:p w14:paraId="349E3323" w14:textId="231B6671" w:rsidR="00787569" w:rsidRPr="00322B12" w:rsidRDefault="00787569" w:rsidP="00787569">
            <w:pPr>
              <w:pStyle w:val="Tabletext"/>
              <w:spacing w:before="60" w:after="60" w:line="240" w:lineRule="auto"/>
              <w:rPr>
                <w:b/>
                <w:i/>
                <w:sz w:val="22"/>
                <w:szCs w:val="22"/>
              </w:rPr>
            </w:pPr>
            <w:r>
              <w:rPr>
                <w:sz w:val="22"/>
                <w:szCs w:val="22"/>
              </w:rPr>
              <w:t xml:space="preserve">Includes issues that have resulted in significant public interest, controversy, or caused </w:t>
            </w:r>
            <w:r w:rsidR="008559AF">
              <w:rPr>
                <w:sz w:val="22"/>
                <w:szCs w:val="22"/>
              </w:rPr>
              <w:t xml:space="preserve">significant </w:t>
            </w:r>
            <w:r>
              <w:rPr>
                <w:sz w:val="22"/>
                <w:szCs w:val="22"/>
              </w:rPr>
              <w:t>consumer detriment.</w:t>
            </w:r>
          </w:p>
        </w:tc>
        <w:tc>
          <w:tcPr>
            <w:tcW w:w="1039" w:type="pct"/>
            <w:shd w:val="clear" w:color="auto" w:fill="auto"/>
          </w:tcPr>
          <w:p w14:paraId="5E6764C7" w14:textId="78EBAE29" w:rsidR="00800DDF" w:rsidRDefault="00800DDF" w:rsidP="0038149A">
            <w:pPr>
              <w:pStyle w:val="Tabletext"/>
              <w:spacing w:before="60" w:after="60" w:line="240" w:lineRule="auto"/>
              <w:rPr>
                <w:sz w:val="22"/>
                <w:szCs w:val="22"/>
              </w:rPr>
            </w:pPr>
            <w:r>
              <w:rPr>
                <w:sz w:val="22"/>
                <w:szCs w:val="22"/>
              </w:rPr>
              <w:t>Permanent.</w:t>
            </w:r>
          </w:p>
          <w:p w14:paraId="45B523B4" w14:textId="02E636CD" w:rsidR="00FE7FE4" w:rsidRDefault="00800DDF" w:rsidP="00391CA2">
            <w:pPr>
              <w:pStyle w:val="Tabletext"/>
              <w:spacing w:before="60" w:after="60" w:line="240" w:lineRule="auto"/>
              <w:rPr>
                <w:sz w:val="22"/>
                <w:szCs w:val="22"/>
              </w:rPr>
            </w:pPr>
            <w:r>
              <w:rPr>
                <w:sz w:val="22"/>
                <w:szCs w:val="22"/>
              </w:rPr>
              <w:t>Transfer to QSA after business action completed.</w:t>
            </w:r>
          </w:p>
        </w:tc>
      </w:tr>
      <w:tr w:rsidR="00FE7FE4" w:rsidRPr="003147E4" w14:paraId="726777E9" w14:textId="77777777" w:rsidTr="00FE7FE4">
        <w:tblPrEx>
          <w:tblCellMar>
            <w:top w:w="57" w:type="dxa"/>
            <w:left w:w="119" w:type="dxa"/>
            <w:right w:w="119" w:type="dxa"/>
          </w:tblCellMar>
        </w:tblPrEx>
        <w:tc>
          <w:tcPr>
            <w:tcW w:w="496" w:type="pct"/>
            <w:shd w:val="clear" w:color="auto" w:fill="auto"/>
          </w:tcPr>
          <w:p w14:paraId="7381BB87" w14:textId="5E48888D" w:rsidR="009907B6" w:rsidRDefault="00741D6C" w:rsidP="00391CA2">
            <w:pPr>
              <w:pStyle w:val="Tabletext"/>
              <w:spacing w:before="60" w:after="60" w:line="240" w:lineRule="auto"/>
              <w:rPr>
                <w:sz w:val="22"/>
                <w:szCs w:val="22"/>
              </w:rPr>
            </w:pPr>
            <w:bookmarkStart w:id="9" w:name="Major_1673"/>
            <w:r>
              <w:rPr>
                <w:sz w:val="22"/>
                <w:szCs w:val="22"/>
              </w:rPr>
              <w:t>1673</w:t>
            </w:r>
            <w:bookmarkEnd w:id="9"/>
          </w:p>
        </w:tc>
        <w:tc>
          <w:tcPr>
            <w:tcW w:w="3465" w:type="pct"/>
            <w:shd w:val="clear" w:color="auto" w:fill="auto"/>
          </w:tcPr>
          <w:p w14:paraId="53041C15" w14:textId="1E216EFD" w:rsidR="00FE7FE4" w:rsidRDefault="00FE7FE4" w:rsidP="003D4D02">
            <w:pPr>
              <w:pStyle w:val="Tabletext"/>
              <w:spacing w:before="60" w:after="60" w:line="240" w:lineRule="auto"/>
              <w:rPr>
                <w:b/>
                <w:i/>
                <w:sz w:val="22"/>
                <w:szCs w:val="22"/>
              </w:rPr>
            </w:pPr>
            <w:r>
              <w:rPr>
                <w:b/>
                <w:i/>
                <w:sz w:val="22"/>
                <w:szCs w:val="22"/>
              </w:rPr>
              <w:t xml:space="preserve">Investigations – </w:t>
            </w:r>
            <w:r w:rsidR="007F5844">
              <w:rPr>
                <w:b/>
                <w:i/>
                <w:sz w:val="22"/>
                <w:szCs w:val="22"/>
              </w:rPr>
              <w:t>major</w:t>
            </w:r>
            <w:r w:rsidR="002816D1">
              <w:rPr>
                <w:b/>
                <w:i/>
                <w:sz w:val="22"/>
                <w:szCs w:val="22"/>
              </w:rPr>
              <w:t xml:space="preserve"> </w:t>
            </w:r>
          </w:p>
          <w:p w14:paraId="0EE6D9BB" w14:textId="2C87030E" w:rsidR="007F5844" w:rsidRDefault="00657861" w:rsidP="003D4D02">
            <w:pPr>
              <w:pStyle w:val="Tabletext"/>
              <w:spacing w:before="60" w:after="60" w:line="240" w:lineRule="auto"/>
              <w:rPr>
                <w:sz w:val="22"/>
                <w:szCs w:val="22"/>
              </w:rPr>
            </w:pPr>
            <w:r>
              <w:rPr>
                <w:sz w:val="22"/>
                <w:szCs w:val="22"/>
              </w:rPr>
              <w:t>R</w:t>
            </w:r>
            <w:r w:rsidR="00FE7FE4">
              <w:rPr>
                <w:sz w:val="22"/>
                <w:szCs w:val="22"/>
              </w:rPr>
              <w:t xml:space="preserve">ecords </w:t>
            </w:r>
            <w:r w:rsidR="007F5844">
              <w:rPr>
                <w:sz w:val="22"/>
                <w:szCs w:val="22"/>
              </w:rPr>
              <w:t xml:space="preserve">relating to </w:t>
            </w:r>
            <w:r w:rsidR="00322B12" w:rsidRPr="00322B12">
              <w:rPr>
                <w:sz w:val="22"/>
                <w:szCs w:val="22"/>
              </w:rPr>
              <w:t>investigation of alleged breaches of legislation administered by the agency ranging from serious misconduct, multi-jurisdictional matters and proven product safety issues to misleading and deceptive conduct and undermining licensing requirements</w:t>
            </w:r>
            <w:r w:rsidR="008559AF">
              <w:rPr>
                <w:sz w:val="22"/>
                <w:szCs w:val="22"/>
              </w:rPr>
              <w:t>,</w:t>
            </w:r>
            <w:r w:rsidR="00322B12" w:rsidRPr="00322B12">
              <w:rPr>
                <w:sz w:val="22"/>
                <w:szCs w:val="22"/>
              </w:rPr>
              <w:t xml:space="preserve"> and which are not covered under record classes </w:t>
            </w:r>
            <w:hyperlink w:anchor="Significant_1672" w:history="1">
              <w:r w:rsidR="00951C74" w:rsidRPr="00504037">
                <w:rPr>
                  <w:rStyle w:val="Hyperlink"/>
                  <w:sz w:val="22"/>
                  <w:szCs w:val="22"/>
                </w:rPr>
                <w:t>1672</w:t>
              </w:r>
            </w:hyperlink>
            <w:r w:rsidR="00322B12" w:rsidRPr="00322B12">
              <w:rPr>
                <w:sz w:val="22"/>
                <w:szCs w:val="22"/>
              </w:rPr>
              <w:t xml:space="preserve"> and </w:t>
            </w:r>
            <w:hyperlink w:anchor="Other_1674" w:history="1">
              <w:r w:rsidR="00951C74" w:rsidRPr="00504037">
                <w:rPr>
                  <w:rStyle w:val="Hyperlink"/>
                  <w:sz w:val="22"/>
                  <w:szCs w:val="22"/>
                </w:rPr>
                <w:t>1674</w:t>
              </w:r>
            </w:hyperlink>
            <w:r w:rsidR="00322B12" w:rsidRPr="00322B12">
              <w:rPr>
                <w:sz w:val="22"/>
                <w:szCs w:val="22"/>
              </w:rPr>
              <w:t>.</w:t>
            </w:r>
          </w:p>
          <w:p w14:paraId="6D54CDBE" w14:textId="77777777" w:rsidR="00FE7FE4" w:rsidRDefault="00FE7FE4" w:rsidP="003D4D02">
            <w:pPr>
              <w:pStyle w:val="Tabletext"/>
              <w:spacing w:before="60" w:after="60" w:line="240" w:lineRule="auto"/>
              <w:rPr>
                <w:sz w:val="22"/>
                <w:szCs w:val="22"/>
              </w:rPr>
            </w:pPr>
            <w:r w:rsidRPr="00CE679E">
              <w:rPr>
                <w:b/>
                <w:sz w:val="22"/>
                <w:szCs w:val="22"/>
              </w:rPr>
              <w:t>Investigation</w:t>
            </w:r>
            <w:r>
              <w:rPr>
                <w:sz w:val="22"/>
                <w:szCs w:val="22"/>
              </w:rPr>
              <w:t xml:space="preserve"> records include but are not limited to:</w:t>
            </w:r>
          </w:p>
          <w:p w14:paraId="6965E449" w14:textId="77777777" w:rsidR="00FE7FE4" w:rsidRDefault="00FE7FE4" w:rsidP="005E240A">
            <w:pPr>
              <w:pStyle w:val="Tabletext"/>
              <w:numPr>
                <w:ilvl w:val="0"/>
                <w:numId w:val="15"/>
              </w:numPr>
              <w:spacing w:before="60" w:after="60" w:line="240" w:lineRule="auto"/>
              <w:rPr>
                <w:sz w:val="22"/>
                <w:szCs w:val="22"/>
              </w:rPr>
            </w:pPr>
            <w:r w:rsidRPr="008F61B4">
              <w:rPr>
                <w:sz w:val="22"/>
                <w:szCs w:val="22"/>
              </w:rPr>
              <w:t xml:space="preserve">correspondence and submissions from complainants and respondents </w:t>
            </w:r>
          </w:p>
          <w:p w14:paraId="04F3C4E0" w14:textId="77777777" w:rsidR="00FE7FE4" w:rsidRPr="008F61B4" w:rsidRDefault="00FE7FE4" w:rsidP="005E240A">
            <w:pPr>
              <w:pStyle w:val="Tabletext"/>
              <w:numPr>
                <w:ilvl w:val="0"/>
                <w:numId w:val="15"/>
              </w:numPr>
              <w:spacing w:before="60" w:after="60" w:line="240" w:lineRule="auto"/>
              <w:rPr>
                <w:sz w:val="22"/>
                <w:szCs w:val="22"/>
              </w:rPr>
            </w:pPr>
            <w:r>
              <w:rPr>
                <w:sz w:val="22"/>
                <w:szCs w:val="22"/>
              </w:rPr>
              <w:t>research information</w:t>
            </w:r>
          </w:p>
          <w:p w14:paraId="16D47EA0" w14:textId="77777777" w:rsidR="00FE7FE4" w:rsidRDefault="00FE7FE4" w:rsidP="005E240A">
            <w:pPr>
              <w:pStyle w:val="Tabletext"/>
              <w:numPr>
                <w:ilvl w:val="0"/>
                <w:numId w:val="15"/>
              </w:numPr>
              <w:spacing w:before="60" w:after="60" w:line="240" w:lineRule="auto"/>
              <w:rPr>
                <w:sz w:val="22"/>
                <w:szCs w:val="22"/>
              </w:rPr>
            </w:pPr>
            <w:r w:rsidRPr="008F61B4">
              <w:rPr>
                <w:sz w:val="22"/>
                <w:szCs w:val="22"/>
              </w:rPr>
              <w:t xml:space="preserve">interview </w:t>
            </w:r>
            <w:r>
              <w:rPr>
                <w:sz w:val="22"/>
                <w:szCs w:val="22"/>
              </w:rPr>
              <w:t xml:space="preserve">and/or discussion </w:t>
            </w:r>
            <w:r w:rsidRPr="008F61B4">
              <w:rPr>
                <w:sz w:val="22"/>
                <w:szCs w:val="22"/>
              </w:rPr>
              <w:t>records</w:t>
            </w:r>
          </w:p>
          <w:p w14:paraId="710A6AE8" w14:textId="77777777" w:rsidR="00FE7FE4" w:rsidRPr="008F61B4" w:rsidRDefault="00FE7FE4" w:rsidP="005E240A">
            <w:pPr>
              <w:pStyle w:val="Tabletext"/>
              <w:numPr>
                <w:ilvl w:val="0"/>
                <w:numId w:val="15"/>
              </w:numPr>
              <w:spacing w:before="60" w:after="60" w:line="240" w:lineRule="auto"/>
              <w:rPr>
                <w:sz w:val="22"/>
                <w:szCs w:val="22"/>
              </w:rPr>
            </w:pPr>
            <w:r>
              <w:rPr>
                <w:sz w:val="22"/>
                <w:szCs w:val="22"/>
              </w:rPr>
              <w:t>witness statements</w:t>
            </w:r>
          </w:p>
          <w:p w14:paraId="37B43B9F" w14:textId="77777777" w:rsidR="00FE7FE4" w:rsidRDefault="00FE7FE4" w:rsidP="005E240A">
            <w:pPr>
              <w:pStyle w:val="Tabletext"/>
              <w:numPr>
                <w:ilvl w:val="0"/>
                <w:numId w:val="15"/>
              </w:numPr>
              <w:spacing w:before="60" w:after="60" w:line="240" w:lineRule="auto"/>
              <w:rPr>
                <w:sz w:val="22"/>
                <w:szCs w:val="22"/>
              </w:rPr>
            </w:pPr>
            <w:r w:rsidRPr="008F61B4">
              <w:rPr>
                <w:sz w:val="22"/>
                <w:szCs w:val="22"/>
              </w:rPr>
              <w:lastRenderedPageBreak/>
              <w:t>search warrants</w:t>
            </w:r>
          </w:p>
          <w:p w14:paraId="186007A0" w14:textId="77777777" w:rsidR="00FE7FE4" w:rsidRDefault="00FE7FE4" w:rsidP="005E240A">
            <w:pPr>
              <w:pStyle w:val="Tabletext"/>
              <w:numPr>
                <w:ilvl w:val="0"/>
                <w:numId w:val="15"/>
              </w:numPr>
              <w:spacing w:before="60" w:after="60" w:line="240" w:lineRule="auto"/>
              <w:rPr>
                <w:sz w:val="22"/>
                <w:szCs w:val="22"/>
              </w:rPr>
            </w:pPr>
            <w:r>
              <w:rPr>
                <w:sz w:val="22"/>
                <w:szCs w:val="22"/>
              </w:rPr>
              <w:t>receivership appointments and reports</w:t>
            </w:r>
          </w:p>
          <w:p w14:paraId="371135D4" w14:textId="77777777" w:rsidR="00FE7FE4" w:rsidRDefault="00FE7FE4" w:rsidP="005E240A">
            <w:pPr>
              <w:pStyle w:val="Tabletext"/>
              <w:numPr>
                <w:ilvl w:val="0"/>
                <w:numId w:val="15"/>
              </w:numPr>
              <w:spacing w:before="60" w:after="60" w:line="240" w:lineRule="auto"/>
              <w:rPr>
                <w:sz w:val="22"/>
                <w:szCs w:val="22"/>
              </w:rPr>
            </w:pPr>
            <w:r>
              <w:rPr>
                <w:sz w:val="22"/>
                <w:szCs w:val="22"/>
              </w:rPr>
              <w:t>audit reports</w:t>
            </w:r>
          </w:p>
          <w:p w14:paraId="2A4AE267" w14:textId="77777777" w:rsidR="00FE7FE4" w:rsidRDefault="00FE7FE4" w:rsidP="005E240A">
            <w:pPr>
              <w:pStyle w:val="Tabletext"/>
              <w:numPr>
                <w:ilvl w:val="0"/>
                <w:numId w:val="15"/>
              </w:numPr>
              <w:spacing w:before="60" w:after="60" w:line="240" w:lineRule="auto"/>
              <w:rPr>
                <w:sz w:val="22"/>
                <w:szCs w:val="22"/>
              </w:rPr>
            </w:pPr>
            <w:r>
              <w:rPr>
                <w:sz w:val="22"/>
                <w:szCs w:val="22"/>
              </w:rPr>
              <w:t>claim payment advice or information</w:t>
            </w:r>
          </w:p>
          <w:p w14:paraId="15DC61D6" w14:textId="77777777" w:rsidR="00FE7FE4" w:rsidRDefault="00FE7FE4" w:rsidP="005E240A">
            <w:pPr>
              <w:pStyle w:val="Tabletext"/>
              <w:numPr>
                <w:ilvl w:val="0"/>
                <w:numId w:val="15"/>
              </w:numPr>
              <w:spacing w:before="60" w:after="60" w:line="240" w:lineRule="auto"/>
              <w:rPr>
                <w:sz w:val="22"/>
                <w:szCs w:val="22"/>
              </w:rPr>
            </w:pPr>
            <w:r>
              <w:rPr>
                <w:sz w:val="22"/>
                <w:szCs w:val="22"/>
              </w:rPr>
              <w:t>risk assessment reports</w:t>
            </w:r>
          </w:p>
          <w:p w14:paraId="42A20F1B" w14:textId="77777777" w:rsidR="00FE7FE4" w:rsidRDefault="00FE7FE4" w:rsidP="005E240A">
            <w:pPr>
              <w:pStyle w:val="Tabletext"/>
              <w:numPr>
                <w:ilvl w:val="0"/>
                <w:numId w:val="15"/>
              </w:numPr>
              <w:spacing w:before="60" w:after="60" w:line="240" w:lineRule="auto"/>
              <w:rPr>
                <w:sz w:val="22"/>
                <w:szCs w:val="22"/>
              </w:rPr>
            </w:pPr>
            <w:r>
              <w:rPr>
                <w:sz w:val="22"/>
                <w:szCs w:val="22"/>
              </w:rPr>
              <w:t>product testing reports</w:t>
            </w:r>
          </w:p>
          <w:p w14:paraId="5E2A59C5" w14:textId="77777777" w:rsidR="00FE7FE4" w:rsidRDefault="00FE7FE4" w:rsidP="005E240A">
            <w:pPr>
              <w:pStyle w:val="Tabletext"/>
              <w:numPr>
                <w:ilvl w:val="0"/>
                <w:numId w:val="15"/>
              </w:numPr>
              <w:spacing w:before="60" w:after="60" w:line="240" w:lineRule="auto"/>
              <w:rPr>
                <w:sz w:val="22"/>
                <w:szCs w:val="22"/>
              </w:rPr>
            </w:pPr>
            <w:r w:rsidRPr="00245518">
              <w:rPr>
                <w:sz w:val="22"/>
                <w:szCs w:val="22"/>
              </w:rPr>
              <w:t>officers reports and recommendations</w:t>
            </w:r>
          </w:p>
          <w:p w14:paraId="19C2C80A" w14:textId="77777777" w:rsidR="00FE7FE4" w:rsidRDefault="00FE7FE4" w:rsidP="00662A4A">
            <w:pPr>
              <w:pStyle w:val="Tabletext"/>
              <w:spacing w:before="60" w:after="60" w:line="240" w:lineRule="auto"/>
              <w:rPr>
                <w:sz w:val="22"/>
                <w:szCs w:val="22"/>
              </w:rPr>
            </w:pPr>
            <w:r w:rsidRPr="00CE679E">
              <w:rPr>
                <w:b/>
                <w:sz w:val="22"/>
                <w:szCs w:val="22"/>
              </w:rPr>
              <w:t>Enforcement</w:t>
            </w:r>
            <w:r>
              <w:rPr>
                <w:sz w:val="22"/>
                <w:szCs w:val="22"/>
              </w:rPr>
              <w:t xml:space="preserve"> records include but are not limited to:</w:t>
            </w:r>
          </w:p>
          <w:p w14:paraId="6080E991" w14:textId="77777777" w:rsidR="00FE7FE4" w:rsidRDefault="00FE7FE4" w:rsidP="005E240A">
            <w:pPr>
              <w:pStyle w:val="Tabletext"/>
              <w:numPr>
                <w:ilvl w:val="0"/>
                <w:numId w:val="5"/>
              </w:numPr>
              <w:spacing w:before="60" w:after="60" w:line="240" w:lineRule="auto"/>
              <w:rPr>
                <w:sz w:val="22"/>
                <w:szCs w:val="22"/>
              </w:rPr>
            </w:pPr>
            <w:r>
              <w:rPr>
                <w:sz w:val="22"/>
                <w:szCs w:val="22"/>
              </w:rPr>
              <w:t>enforceable undertaking</w:t>
            </w:r>
          </w:p>
          <w:p w14:paraId="4C8D59E2" w14:textId="77777777" w:rsidR="00FE7FE4" w:rsidRDefault="00FE7FE4" w:rsidP="005E240A">
            <w:pPr>
              <w:pStyle w:val="Tabletext"/>
              <w:numPr>
                <w:ilvl w:val="0"/>
                <w:numId w:val="5"/>
              </w:numPr>
              <w:spacing w:before="60" w:after="60" w:line="240" w:lineRule="auto"/>
              <w:rPr>
                <w:sz w:val="22"/>
                <w:szCs w:val="22"/>
              </w:rPr>
            </w:pPr>
            <w:r>
              <w:rPr>
                <w:sz w:val="22"/>
                <w:szCs w:val="22"/>
              </w:rPr>
              <w:t>public naming or public warning</w:t>
            </w:r>
          </w:p>
          <w:p w14:paraId="65BE16C1" w14:textId="77777777" w:rsidR="00FE7FE4" w:rsidRDefault="00FE7FE4" w:rsidP="005E240A">
            <w:pPr>
              <w:pStyle w:val="Tabletext"/>
              <w:numPr>
                <w:ilvl w:val="0"/>
                <w:numId w:val="5"/>
              </w:numPr>
              <w:spacing w:before="60" w:after="60" w:line="240" w:lineRule="auto"/>
              <w:rPr>
                <w:sz w:val="22"/>
                <w:szCs w:val="22"/>
              </w:rPr>
            </w:pPr>
            <w:r>
              <w:rPr>
                <w:sz w:val="22"/>
                <w:szCs w:val="22"/>
              </w:rPr>
              <w:t>disciplinary action</w:t>
            </w:r>
          </w:p>
          <w:p w14:paraId="487BDA48" w14:textId="77777777" w:rsidR="00FE7FE4" w:rsidRDefault="00FE7FE4" w:rsidP="005E240A">
            <w:pPr>
              <w:pStyle w:val="Tabletext"/>
              <w:numPr>
                <w:ilvl w:val="0"/>
                <w:numId w:val="5"/>
              </w:numPr>
              <w:spacing w:before="60" w:after="60" w:line="240" w:lineRule="auto"/>
              <w:rPr>
                <w:sz w:val="22"/>
                <w:szCs w:val="22"/>
              </w:rPr>
            </w:pPr>
            <w:r>
              <w:rPr>
                <w:sz w:val="22"/>
                <w:szCs w:val="22"/>
              </w:rPr>
              <w:t>prosecution action</w:t>
            </w:r>
          </w:p>
          <w:p w14:paraId="5271D2C6" w14:textId="77777777" w:rsidR="00FE7FE4" w:rsidRDefault="00FE7FE4" w:rsidP="005E240A">
            <w:pPr>
              <w:pStyle w:val="Tabletext"/>
              <w:numPr>
                <w:ilvl w:val="0"/>
                <w:numId w:val="5"/>
              </w:numPr>
              <w:spacing w:before="60" w:after="60" w:line="240" w:lineRule="auto"/>
              <w:rPr>
                <w:sz w:val="22"/>
                <w:szCs w:val="22"/>
              </w:rPr>
            </w:pPr>
            <w:r>
              <w:rPr>
                <w:sz w:val="22"/>
                <w:szCs w:val="22"/>
              </w:rPr>
              <w:t>civil proceedings</w:t>
            </w:r>
          </w:p>
          <w:p w14:paraId="73AFCEDE" w14:textId="77777777" w:rsidR="00FE7FE4" w:rsidRPr="00B2188E" w:rsidRDefault="00FE7FE4" w:rsidP="005E240A">
            <w:pPr>
              <w:pStyle w:val="Tabletext"/>
              <w:numPr>
                <w:ilvl w:val="0"/>
                <w:numId w:val="5"/>
              </w:numPr>
              <w:spacing w:before="60" w:after="60" w:line="240" w:lineRule="auto"/>
              <w:rPr>
                <w:sz w:val="22"/>
                <w:szCs w:val="22"/>
              </w:rPr>
            </w:pPr>
            <w:r>
              <w:rPr>
                <w:sz w:val="22"/>
                <w:szCs w:val="22"/>
              </w:rPr>
              <w:t>criminal proceedings.</w:t>
            </w:r>
            <w:r w:rsidRPr="00B2188E">
              <w:rPr>
                <w:sz w:val="22"/>
                <w:szCs w:val="22"/>
              </w:rPr>
              <w:t xml:space="preserve"> </w:t>
            </w:r>
          </w:p>
          <w:p w14:paraId="3AA00BCA" w14:textId="77777777" w:rsidR="00FE7FE4" w:rsidRPr="00B2188E" w:rsidRDefault="00FE7FE4" w:rsidP="005E240A">
            <w:pPr>
              <w:pStyle w:val="Tabletext"/>
              <w:numPr>
                <w:ilvl w:val="0"/>
                <w:numId w:val="10"/>
              </w:numPr>
              <w:spacing w:before="60" w:after="60" w:line="240" w:lineRule="auto"/>
              <w:rPr>
                <w:rFonts w:ascii="Helvetica" w:hAnsi="Helvetica" w:cs="Helvetica"/>
                <w:sz w:val="22"/>
                <w:szCs w:val="22"/>
                <w:lang w:val="en"/>
              </w:rPr>
            </w:pPr>
            <w:r w:rsidRPr="00B2188E">
              <w:rPr>
                <w:rFonts w:ascii="Helvetica" w:hAnsi="Helvetica" w:cs="Helvetica"/>
                <w:sz w:val="22"/>
                <w:szCs w:val="22"/>
                <w:lang w:val="en"/>
              </w:rPr>
              <w:t>temporary or permanent banning of products</w:t>
            </w:r>
          </w:p>
          <w:p w14:paraId="28F12903" w14:textId="77777777" w:rsidR="00FE7FE4" w:rsidRDefault="00FE7FE4" w:rsidP="005E240A">
            <w:pPr>
              <w:pStyle w:val="Tabletext"/>
              <w:numPr>
                <w:ilvl w:val="0"/>
                <w:numId w:val="10"/>
              </w:numPr>
              <w:spacing w:before="60" w:after="60" w:line="240" w:lineRule="auto"/>
              <w:rPr>
                <w:rFonts w:ascii="Helvetica" w:hAnsi="Helvetica" w:cs="Helvetica"/>
                <w:sz w:val="22"/>
                <w:szCs w:val="22"/>
                <w:lang w:val="en"/>
              </w:rPr>
            </w:pPr>
            <w:r w:rsidRPr="00B2188E">
              <w:rPr>
                <w:rFonts w:ascii="Helvetica" w:hAnsi="Helvetica" w:cs="Helvetica"/>
                <w:sz w:val="22"/>
                <w:szCs w:val="22"/>
                <w:lang w:val="en"/>
              </w:rPr>
              <w:t>mandatory safety standards</w:t>
            </w:r>
          </w:p>
          <w:p w14:paraId="46BF2FC2" w14:textId="2F746B7F" w:rsidR="000B2FBD" w:rsidRPr="002D2582" w:rsidRDefault="00FE7FE4" w:rsidP="005E240A">
            <w:pPr>
              <w:pStyle w:val="Tabletext"/>
              <w:numPr>
                <w:ilvl w:val="0"/>
                <w:numId w:val="10"/>
              </w:numPr>
              <w:spacing w:before="60" w:after="60" w:line="240" w:lineRule="auto"/>
              <w:rPr>
                <w:rFonts w:ascii="Helvetica" w:hAnsi="Helvetica" w:cs="Helvetica"/>
                <w:sz w:val="22"/>
                <w:szCs w:val="22"/>
                <w:lang w:val="en"/>
              </w:rPr>
            </w:pPr>
            <w:r w:rsidRPr="00662A4A">
              <w:rPr>
                <w:rFonts w:ascii="Helvetica" w:hAnsi="Helvetica" w:cs="Helvetica"/>
                <w:sz w:val="22"/>
                <w:szCs w:val="22"/>
                <w:lang w:val="en"/>
              </w:rPr>
              <w:t>recall notices</w:t>
            </w:r>
            <w:r w:rsidR="000B2FBD" w:rsidRPr="002D2582">
              <w:rPr>
                <w:rFonts w:ascii="Helvetica" w:hAnsi="Helvetica" w:cs="Helvetica"/>
                <w:i/>
                <w:sz w:val="22"/>
                <w:szCs w:val="22"/>
                <w:lang w:val="en"/>
              </w:rPr>
              <w:t xml:space="preserve"> </w:t>
            </w:r>
          </w:p>
        </w:tc>
        <w:tc>
          <w:tcPr>
            <w:tcW w:w="1039" w:type="pct"/>
            <w:shd w:val="clear" w:color="auto" w:fill="auto"/>
          </w:tcPr>
          <w:p w14:paraId="2F97ECE2" w14:textId="6A363822" w:rsidR="00FE7FE4" w:rsidRDefault="007F5844" w:rsidP="002816D1">
            <w:pPr>
              <w:pStyle w:val="Tabletext"/>
              <w:spacing w:before="60" w:after="60" w:line="240" w:lineRule="auto"/>
              <w:rPr>
                <w:sz w:val="22"/>
                <w:szCs w:val="22"/>
              </w:rPr>
            </w:pPr>
            <w:r>
              <w:rPr>
                <w:sz w:val="22"/>
                <w:szCs w:val="22"/>
              </w:rPr>
              <w:lastRenderedPageBreak/>
              <w:t>15</w:t>
            </w:r>
            <w:r w:rsidR="00FE7FE4" w:rsidRPr="00915B2B">
              <w:rPr>
                <w:sz w:val="22"/>
                <w:szCs w:val="22"/>
              </w:rPr>
              <w:t xml:space="preserve"> </w:t>
            </w:r>
            <w:r w:rsidR="002816D1">
              <w:rPr>
                <w:sz w:val="22"/>
                <w:szCs w:val="22"/>
              </w:rPr>
              <w:t>y</w:t>
            </w:r>
            <w:r w:rsidR="00FE7FE4" w:rsidRPr="00915B2B">
              <w:rPr>
                <w:sz w:val="22"/>
                <w:szCs w:val="22"/>
              </w:rPr>
              <w:t>ears</w:t>
            </w:r>
            <w:r w:rsidR="00FE7FE4">
              <w:rPr>
                <w:sz w:val="22"/>
                <w:szCs w:val="22"/>
              </w:rPr>
              <w:t xml:space="preserve"> from </w:t>
            </w:r>
            <w:r w:rsidR="00800DDF">
              <w:rPr>
                <w:sz w:val="22"/>
                <w:szCs w:val="22"/>
              </w:rPr>
              <w:t>the completion of the investigation.</w:t>
            </w:r>
          </w:p>
        </w:tc>
      </w:tr>
      <w:tr w:rsidR="00FE7FE4" w:rsidRPr="003147E4" w14:paraId="62AC229D" w14:textId="77777777" w:rsidTr="00FE7FE4">
        <w:tblPrEx>
          <w:tblCellMar>
            <w:top w:w="57" w:type="dxa"/>
            <w:left w:w="119" w:type="dxa"/>
            <w:right w:w="119" w:type="dxa"/>
          </w:tblCellMar>
        </w:tblPrEx>
        <w:tc>
          <w:tcPr>
            <w:tcW w:w="496" w:type="pct"/>
            <w:shd w:val="clear" w:color="auto" w:fill="auto"/>
          </w:tcPr>
          <w:p w14:paraId="06700F5F" w14:textId="54D10F7E" w:rsidR="009907B6" w:rsidRPr="003147E4" w:rsidRDefault="00741D6C" w:rsidP="00391CA2">
            <w:pPr>
              <w:pStyle w:val="Tabletext"/>
              <w:spacing w:before="60" w:after="60" w:line="240" w:lineRule="auto"/>
              <w:rPr>
                <w:sz w:val="22"/>
                <w:szCs w:val="22"/>
              </w:rPr>
            </w:pPr>
            <w:bookmarkStart w:id="10" w:name="Other_1674"/>
            <w:r>
              <w:rPr>
                <w:sz w:val="22"/>
                <w:szCs w:val="22"/>
              </w:rPr>
              <w:t>1674</w:t>
            </w:r>
            <w:bookmarkEnd w:id="10"/>
          </w:p>
        </w:tc>
        <w:tc>
          <w:tcPr>
            <w:tcW w:w="3465" w:type="pct"/>
            <w:shd w:val="clear" w:color="auto" w:fill="auto"/>
          </w:tcPr>
          <w:p w14:paraId="140A6E61" w14:textId="17F26401" w:rsidR="00FE7FE4" w:rsidRDefault="000B2FBD" w:rsidP="0038149A">
            <w:pPr>
              <w:pStyle w:val="Tabletext"/>
              <w:spacing w:before="60" w:after="60" w:line="240" w:lineRule="auto"/>
              <w:rPr>
                <w:b/>
                <w:i/>
                <w:sz w:val="22"/>
                <w:szCs w:val="22"/>
              </w:rPr>
            </w:pPr>
            <w:r>
              <w:rPr>
                <w:b/>
                <w:i/>
                <w:sz w:val="22"/>
                <w:szCs w:val="22"/>
              </w:rPr>
              <w:t xml:space="preserve">Investigations – </w:t>
            </w:r>
            <w:r w:rsidR="002D2582">
              <w:rPr>
                <w:b/>
                <w:i/>
                <w:sz w:val="22"/>
                <w:szCs w:val="22"/>
              </w:rPr>
              <w:t>other</w:t>
            </w:r>
          </w:p>
          <w:p w14:paraId="7D9F3262" w14:textId="5B67D0F9" w:rsidR="000B2FBD" w:rsidRDefault="00657861" w:rsidP="0038149A">
            <w:pPr>
              <w:pStyle w:val="Tabletext"/>
              <w:spacing w:before="60" w:after="60" w:line="240" w:lineRule="auto"/>
              <w:rPr>
                <w:sz w:val="22"/>
                <w:szCs w:val="22"/>
              </w:rPr>
            </w:pPr>
            <w:r>
              <w:rPr>
                <w:sz w:val="22"/>
                <w:szCs w:val="22"/>
              </w:rPr>
              <w:t>R</w:t>
            </w:r>
            <w:r w:rsidR="00FE7FE4">
              <w:rPr>
                <w:sz w:val="22"/>
                <w:szCs w:val="22"/>
              </w:rPr>
              <w:t xml:space="preserve">ecords relating to </w:t>
            </w:r>
            <w:r w:rsidR="00EC6B9E">
              <w:rPr>
                <w:sz w:val="22"/>
                <w:szCs w:val="22"/>
              </w:rPr>
              <w:t xml:space="preserve">investigations </w:t>
            </w:r>
            <w:r w:rsidR="00322B12" w:rsidRPr="00322B12">
              <w:rPr>
                <w:sz w:val="22"/>
                <w:szCs w:val="22"/>
              </w:rPr>
              <w:t xml:space="preserve">of alleged breaches of legislation administered by the agency where contraventions are unlikely to impact on the marketplace and where minor issues may evolve into larger issues if not addressed by investigative action and which are not covered under record classes </w:t>
            </w:r>
            <w:hyperlink w:anchor="Significant_1672" w:history="1">
              <w:r w:rsidR="00951C74" w:rsidRPr="00504037">
                <w:rPr>
                  <w:rStyle w:val="Hyperlink"/>
                  <w:sz w:val="22"/>
                  <w:szCs w:val="22"/>
                </w:rPr>
                <w:t>1672</w:t>
              </w:r>
            </w:hyperlink>
            <w:r w:rsidR="00951C74">
              <w:rPr>
                <w:sz w:val="22"/>
                <w:szCs w:val="22"/>
              </w:rPr>
              <w:t xml:space="preserve"> and </w:t>
            </w:r>
            <w:hyperlink w:anchor="Major_1673" w:history="1">
              <w:r w:rsidR="00951C74" w:rsidRPr="00504037">
                <w:rPr>
                  <w:rStyle w:val="Hyperlink"/>
                  <w:sz w:val="22"/>
                  <w:szCs w:val="22"/>
                </w:rPr>
                <w:t>1673</w:t>
              </w:r>
            </w:hyperlink>
            <w:r w:rsidR="00322B12" w:rsidRPr="00322B12">
              <w:rPr>
                <w:sz w:val="22"/>
                <w:szCs w:val="22"/>
              </w:rPr>
              <w:t>.</w:t>
            </w:r>
          </w:p>
          <w:p w14:paraId="02A2EDE7" w14:textId="77777777" w:rsidR="00FE7FE4" w:rsidRDefault="00FE7FE4" w:rsidP="0038149A">
            <w:pPr>
              <w:pStyle w:val="Tabletext"/>
              <w:spacing w:before="60" w:after="60" w:line="240" w:lineRule="auto"/>
              <w:rPr>
                <w:sz w:val="22"/>
                <w:szCs w:val="22"/>
              </w:rPr>
            </w:pPr>
            <w:r w:rsidRPr="007336A1">
              <w:rPr>
                <w:b/>
                <w:sz w:val="22"/>
                <w:szCs w:val="22"/>
              </w:rPr>
              <w:t>Investigation</w:t>
            </w:r>
            <w:r>
              <w:rPr>
                <w:sz w:val="22"/>
                <w:szCs w:val="22"/>
              </w:rPr>
              <w:t xml:space="preserve"> records include but are not limited to:</w:t>
            </w:r>
          </w:p>
          <w:p w14:paraId="3F8D7170" w14:textId="77777777" w:rsidR="00FE7FE4" w:rsidRDefault="00FE7FE4" w:rsidP="005E240A">
            <w:pPr>
              <w:pStyle w:val="Tabletext"/>
              <w:numPr>
                <w:ilvl w:val="0"/>
                <w:numId w:val="15"/>
              </w:numPr>
              <w:spacing w:before="60" w:after="60" w:line="240" w:lineRule="auto"/>
              <w:rPr>
                <w:sz w:val="22"/>
                <w:szCs w:val="22"/>
              </w:rPr>
            </w:pPr>
            <w:r w:rsidRPr="008F61B4">
              <w:rPr>
                <w:sz w:val="22"/>
                <w:szCs w:val="22"/>
              </w:rPr>
              <w:t xml:space="preserve">correspondence and submissions from complainants and respondents </w:t>
            </w:r>
          </w:p>
          <w:p w14:paraId="3045AA36" w14:textId="77777777" w:rsidR="00FE7FE4" w:rsidRPr="008F61B4" w:rsidRDefault="00FE7FE4" w:rsidP="005E240A">
            <w:pPr>
              <w:pStyle w:val="Tabletext"/>
              <w:numPr>
                <w:ilvl w:val="0"/>
                <w:numId w:val="15"/>
              </w:numPr>
              <w:spacing w:before="60" w:after="60" w:line="240" w:lineRule="auto"/>
              <w:rPr>
                <w:sz w:val="22"/>
                <w:szCs w:val="22"/>
              </w:rPr>
            </w:pPr>
            <w:r>
              <w:rPr>
                <w:sz w:val="22"/>
                <w:szCs w:val="22"/>
              </w:rPr>
              <w:t>research information</w:t>
            </w:r>
          </w:p>
          <w:p w14:paraId="7B9F9FE6" w14:textId="77777777" w:rsidR="00FE7FE4" w:rsidRDefault="00FE7FE4" w:rsidP="005E240A">
            <w:pPr>
              <w:pStyle w:val="Tabletext"/>
              <w:numPr>
                <w:ilvl w:val="0"/>
                <w:numId w:val="15"/>
              </w:numPr>
              <w:spacing w:before="60" w:after="60" w:line="240" w:lineRule="auto"/>
              <w:rPr>
                <w:sz w:val="22"/>
                <w:szCs w:val="22"/>
              </w:rPr>
            </w:pPr>
            <w:r w:rsidRPr="008F61B4">
              <w:rPr>
                <w:sz w:val="22"/>
                <w:szCs w:val="22"/>
              </w:rPr>
              <w:t xml:space="preserve">interview </w:t>
            </w:r>
            <w:r>
              <w:rPr>
                <w:sz w:val="22"/>
                <w:szCs w:val="22"/>
              </w:rPr>
              <w:t xml:space="preserve">and/or discussion </w:t>
            </w:r>
            <w:r w:rsidRPr="008F61B4">
              <w:rPr>
                <w:sz w:val="22"/>
                <w:szCs w:val="22"/>
              </w:rPr>
              <w:t>records</w:t>
            </w:r>
          </w:p>
          <w:p w14:paraId="35C622EE" w14:textId="77777777" w:rsidR="00FE7FE4" w:rsidRPr="007336A1" w:rsidRDefault="00FE7FE4" w:rsidP="005E240A">
            <w:pPr>
              <w:pStyle w:val="Tabletext"/>
              <w:numPr>
                <w:ilvl w:val="0"/>
                <w:numId w:val="15"/>
              </w:numPr>
              <w:spacing w:before="60" w:after="60" w:line="240" w:lineRule="auto"/>
              <w:rPr>
                <w:sz w:val="22"/>
                <w:szCs w:val="22"/>
              </w:rPr>
            </w:pPr>
            <w:r w:rsidRPr="007336A1">
              <w:rPr>
                <w:sz w:val="22"/>
                <w:szCs w:val="22"/>
              </w:rPr>
              <w:t>officers reports and recommendations</w:t>
            </w:r>
            <w:r w:rsidRPr="007336A1">
              <w:rPr>
                <w:b/>
                <w:i/>
                <w:sz w:val="22"/>
                <w:szCs w:val="22"/>
              </w:rPr>
              <w:t xml:space="preserve"> </w:t>
            </w:r>
          </w:p>
          <w:p w14:paraId="0D36DF5A" w14:textId="77777777" w:rsidR="00FE7FE4" w:rsidRDefault="00FE7FE4" w:rsidP="007336A1">
            <w:pPr>
              <w:pStyle w:val="Tabletext"/>
              <w:spacing w:before="60" w:after="60" w:line="240" w:lineRule="auto"/>
              <w:rPr>
                <w:sz w:val="22"/>
                <w:szCs w:val="22"/>
              </w:rPr>
            </w:pPr>
            <w:r w:rsidRPr="007336A1">
              <w:rPr>
                <w:b/>
                <w:sz w:val="22"/>
                <w:szCs w:val="22"/>
              </w:rPr>
              <w:t>Enforcement</w:t>
            </w:r>
            <w:r>
              <w:rPr>
                <w:sz w:val="22"/>
                <w:szCs w:val="22"/>
              </w:rPr>
              <w:t xml:space="preserve"> records include but are not limited to:</w:t>
            </w:r>
          </w:p>
          <w:p w14:paraId="0D233FD6" w14:textId="77777777" w:rsidR="00FE7FE4" w:rsidRDefault="00FE7FE4" w:rsidP="005E240A">
            <w:pPr>
              <w:pStyle w:val="Tabletext"/>
              <w:numPr>
                <w:ilvl w:val="0"/>
                <w:numId w:val="6"/>
              </w:numPr>
              <w:spacing w:before="60" w:after="60" w:line="240" w:lineRule="auto"/>
              <w:rPr>
                <w:sz w:val="22"/>
                <w:szCs w:val="22"/>
              </w:rPr>
            </w:pPr>
            <w:r>
              <w:rPr>
                <w:sz w:val="22"/>
                <w:szCs w:val="22"/>
              </w:rPr>
              <w:t>compliance advice letter</w:t>
            </w:r>
          </w:p>
          <w:p w14:paraId="1C54BACD" w14:textId="77777777" w:rsidR="00FE7FE4" w:rsidRPr="00D96125" w:rsidRDefault="00FE7FE4" w:rsidP="005E240A">
            <w:pPr>
              <w:pStyle w:val="Tabletext"/>
              <w:numPr>
                <w:ilvl w:val="0"/>
                <w:numId w:val="10"/>
              </w:numPr>
              <w:spacing w:before="60" w:after="60" w:line="240" w:lineRule="auto"/>
              <w:rPr>
                <w:rFonts w:ascii="Helvetica" w:hAnsi="Helvetica" w:cs="Helvetica"/>
                <w:sz w:val="22"/>
                <w:szCs w:val="22"/>
                <w:lang w:val="en"/>
              </w:rPr>
            </w:pPr>
            <w:r>
              <w:rPr>
                <w:sz w:val="22"/>
                <w:szCs w:val="22"/>
              </w:rPr>
              <w:t xml:space="preserve">warning notice </w:t>
            </w:r>
          </w:p>
          <w:p w14:paraId="798F1DF1" w14:textId="77777777" w:rsidR="00FE7FE4" w:rsidRPr="00001367" w:rsidRDefault="00FE7FE4" w:rsidP="005E240A">
            <w:pPr>
              <w:pStyle w:val="Tabletext"/>
              <w:numPr>
                <w:ilvl w:val="0"/>
                <w:numId w:val="10"/>
              </w:numPr>
              <w:spacing w:before="60" w:after="60" w:line="240" w:lineRule="auto"/>
              <w:rPr>
                <w:rFonts w:cs="Arial"/>
                <w:sz w:val="22"/>
                <w:szCs w:val="22"/>
                <w:lang w:val="en"/>
              </w:rPr>
            </w:pPr>
            <w:r w:rsidRPr="00001367">
              <w:rPr>
                <w:rFonts w:cs="Arial"/>
                <w:sz w:val="22"/>
                <w:szCs w:val="22"/>
                <w:lang w:val="en"/>
              </w:rPr>
              <w:t xml:space="preserve">safety warning notices </w:t>
            </w:r>
          </w:p>
          <w:p w14:paraId="027C8DBB" w14:textId="77777777" w:rsidR="00FE7FE4" w:rsidRDefault="00FE7FE4" w:rsidP="005E240A">
            <w:pPr>
              <w:pStyle w:val="Tabletext"/>
              <w:numPr>
                <w:ilvl w:val="0"/>
                <w:numId w:val="6"/>
              </w:numPr>
              <w:spacing w:before="60" w:after="60" w:line="240" w:lineRule="auto"/>
              <w:rPr>
                <w:sz w:val="22"/>
                <w:szCs w:val="22"/>
              </w:rPr>
            </w:pPr>
            <w:r>
              <w:rPr>
                <w:sz w:val="22"/>
                <w:szCs w:val="22"/>
              </w:rPr>
              <w:t>infringement notice</w:t>
            </w:r>
          </w:p>
          <w:p w14:paraId="32F8B506" w14:textId="77777777" w:rsidR="000B2FBD" w:rsidRDefault="00FE7FE4" w:rsidP="005E240A">
            <w:pPr>
              <w:pStyle w:val="Tabletext"/>
              <w:numPr>
                <w:ilvl w:val="0"/>
                <w:numId w:val="15"/>
              </w:numPr>
              <w:spacing w:before="60" w:after="60" w:line="240" w:lineRule="auto"/>
              <w:rPr>
                <w:sz w:val="22"/>
                <w:szCs w:val="22"/>
              </w:rPr>
            </w:pPr>
            <w:r>
              <w:rPr>
                <w:sz w:val="22"/>
                <w:szCs w:val="22"/>
              </w:rPr>
              <w:t>civil penalty notice</w:t>
            </w:r>
          </w:p>
          <w:p w14:paraId="348D2794" w14:textId="16F305F4" w:rsidR="006B6BB3" w:rsidRDefault="006B6BB3" w:rsidP="006B6BB3">
            <w:pPr>
              <w:pStyle w:val="Tabletext"/>
              <w:spacing w:before="60" w:after="60" w:line="240" w:lineRule="auto"/>
              <w:rPr>
                <w:i/>
                <w:sz w:val="22"/>
                <w:szCs w:val="22"/>
              </w:rPr>
            </w:pPr>
            <w:r>
              <w:rPr>
                <w:i/>
                <w:sz w:val="22"/>
                <w:szCs w:val="22"/>
              </w:rPr>
              <w:t xml:space="preserve">See class </w:t>
            </w:r>
            <w:hyperlink w:anchor="Complaints_1671" w:history="1">
              <w:r w:rsidR="00951C74" w:rsidRPr="00504037">
                <w:rPr>
                  <w:rStyle w:val="Hyperlink"/>
                  <w:i/>
                  <w:sz w:val="22"/>
                  <w:szCs w:val="22"/>
                </w:rPr>
                <w:t>1671</w:t>
              </w:r>
            </w:hyperlink>
            <w:r>
              <w:rPr>
                <w:i/>
                <w:sz w:val="22"/>
                <w:szCs w:val="22"/>
              </w:rPr>
              <w:t xml:space="preserve"> for records relating to complaints that are not referred to investigation.</w:t>
            </w:r>
          </w:p>
          <w:p w14:paraId="7F55F70D" w14:textId="69B5767B" w:rsidR="004618E3" w:rsidRPr="00A05CD6" w:rsidRDefault="004618E3" w:rsidP="004618E3">
            <w:pPr>
              <w:pStyle w:val="Tabletext"/>
              <w:spacing w:before="60" w:after="60" w:line="240" w:lineRule="auto"/>
              <w:rPr>
                <w:i/>
                <w:sz w:val="22"/>
                <w:szCs w:val="22"/>
              </w:rPr>
            </w:pPr>
            <w:r w:rsidRPr="00A05CD6">
              <w:rPr>
                <w:i/>
                <w:sz w:val="22"/>
                <w:szCs w:val="22"/>
              </w:rPr>
              <w:t xml:space="preserve">See class </w:t>
            </w:r>
            <w:hyperlink r:id="rId15" w:history="1">
              <w:r w:rsidRPr="00504037">
                <w:rPr>
                  <w:rStyle w:val="Hyperlink"/>
                  <w:i/>
                  <w:sz w:val="22"/>
                  <w:szCs w:val="22"/>
                </w:rPr>
                <w:t>1275</w:t>
              </w:r>
            </w:hyperlink>
            <w:r w:rsidRPr="00A05CD6">
              <w:rPr>
                <w:i/>
                <w:sz w:val="22"/>
                <w:szCs w:val="22"/>
              </w:rPr>
              <w:t xml:space="preserve"> in the General Retention and Disposal Schedule for records relating to anonymous or </w:t>
            </w:r>
            <w:r w:rsidR="000C6FF2">
              <w:rPr>
                <w:i/>
                <w:sz w:val="22"/>
                <w:szCs w:val="22"/>
              </w:rPr>
              <w:t>un</w:t>
            </w:r>
            <w:r w:rsidRPr="00A05CD6">
              <w:rPr>
                <w:i/>
                <w:sz w:val="22"/>
                <w:szCs w:val="22"/>
              </w:rPr>
              <w:t xml:space="preserve">identifiable </w:t>
            </w:r>
            <w:r w:rsidR="00A05CD6" w:rsidRPr="00A05CD6">
              <w:rPr>
                <w:i/>
                <w:sz w:val="22"/>
                <w:szCs w:val="22"/>
              </w:rPr>
              <w:t>complainant</w:t>
            </w:r>
            <w:r w:rsidR="00A05CD6">
              <w:rPr>
                <w:i/>
                <w:sz w:val="22"/>
                <w:szCs w:val="22"/>
              </w:rPr>
              <w:t>s</w:t>
            </w:r>
            <w:r w:rsidR="00A05CD6" w:rsidRPr="00A05CD6">
              <w:rPr>
                <w:i/>
                <w:sz w:val="22"/>
                <w:szCs w:val="22"/>
              </w:rPr>
              <w:t>.</w:t>
            </w:r>
          </w:p>
        </w:tc>
        <w:tc>
          <w:tcPr>
            <w:tcW w:w="1039" w:type="pct"/>
            <w:shd w:val="clear" w:color="auto" w:fill="auto"/>
          </w:tcPr>
          <w:p w14:paraId="1FF3AFCE" w14:textId="56CA4158" w:rsidR="00FE7FE4" w:rsidRPr="00707A0A" w:rsidRDefault="002D2582" w:rsidP="002D2582">
            <w:pPr>
              <w:pStyle w:val="Tabletext"/>
              <w:spacing w:before="60" w:after="60" w:line="240" w:lineRule="auto"/>
              <w:rPr>
                <w:i/>
                <w:sz w:val="22"/>
                <w:szCs w:val="22"/>
              </w:rPr>
            </w:pPr>
            <w:r>
              <w:rPr>
                <w:sz w:val="22"/>
                <w:szCs w:val="22"/>
              </w:rPr>
              <w:t>10</w:t>
            </w:r>
            <w:r w:rsidR="00FE7FE4" w:rsidRPr="00915B2B">
              <w:rPr>
                <w:sz w:val="22"/>
                <w:szCs w:val="22"/>
              </w:rPr>
              <w:t xml:space="preserve"> years</w:t>
            </w:r>
            <w:r w:rsidR="00FE7FE4">
              <w:rPr>
                <w:sz w:val="22"/>
                <w:szCs w:val="22"/>
              </w:rPr>
              <w:t xml:space="preserve"> </w:t>
            </w:r>
            <w:r>
              <w:rPr>
                <w:sz w:val="22"/>
                <w:szCs w:val="22"/>
              </w:rPr>
              <w:t>after business action completed.</w:t>
            </w:r>
          </w:p>
        </w:tc>
      </w:tr>
      <w:tr w:rsidR="00FE7FE4" w:rsidRPr="003147E4" w14:paraId="21D7A3A7" w14:textId="77777777" w:rsidTr="00FE7FE4">
        <w:tblPrEx>
          <w:tblCellMar>
            <w:top w:w="57" w:type="dxa"/>
            <w:left w:w="119" w:type="dxa"/>
            <w:right w:w="119" w:type="dxa"/>
          </w:tblCellMar>
        </w:tblPrEx>
        <w:tc>
          <w:tcPr>
            <w:tcW w:w="496" w:type="pct"/>
            <w:shd w:val="clear" w:color="auto" w:fill="auto"/>
          </w:tcPr>
          <w:p w14:paraId="00B8C465" w14:textId="22D33091" w:rsidR="009907B6" w:rsidRDefault="00741D6C" w:rsidP="00391CA2">
            <w:pPr>
              <w:pStyle w:val="Tabletext"/>
              <w:spacing w:before="60" w:after="60" w:line="240" w:lineRule="auto"/>
              <w:rPr>
                <w:sz w:val="22"/>
                <w:szCs w:val="22"/>
              </w:rPr>
            </w:pPr>
            <w:r>
              <w:rPr>
                <w:sz w:val="22"/>
                <w:szCs w:val="22"/>
              </w:rPr>
              <w:t>1675</w:t>
            </w:r>
          </w:p>
        </w:tc>
        <w:tc>
          <w:tcPr>
            <w:tcW w:w="3465" w:type="pct"/>
            <w:shd w:val="clear" w:color="auto" w:fill="auto"/>
          </w:tcPr>
          <w:p w14:paraId="4B53049F" w14:textId="54A90B5C" w:rsidR="00FE7FE4" w:rsidRDefault="00FE7FE4" w:rsidP="0038149A">
            <w:pPr>
              <w:pStyle w:val="Tabletext"/>
              <w:spacing w:before="60" w:after="60" w:line="240" w:lineRule="auto"/>
              <w:rPr>
                <w:b/>
                <w:i/>
                <w:sz w:val="22"/>
                <w:szCs w:val="22"/>
              </w:rPr>
            </w:pPr>
            <w:r>
              <w:rPr>
                <w:b/>
                <w:i/>
                <w:sz w:val="22"/>
                <w:szCs w:val="22"/>
              </w:rPr>
              <w:t xml:space="preserve">Evidence (exhibit) </w:t>
            </w:r>
            <w:r w:rsidR="00C579DA">
              <w:rPr>
                <w:b/>
                <w:i/>
                <w:sz w:val="22"/>
                <w:szCs w:val="22"/>
              </w:rPr>
              <w:t>r</w:t>
            </w:r>
            <w:r>
              <w:rPr>
                <w:b/>
                <w:i/>
                <w:sz w:val="22"/>
                <w:szCs w:val="22"/>
              </w:rPr>
              <w:t>egister</w:t>
            </w:r>
          </w:p>
          <w:p w14:paraId="46F78FDD" w14:textId="77777777" w:rsidR="00FE7FE4" w:rsidRDefault="00FE7FE4" w:rsidP="00C579DA">
            <w:pPr>
              <w:pStyle w:val="Tabletext"/>
              <w:spacing w:before="60" w:after="60" w:line="240" w:lineRule="auto"/>
              <w:rPr>
                <w:sz w:val="22"/>
                <w:szCs w:val="22"/>
              </w:rPr>
            </w:pPr>
            <w:r>
              <w:rPr>
                <w:sz w:val="22"/>
                <w:szCs w:val="22"/>
              </w:rPr>
              <w:t xml:space="preserve">Register of evidence collected during investigations undertaken by </w:t>
            </w:r>
            <w:r w:rsidR="00C579DA">
              <w:rPr>
                <w:sz w:val="22"/>
                <w:szCs w:val="22"/>
              </w:rPr>
              <w:t>the agency</w:t>
            </w:r>
            <w:r>
              <w:rPr>
                <w:sz w:val="22"/>
                <w:szCs w:val="22"/>
              </w:rPr>
              <w:t>.</w:t>
            </w:r>
          </w:p>
          <w:p w14:paraId="4AE52EDD" w14:textId="2129A88A" w:rsidR="00A20B90" w:rsidRPr="00A20B90" w:rsidRDefault="00A20B90" w:rsidP="00A20B90">
            <w:pPr>
              <w:pStyle w:val="Tabletext"/>
              <w:spacing w:before="60" w:after="60" w:line="240" w:lineRule="auto"/>
              <w:rPr>
                <w:i/>
                <w:sz w:val="22"/>
                <w:szCs w:val="22"/>
              </w:rPr>
            </w:pPr>
            <w:r w:rsidRPr="00A20B90">
              <w:rPr>
                <w:i/>
                <w:sz w:val="22"/>
                <w:szCs w:val="22"/>
              </w:rPr>
              <w:t xml:space="preserve">See the agencies internal policy and procedures for </w:t>
            </w:r>
            <w:r>
              <w:rPr>
                <w:i/>
                <w:sz w:val="22"/>
                <w:szCs w:val="22"/>
              </w:rPr>
              <w:t>handling</w:t>
            </w:r>
            <w:r w:rsidRPr="00A20B90">
              <w:rPr>
                <w:i/>
                <w:sz w:val="22"/>
                <w:szCs w:val="22"/>
              </w:rPr>
              <w:t xml:space="preserve"> evidence collected during an investigation.</w:t>
            </w:r>
          </w:p>
        </w:tc>
        <w:tc>
          <w:tcPr>
            <w:tcW w:w="1039" w:type="pct"/>
            <w:shd w:val="clear" w:color="auto" w:fill="auto"/>
          </w:tcPr>
          <w:p w14:paraId="5543B731" w14:textId="2CF50BBE" w:rsidR="00FE7FE4" w:rsidRPr="00915B2B" w:rsidRDefault="00FE7FE4" w:rsidP="00C579DA">
            <w:pPr>
              <w:pStyle w:val="Tabletext"/>
              <w:spacing w:before="60" w:after="60" w:line="240" w:lineRule="auto"/>
              <w:rPr>
                <w:sz w:val="22"/>
                <w:szCs w:val="22"/>
              </w:rPr>
            </w:pPr>
            <w:r>
              <w:rPr>
                <w:sz w:val="22"/>
                <w:szCs w:val="22"/>
              </w:rPr>
              <w:t xml:space="preserve">10 years after </w:t>
            </w:r>
            <w:r w:rsidR="00C579DA">
              <w:rPr>
                <w:sz w:val="22"/>
                <w:szCs w:val="22"/>
              </w:rPr>
              <w:t>business action completed</w:t>
            </w:r>
            <w:r>
              <w:rPr>
                <w:sz w:val="22"/>
                <w:szCs w:val="22"/>
              </w:rPr>
              <w:t>.</w:t>
            </w:r>
          </w:p>
        </w:tc>
      </w:tr>
      <w:tr w:rsidR="002C0D5F" w:rsidRPr="003147E4" w14:paraId="32F9484F" w14:textId="77777777" w:rsidTr="002C0D5F">
        <w:tblPrEx>
          <w:tblCellMar>
            <w:top w:w="57" w:type="dxa"/>
            <w:left w:w="119" w:type="dxa"/>
            <w:right w:w="119" w:type="dxa"/>
          </w:tblCellMar>
        </w:tblPrEx>
        <w:tc>
          <w:tcPr>
            <w:tcW w:w="5000" w:type="pct"/>
            <w:gridSpan w:val="3"/>
            <w:shd w:val="clear" w:color="auto" w:fill="auto"/>
          </w:tcPr>
          <w:p w14:paraId="68ADF0C4" w14:textId="77777777" w:rsidR="002C0D5F" w:rsidRDefault="002C0D5F" w:rsidP="003D4D02">
            <w:pPr>
              <w:pStyle w:val="Tabletext"/>
              <w:spacing w:before="60" w:after="60" w:line="240" w:lineRule="auto"/>
              <w:rPr>
                <w:b/>
                <w:sz w:val="22"/>
                <w:szCs w:val="22"/>
              </w:rPr>
            </w:pPr>
            <w:r w:rsidRPr="00F33D76">
              <w:rPr>
                <w:b/>
                <w:sz w:val="22"/>
                <w:szCs w:val="22"/>
              </w:rPr>
              <w:t>FINE ADMINISTRATION</w:t>
            </w:r>
          </w:p>
          <w:p w14:paraId="73FA8AC2" w14:textId="4254E62D" w:rsidR="002C0D5F" w:rsidRDefault="002C0D5F" w:rsidP="003D4D02">
            <w:pPr>
              <w:pStyle w:val="Tabletext"/>
              <w:spacing w:before="60" w:after="60" w:line="240" w:lineRule="auto"/>
              <w:rPr>
                <w:i/>
                <w:sz w:val="22"/>
                <w:szCs w:val="22"/>
              </w:rPr>
            </w:pPr>
            <w:r w:rsidRPr="00AE3D9D">
              <w:rPr>
                <w:i/>
                <w:sz w:val="22"/>
                <w:szCs w:val="22"/>
              </w:rPr>
              <w:t>The activity of processing and monitoring payment of infringement and civil penalty notices</w:t>
            </w:r>
            <w:r>
              <w:rPr>
                <w:i/>
                <w:sz w:val="22"/>
                <w:szCs w:val="22"/>
              </w:rPr>
              <w:t xml:space="preserve"> issued by </w:t>
            </w:r>
            <w:r w:rsidR="00F253CE">
              <w:rPr>
                <w:i/>
                <w:sz w:val="22"/>
                <w:szCs w:val="22"/>
              </w:rPr>
              <w:t xml:space="preserve">the agency </w:t>
            </w:r>
            <w:r>
              <w:rPr>
                <w:i/>
                <w:sz w:val="22"/>
                <w:szCs w:val="22"/>
              </w:rPr>
              <w:t xml:space="preserve">and </w:t>
            </w:r>
            <w:r w:rsidRPr="00DD2B47">
              <w:rPr>
                <w:i/>
                <w:sz w:val="22"/>
                <w:szCs w:val="22"/>
              </w:rPr>
              <w:t>Office of Liquor and Gaming Regulation</w:t>
            </w:r>
            <w:r>
              <w:rPr>
                <w:i/>
                <w:sz w:val="22"/>
                <w:szCs w:val="22"/>
              </w:rPr>
              <w:t xml:space="preserve"> (OLGR) Officers and/or the </w:t>
            </w:r>
            <w:r w:rsidRPr="00927CB3">
              <w:rPr>
                <w:i/>
                <w:sz w:val="22"/>
                <w:szCs w:val="22"/>
              </w:rPr>
              <w:t>Queensland Police Service</w:t>
            </w:r>
            <w:r>
              <w:rPr>
                <w:i/>
                <w:sz w:val="22"/>
                <w:szCs w:val="22"/>
              </w:rPr>
              <w:t xml:space="preserve"> (QPS) as authorised under legislation administered by </w:t>
            </w:r>
            <w:r w:rsidR="00F253CE">
              <w:rPr>
                <w:i/>
                <w:sz w:val="22"/>
                <w:szCs w:val="22"/>
              </w:rPr>
              <w:t>the agency</w:t>
            </w:r>
            <w:r>
              <w:rPr>
                <w:i/>
                <w:sz w:val="22"/>
                <w:szCs w:val="22"/>
              </w:rPr>
              <w:t>.</w:t>
            </w:r>
          </w:p>
          <w:p w14:paraId="6DAA2278" w14:textId="716D5E16" w:rsidR="002C0D5F" w:rsidRPr="00AE3D9D" w:rsidRDefault="002C0D5F" w:rsidP="00F253CE">
            <w:pPr>
              <w:pStyle w:val="Tabletext"/>
              <w:spacing w:before="60" w:after="60" w:line="240" w:lineRule="auto"/>
              <w:rPr>
                <w:i/>
                <w:sz w:val="22"/>
                <w:szCs w:val="22"/>
              </w:rPr>
            </w:pPr>
            <w:r>
              <w:rPr>
                <w:i/>
                <w:sz w:val="22"/>
                <w:szCs w:val="22"/>
              </w:rPr>
              <w:t xml:space="preserve">See </w:t>
            </w:r>
            <w:r w:rsidR="00F253CE">
              <w:rPr>
                <w:i/>
                <w:sz w:val="22"/>
                <w:szCs w:val="22"/>
              </w:rPr>
              <w:t>the General Retention and Disposal Schedule for records relating to the payment or receipt of money (</w:t>
            </w:r>
            <w:hyperlink r:id="rId16" w:history="1">
              <w:r w:rsidR="00F253CE" w:rsidRPr="00504037">
                <w:rPr>
                  <w:rStyle w:val="Hyperlink"/>
                  <w:i/>
                  <w:sz w:val="22"/>
                  <w:szCs w:val="22"/>
                </w:rPr>
                <w:t>1099</w:t>
              </w:r>
            </w:hyperlink>
            <w:r w:rsidR="00F253CE">
              <w:rPr>
                <w:i/>
                <w:sz w:val="22"/>
                <w:szCs w:val="22"/>
              </w:rPr>
              <w:t xml:space="preserve">) </w:t>
            </w:r>
          </w:p>
        </w:tc>
      </w:tr>
      <w:tr w:rsidR="00FE7FE4" w:rsidRPr="003147E4" w14:paraId="14C6C9E3" w14:textId="77777777" w:rsidTr="00FE7FE4">
        <w:tblPrEx>
          <w:tblCellMar>
            <w:top w:w="57" w:type="dxa"/>
            <w:left w:w="119" w:type="dxa"/>
            <w:right w:w="119" w:type="dxa"/>
          </w:tblCellMar>
        </w:tblPrEx>
        <w:tc>
          <w:tcPr>
            <w:tcW w:w="496" w:type="pct"/>
            <w:shd w:val="clear" w:color="auto" w:fill="auto"/>
          </w:tcPr>
          <w:p w14:paraId="2057DC23" w14:textId="1AFAF814" w:rsidR="009907B6" w:rsidRDefault="00741D6C" w:rsidP="00391CA2">
            <w:pPr>
              <w:pStyle w:val="Tabletext"/>
              <w:spacing w:before="60" w:after="60" w:line="240" w:lineRule="auto"/>
              <w:rPr>
                <w:sz w:val="22"/>
                <w:szCs w:val="22"/>
              </w:rPr>
            </w:pPr>
            <w:r>
              <w:rPr>
                <w:sz w:val="22"/>
                <w:szCs w:val="22"/>
              </w:rPr>
              <w:t>1676</w:t>
            </w:r>
          </w:p>
        </w:tc>
        <w:tc>
          <w:tcPr>
            <w:tcW w:w="3465" w:type="pct"/>
            <w:shd w:val="clear" w:color="auto" w:fill="auto"/>
          </w:tcPr>
          <w:p w14:paraId="65A4F198" w14:textId="7DEA6F18" w:rsidR="00FE7FE4" w:rsidRPr="003147E4" w:rsidRDefault="00797DCA" w:rsidP="003D4D02">
            <w:pPr>
              <w:pStyle w:val="Heading30"/>
              <w:spacing w:before="60" w:after="60"/>
              <w:rPr>
                <w:i/>
              </w:rPr>
            </w:pPr>
            <w:r>
              <w:rPr>
                <w:i/>
              </w:rPr>
              <w:t>Infringement and c</w:t>
            </w:r>
            <w:r w:rsidR="00FE7FE4">
              <w:rPr>
                <w:i/>
              </w:rPr>
              <w:t xml:space="preserve">ivil </w:t>
            </w:r>
            <w:r>
              <w:rPr>
                <w:i/>
              </w:rPr>
              <w:t>p</w:t>
            </w:r>
            <w:r w:rsidR="00FE7FE4">
              <w:rPr>
                <w:i/>
              </w:rPr>
              <w:t xml:space="preserve">enalty </w:t>
            </w:r>
            <w:r>
              <w:rPr>
                <w:i/>
              </w:rPr>
              <w:t>n</w:t>
            </w:r>
            <w:r w:rsidR="00FE7FE4">
              <w:rPr>
                <w:i/>
              </w:rPr>
              <w:t>otices</w:t>
            </w:r>
          </w:p>
          <w:p w14:paraId="49241256" w14:textId="77777777" w:rsidR="00EC6B9E" w:rsidRDefault="00D132F6" w:rsidP="003D4D02">
            <w:pPr>
              <w:pStyle w:val="Tabletext"/>
              <w:spacing w:before="60" w:after="60" w:line="240" w:lineRule="auto"/>
              <w:rPr>
                <w:sz w:val="22"/>
                <w:szCs w:val="22"/>
              </w:rPr>
            </w:pPr>
            <w:r>
              <w:rPr>
                <w:sz w:val="22"/>
                <w:szCs w:val="22"/>
              </w:rPr>
              <w:t>R</w:t>
            </w:r>
            <w:r w:rsidR="00FE7FE4" w:rsidRPr="00B0361C">
              <w:rPr>
                <w:sz w:val="22"/>
                <w:szCs w:val="22"/>
              </w:rPr>
              <w:t xml:space="preserve">ecords relating to </w:t>
            </w:r>
            <w:r w:rsidR="00FE7FE4">
              <w:rPr>
                <w:sz w:val="22"/>
                <w:szCs w:val="22"/>
              </w:rPr>
              <w:t xml:space="preserve">the details, registration, monitoring payment progress and withdrawal or cancellation of </w:t>
            </w:r>
            <w:r w:rsidR="00FE7FE4" w:rsidRPr="00B0361C">
              <w:rPr>
                <w:sz w:val="22"/>
                <w:szCs w:val="22"/>
              </w:rPr>
              <w:t>infringement and civil penalty notices</w:t>
            </w:r>
            <w:r w:rsidR="00FE7FE4">
              <w:rPr>
                <w:sz w:val="22"/>
                <w:szCs w:val="22"/>
              </w:rPr>
              <w:t xml:space="preserve"> issued</w:t>
            </w:r>
            <w:r w:rsidR="00FE7FE4" w:rsidRPr="00B0361C">
              <w:rPr>
                <w:sz w:val="22"/>
                <w:szCs w:val="22"/>
              </w:rPr>
              <w:t xml:space="preserve"> for non-compliance of legislati</w:t>
            </w:r>
            <w:r w:rsidR="00FE7FE4">
              <w:rPr>
                <w:sz w:val="22"/>
                <w:szCs w:val="22"/>
              </w:rPr>
              <w:t xml:space="preserve">on administered by </w:t>
            </w:r>
            <w:r w:rsidR="00D36691">
              <w:rPr>
                <w:sz w:val="22"/>
                <w:szCs w:val="22"/>
              </w:rPr>
              <w:t>the agency</w:t>
            </w:r>
            <w:r w:rsidR="00EC6B9E">
              <w:rPr>
                <w:sz w:val="22"/>
                <w:szCs w:val="22"/>
              </w:rPr>
              <w:t>.</w:t>
            </w:r>
            <w:r w:rsidR="00FE7FE4">
              <w:rPr>
                <w:sz w:val="22"/>
                <w:szCs w:val="22"/>
              </w:rPr>
              <w:t xml:space="preserve"> </w:t>
            </w:r>
          </w:p>
          <w:p w14:paraId="03D54DFB" w14:textId="1AF348EE" w:rsidR="00FE7FE4" w:rsidRDefault="00EC6B9E" w:rsidP="003D4D02">
            <w:pPr>
              <w:pStyle w:val="Tabletext"/>
              <w:spacing w:before="60" w:after="60" w:line="240" w:lineRule="auto"/>
              <w:rPr>
                <w:sz w:val="22"/>
                <w:szCs w:val="22"/>
              </w:rPr>
            </w:pPr>
            <w:r>
              <w:rPr>
                <w:sz w:val="22"/>
                <w:szCs w:val="22"/>
              </w:rPr>
              <w:t xml:space="preserve">Records may </w:t>
            </w:r>
            <w:r w:rsidR="00FE7FE4">
              <w:rPr>
                <w:sz w:val="22"/>
                <w:szCs w:val="22"/>
              </w:rPr>
              <w:t>includ</w:t>
            </w:r>
            <w:r>
              <w:rPr>
                <w:sz w:val="22"/>
                <w:szCs w:val="22"/>
              </w:rPr>
              <w:t>e,</w:t>
            </w:r>
            <w:r w:rsidR="00FE7FE4">
              <w:rPr>
                <w:sz w:val="22"/>
                <w:szCs w:val="22"/>
              </w:rPr>
              <w:t xml:space="preserve"> but </w:t>
            </w:r>
            <w:r>
              <w:rPr>
                <w:sz w:val="22"/>
                <w:szCs w:val="22"/>
              </w:rPr>
              <w:t xml:space="preserve">are </w:t>
            </w:r>
            <w:r w:rsidR="00FE7FE4">
              <w:rPr>
                <w:sz w:val="22"/>
                <w:szCs w:val="22"/>
              </w:rPr>
              <w:t>not limited to:</w:t>
            </w:r>
          </w:p>
          <w:p w14:paraId="291D5008" w14:textId="77777777" w:rsidR="00FE7FE4" w:rsidRDefault="00FE7FE4" w:rsidP="005E240A">
            <w:pPr>
              <w:pStyle w:val="Tabletext"/>
              <w:numPr>
                <w:ilvl w:val="0"/>
                <w:numId w:val="9"/>
              </w:numPr>
              <w:spacing w:before="60" w:after="60" w:line="240" w:lineRule="auto"/>
              <w:rPr>
                <w:sz w:val="22"/>
                <w:szCs w:val="22"/>
              </w:rPr>
            </w:pPr>
            <w:r w:rsidRPr="00B0361C">
              <w:rPr>
                <w:sz w:val="22"/>
                <w:szCs w:val="22"/>
              </w:rPr>
              <w:t>offence notice</w:t>
            </w:r>
            <w:r>
              <w:rPr>
                <w:sz w:val="22"/>
                <w:szCs w:val="22"/>
              </w:rPr>
              <w:t xml:space="preserve"> documents and related correspondence</w:t>
            </w:r>
          </w:p>
          <w:p w14:paraId="6493FF12" w14:textId="77777777" w:rsidR="00FE7FE4" w:rsidRDefault="00FE7FE4" w:rsidP="005E240A">
            <w:pPr>
              <w:pStyle w:val="Tabletext"/>
              <w:numPr>
                <w:ilvl w:val="0"/>
                <w:numId w:val="9"/>
              </w:numPr>
              <w:spacing w:before="60" w:after="60" w:line="240" w:lineRule="auto"/>
              <w:rPr>
                <w:sz w:val="22"/>
                <w:szCs w:val="22"/>
              </w:rPr>
            </w:pPr>
            <w:r>
              <w:rPr>
                <w:sz w:val="22"/>
                <w:szCs w:val="22"/>
              </w:rPr>
              <w:t>payment advice from OFT finance</w:t>
            </w:r>
          </w:p>
          <w:p w14:paraId="1CAD5046" w14:textId="77777777" w:rsidR="00FE7FE4" w:rsidRDefault="00FE7FE4" w:rsidP="005E240A">
            <w:pPr>
              <w:pStyle w:val="Tabletext"/>
              <w:numPr>
                <w:ilvl w:val="0"/>
                <w:numId w:val="9"/>
              </w:numPr>
              <w:spacing w:before="60" w:after="60" w:line="240" w:lineRule="auto"/>
              <w:rPr>
                <w:sz w:val="22"/>
                <w:szCs w:val="22"/>
              </w:rPr>
            </w:pPr>
            <w:r>
              <w:rPr>
                <w:sz w:val="22"/>
                <w:szCs w:val="22"/>
              </w:rPr>
              <w:t>cancellation or withdrawal documentation</w:t>
            </w:r>
          </w:p>
          <w:p w14:paraId="3FED5523" w14:textId="77777777" w:rsidR="00FE7FE4" w:rsidRDefault="00FE7FE4" w:rsidP="005E240A">
            <w:pPr>
              <w:pStyle w:val="Tabletext"/>
              <w:numPr>
                <w:ilvl w:val="0"/>
                <w:numId w:val="9"/>
              </w:numPr>
              <w:spacing w:before="60" w:after="60" w:line="240" w:lineRule="auto"/>
              <w:rPr>
                <w:sz w:val="22"/>
                <w:szCs w:val="22"/>
              </w:rPr>
            </w:pPr>
            <w:r w:rsidRPr="00B0361C">
              <w:rPr>
                <w:sz w:val="22"/>
                <w:szCs w:val="22"/>
              </w:rPr>
              <w:t>referral notices to State Penalty and Enforcement Register</w:t>
            </w:r>
            <w:r>
              <w:rPr>
                <w:sz w:val="22"/>
                <w:szCs w:val="22"/>
              </w:rPr>
              <w:t xml:space="preserve"> (SPER)</w:t>
            </w:r>
          </w:p>
          <w:p w14:paraId="0EE7F30A" w14:textId="77777777" w:rsidR="00FE7FE4" w:rsidRDefault="00FE7FE4" w:rsidP="005E240A">
            <w:pPr>
              <w:pStyle w:val="Tabletext"/>
              <w:numPr>
                <w:ilvl w:val="0"/>
                <w:numId w:val="9"/>
              </w:numPr>
              <w:spacing w:before="60" w:after="60" w:line="240" w:lineRule="auto"/>
              <w:rPr>
                <w:sz w:val="22"/>
                <w:szCs w:val="22"/>
              </w:rPr>
            </w:pPr>
            <w:r>
              <w:rPr>
                <w:sz w:val="22"/>
                <w:szCs w:val="22"/>
              </w:rPr>
              <w:t>SPER enforcement reports</w:t>
            </w:r>
          </w:p>
          <w:p w14:paraId="73637982" w14:textId="77777777" w:rsidR="00FE7FE4" w:rsidRPr="001605C2" w:rsidRDefault="00FE7FE4" w:rsidP="005E240A">
            <w:pPr>
              <w:pStyle w:val="Tabletext"/>
              <w:numPr>
                <w:ilvl w:val="0"/>
                <w:numId w:val="9"/>
              </w:numPr>
              <w:spacing w:before="60" w:after="60" w:line="240" w:lineRule="auto"/>
              <w:rPr>
                <w:sz w:val="22"/>
                <w:szCs w:val="22"/>
              </w:rPr>
            </w:pPr>
            <w:r w:rsidRPr="00927CB3">
              <w:rPr>
                <w:sz w:val="22"/>
                <w:szCs w:val="22"/>
              </w:rPr>
              <w:t>QPS and OLGR documented advice</w:t>
            </w:r>
          </w:p>
        </w:tc>
        <w:tc>
          <w:tcPr>
            <w:tcW w:w="1039" w:type="pct"/>
            <w:shd w:val="clear" w:color="auto" w:fill="auto"/>
          </w:tcPr>
          <w:p w14:paraId="4A3956E1" w14:textId="0D9607E3" w:rsidR="00FE7FE4" w:rsidRDefault="00FE7FE4" w:rsidP="003D4D02">
            <w:pPr>
              <w:pStyle w:val="Tabletext"/>
              <w:spacing w:before="60" w:after="60" w:line="240" w:lineRule="auto"/>
              <w:rPr>
                <w:sz w:val="22"/>
                <w:szCs w:val="22"/>
              </w:rPr>
            </w:pPr>
            <w:r w:rsidRPr="00D540E3">
              <w:rPr>
                <w:sz w:val="22"/>
                <w:szCs w:val="22"/>
              </w:rPr>
              <w:t>7 years from date penalty issued</w:t>
            </w:r>
            <w:r w:rsidR="0008637A">
              <w:rPr>
                <w:sz w:val="22"/>
                <w:szCs w:val="22"/>
              </w:rPr>
              <w:t>.</w:t>
            </w:r>
          </w:p>
        </w:tc>
      </w:tr>
      <w:tr w:rsidR="002C0D5F" w:rsidRPr="003147E4" w14:paraId="38E8627C" w14:textId="77777777" w:rsidTr="002C0D5F">
        <w:tblPrEx>
          <w:tblCellMar>
            <w:top w:w="57" w:type="dxa"/>
            <w:left w:w="119" w:type="dxa"/>
            <w:right w:w="119" w:type="dxa"/>
          </w:tblCellMar>
        </w:tblPrEx>
        <w:tc>
          <w:tcPr>
            <w:tcW w:w="5000" w:type="pct"/>
            <w:gridSpan w:val="3"/>
            <w:shd w:val="clear" w:color="auto" w:fill="auto"/>
          </w:tcPr>
          <w:p w14:paraId="293BBC45" w14:textId="77777777" w:rsidR="002C0D5F" w:rsidRDefault="002C0D5F" w:rsidP="002D74F0">
            <w:pPr>
              <w:pStyle w:val="Tabletext"/>
              <w:spacing w:before="60" w:after="60" w:line="240" w:lineRule="auto"/>
              <w:rPr>
                <w:b/>
                <w:sz w:val="22"/>
                <w:szCs w:val="22"/>
              </w:rPr>
            </w:pPr>
            <w:r>
              <w:rPr>
                <w:b/>
                <w:sz w:val="22"/>
                <w:szCs w:val="22"/>
              </w:rPr>
              <w:t>TRUST ACCOUNTS</w:t>
            </w:r>
          </w:p>
          <w:p w14:paraId="73B25C62" w14:textId="77777777" w:rsidR="002C0D5F" w:rsidRDefault="002C0D5F" w:rsidP="00E04773">
            <w:pPr>
              <w:pStyle w:val="Tabletext"/>
              <w:spacing w:before="60" w:after="60" w:line="240" w:lineRule="auto"/>
              <w:rPr>
                <w:i/>
                <w:sz w:val="22"/>
                <w:szCs w:val="22"/>
              </w:rPr>
            </w:pPr>
            <w:r>
              <w:rPr>
                <w:i/>
                <w:sz w:val="22"/>
                <w:szCs w:val="22"/>
              </w:rPr>
              <w:t xml:space="preserve">The activity of opening, closing and auditing of trust accounts required by licensed operators under legislation administered by OFT. Includes the activities of appointing and invoicing receivers as needed and maintaining a public register of registered trust accounts. </w:t>
            </w:r>
          </w:p>
          <w:p w14:paraId="1C8F1A15" w14:textId="08A123E7" w:rsidR="002C0D5F" w:rsidRPr="00282A68" w:rsidRDefault="00B76226" w:rsidP="003D642E">
            <w:pPr>
              <w:pStyle w:val="Tabletext"/>
              <w:spacing w:before="60" w:after="60" w:line="240" w:lineRule="auto"/>
              <w:rPr>
                <w:i/>
                <w:sz w:val="22"/>
                <w:szCs w:val="22"/>
              </w:rPr>
            </w:pPr>
            <w:r>
              <w:rPr>
                <w:i/>
                <w:sz w:val="22"/>
                <w:szCs w:val="22"/>
              </w:rPr>
              <w:lastRenderedPageBreak/>
              <w:t xml:space="preserve">See the General Retention and Disposal Schedule for records relating to </w:t>
            </w:r>
            <w:r w:rsidR="002C0D5F" w:rsidRPr="00687CD6">
              <w:rPr>
                <w:i/>
                <w:sz w:val="22"/>
                <w:szCs w:val="22"/>
              </w:rPr>
              <w:t xml:space="preserve">negotiating agreements between individual banking institutions and the Office of State Revenue (OSR) </w:t>
            </w:r>
            <w:r w:rsidR="002C0D5F">
              <w:rPr>
                <w:i/>
                <w:sz w:val="22"/>
                <w:szCs w:val="22"/>
              </w:rPr>
              <w:t xml:space="preserve">for recovery of agreed amount of interest earned from trust accounts (consolidated revenue) </w:t>
            </w:r>
            <w:r w:rsidR="00805CB5">
              <w:rPr>
                <w:i/>
                <w:sz w:val="22"/>
                <w:szCs w:val="22"/>
              </w:rPr>
              <w:t>(</w:t>
            </w:r>
            <w:hyperlink r:id="rId17" w:history="1">
              <w:r w:rsidR="00805CB5" w:rsidRPr="00504037">
                <w:rPr>
                  <w:rStyle w:val="Hyperlink"/>
                  <w:i/>
                  <w:sz w:val="22"/>
                  <w:szCs w:val="22"/>
                </w:rPr>
                <w:t>10</w:t>
              </w:r>
              <w:r w:rsidR="003D642E" w:rsidRPr="00504037">
                <w:rPr>
                  <w:rStyle w:val="Hyperlink"/>
                  <w:i/>
                  <w:sz w:val="22"/>
                  <w:szCs w:val="22"/>
                </w:rPr>
                <w:t>27</w:t>
              </w:r>
            </w:hyperlink>
            <w:r w:rsidR="00805CB5">
              <w:rPr>
                <w:i/>
                <w:sz w:val="22"/>
                <w:szCs w:val="22"/>
              </w:rPr>
              <w:t>)</w:t>
            </w:r>
            <w:r w:rsidR="00687CD6">
              <w:rPr>
                <w:i/>
                <w:sz w:val="22"/>
                <w:szCs w:val="22"/>
              </w:rPr>
              <w:t>.</w:t>
            </w:r>
          </w:p>
        </w:tc>
      </w:tr>
      <w:tr w:rsidR="00FE7FE4" w:rsidRPr="003147E4" w14:paraId="6AB81E0D" w14:textId="77777777" w:rsidTr="00FE7FE4">
        <w:tblPrEx>
          <w:tblCellMar>
            <w:top w:w="57" w:type="dxa"/>
            <w:left w:w="119" w:type="dxa"/>
            <w:right w:w="119" w:type="dxa"/>
          </w:tblCellMar>
        </w:tblPrEx>
        <w:tc>
          <w:tcPr>
            <w:tcW w:w="496" w:type="pct"/>
            <w:shd w:val="clear" w:color="auto" w:fill="auto"/>
          </w:tcPr>
          <w:p w14:paraId="4616F421" w14:textId="290BE318" w:rsidR="009907B6" w:rsidRDefault="00741D6C" w:rsidP="00391CA2">
            <w:pPr>
              <w:pStyle w:val="Tabletext"/>
              <w:spacing w:before="60" w:after="60" w:line="240" w:lineRule="auto"/>
              <w:rPr>
                <w:sz w:val="22"/>
                <w:szCs w:val="22"/>
              </w:rPr>
            </w:pPr>
            <w:r>
              <w:rPr>
                <w:sz w:val="22"/>
                <w:szCs w:val="22"/>
              </w:rPr>
              <w:lastRenderedPageBreak/>
              <w:t>1677</w:t>
            </w:r>
          </w:p>
        </w:tc>
        <w:tc>
          <w:tcPr>
            <w:tcW w:w="3465" w:type="pct"/>
            <w:shd w:val="clear" w:color="auto" w:fill="auto"/>
          </w:tcPr>
          <w:p w14:paraId="79A081F5" w14:textId="6C091847" w:rsidR="00FE7FE4" w:rsidRDefault="00FE7FE4" w:rsidP="002D74F0">
            <w:pPr>
              <w:pStyle w:val="Tabletext"/>
              <w:spacing w:before="60" w:after="60" w:line="240" w:lineRule="auto"/>
              <w:rPr>
                <w:b/>
                <w:i/>
                <w:sz w:val="22"/>
                <w:szCs w:val="22"/>
              </w:rPr>
            </w:pPr>
            <w:r w:rsidRPr="00D308CC">
              <w:rPr>
                <w:b/>
                <w:i/>
                <w:sz w:val="22"/>
                <w:szCs w:val="22"/>
              </w:rPr>
              <w:t xml:space="preserve">Trust </w:t>
            </w:r>
            <w:r w:rsidR="00797DCA">
              <w:rPr>
                <w:b/>
                <w:i/>
                <w:sz w:val="22"/>
                <w:szCs w:val="22"/>
              </w:rPr>
              <w:t>account m</w:t>
            </w:r>
            <w:r>
              <w:rPr>
                <w:b/>
                <w:i/>
                <w:sz w:val="22"/>
                <w:szCs w:val="22"/>
              </w:rPr>
              <w:t>aintenance</w:t>
            </w:r>
          </w:p>
          <w:p w14:paraId="1A467B43" w14:textId="3E4E08F7" w:rsidR="00556529" w:rsidRDefault="00556529" w:rsidP="002D74F0">
            <w:pPr>
              <w:pStyle w:val="Tabletext"/>
              <w:spacing w:before="60" w:after="60" w:line="240" w:lineRule="auto"/>
              <w:rPr>
                <w:sz w:val="22"/>
                <w:szCs w:val="22"/>
              </w:rPr>
            </w:pPr>
            <w:r>
              <w:rPr>
                <w:sz w:val="22"/>
                <w:szCs w:val="22"/>
              </w:rPr>
              <w:t>Records relating to the opening, closing and auditing of trust accounts required by licensed operators under legislation administered by the agency.</w:t>
            </w:r>
          </w:p>
          <w:p w14:paraId="1DA68A65" w14:textId="682304B6" w:rsidR="00FE7FE4" w:rsidRDefault="00FE7FE4" w:rsidP="002D74F0">
            <w:pPr>
              <w:pStyle w:val="Tabletext"/>
              <w:spacing w:before="60" w:after="60" w:line="240" w:lineRule="auto"/>
              <w:rPr>
                <w:sz w:val="22"/>
                <w:szCs w:val="22"/>
              </w:rPr>
            </w:pPr>
            <w:r>
              <w:rPr>
                <w:sz w:val="22"/>
                <w:szCs w:val="22"/>
              </w:rPr>
              <w:t xml:space="preserve">Records </w:t>
            </w:r>
            <w:r w:rsidR="00556529">
              <w:rPr>
                <w:sz w:val="22"/>
                <w:szCs w:val="22"/>
              </w:rPr>
              <w:t xml:space="preserve">may include, but not limited </w:t>
            </w:r>
            <w:r>
              <w:rPr>
                <w:sz w:val="22"/>
                <w:szCs w:val="22"/>
              </w:rPr>
              <w:t>to:</w:t>
            </w:r>
          </w:p>
          <w:p w14:paraId="1917F7DF" w14:textId="77777777" w:rsidR="00FE7FE4" w:rsidRDefault="00FE7FE4" w:rsidP="005E240A">
            <w:pPr>
              <w:pStyle w:val="Tabletext"/>
              <w:numPr>
                <w:ilvl w:val="0"/>
                <w:numId w:val="8"/>
              </w:numPr>
              <w:spacing w:before="60" w:after="60" w:line="240" w:lineRule="auto"/>
              <w:rPr>
                <w:sz w:val="22"/>
                <w:szCs w:val="22"/>
              </w:rPr>
            </w:pPr>
            <w:r>
              <w:rPr>
                <w:sz w:val="22"/>
                <w:szCs w:val="22"/>
              </w:rPr>
              <w:t>opening and closing of trust accounts</w:t>
            </w:r>
          </w:p>
          <w:p w14:paraId="478CDBCF" w14:textId="77777777" w:rsidR="00FE7FE4" w:rsidRDefault="00FE7FE4" w:rsidP="005E240A">
            <w:pPr>
              <w:pStyle w:val="Tabletext"/>
              <w:numPr>
                <w:ilvl w:val="0"/>
                <w:numId w:val="8"/>
              </w:numPr>
              <w:spacing w:before="60" w:after="60" w:line="240" w:lineRule="auto"/>
              <w:rPr>
                <w:sz w:val="22"/>
                <w:szCs w:val="22"/>
              </w:rPr>
            </w:pPr>
            <w:r>
              <w:rPr>
                <w:sz w:val="22"/>
                <w:szCs w:val="22"/>
              </w:rPr>
              <w:t>reporting or surveying of trust accounts</w:t>
            </w:r>
          </w:p>
          <w:p w14:paraId="01D97E14" w14:textId="77777777" w:rsidR="00FE7FE4" w:rsidRDefault="00FE7FE4" w:rsidP="005E240A">
            <w:pPr>
              <w:pStyle w:val="Tabletext"/>
              <w:numPr>
                <w:ilvl w:val="0"/>
                <w:numId w:val="8"/>
              </w:numPr>
              <w:spacing w:before="60" w:after="60" w:line="240" w:lineRule="auto"/>
              <w:rPr>
                <w:sz w:val="22"/>
                <w:szCs w:val="22"/>
              </w:rPr>
            </w:pPr>
            <w:r>
              <w:rPr>
                <w:sz w:val="22"/>
                <w:szCs w:val="22"/>
              </w:rPr>
              <w:t>reconciliation of trust account bank reports including exception reports</w:t>
            </w:r>
          </w:p>
          <w:p w14:paraId="0FC66BA2" w14:textId="77777777" w:rsidR="00FE7FE4" w:rsidRDefault="00FE7FE4" w:rsidP="005E240A">
            <w:pPr>
              <w:pStyle w:val="Tabletext"/>
              <w:numPr>
                <w:ilvl w:val="0"/>
                <w:numId w:val="8"/>
              </w:numPr>
              <w:spacing w:before="60" w:after="60" w:line="240" w:lineRule="auto"/>
              <w:rPr>
                <w:sz w:val="22"/>
                <w:szCs w:val="22"/>
              </w:rPr>
            </w:pPr>
            <w:r>
              <w:rPr>
                <w:sz w:val="22"/>
                <w:szCs w:val="22"/>
              </w:rPr>
              <w:t>audit reports on trust accounts</w:t>
            </w:r>
          </w:p>
          <w:p w14:paraId="4A1BD954" w14:textId="77777777" w:rsidR="00FE7FE4" w:rsidRDefault="00FE7FE4" w:rsidP="005E240A">
            <w:pPr>
              <w:pStyle w:val="Tabletext"/>
              <w:numPr>
                <w:ilvl w:val="0"/>
                <w:numId w:val="8"/>
              </w:numPr>
              <w:spacing w:before="60" w:after="60" w:line="240" w:lineRule="auto"/>
              <w:rPr>
                <w:sz w:val="22"/>
                <w:szCs w:val="22"/>
              </w:rPr>
            </w:pPr>
            <w:r>
              <w:rPr>
                <w:sz w:val="22"/>
                <w:szCs w:val="22"/>
              </w:rPr>
              <w:t>appointment of Manager Trust Accounts as a special investigator</w:t>
            </w:r>
          </w:p>
          <w:p w14:paraId="296D5431" w14:textId="77777777" w:rsidR="00FE7FE4" w:rsidRDefault="00FE7FE4" w:rsidP="005E240A">
            <w:pPr>
              <w:pStyle w:val="Heading30"/>
              <w:numPr>
                <w:ilvl w:val="0"/>
                <w:numId w:val="8"/>
              </w:numPr>
              <w:spacing w:before="60" w:after="60"/>
              <w:rPr>
                <w:b w:val="0"/>
              </w:rPr>
            </w:pPr>
            <w:r>
              <w:rPr>
                <w:b w:val="0"/>
              </w:rPr>
              <w:t>auditing and overseeing of trust accounts</w:t>
            </w:r>
          </w:p>
          <w:p w14:paraId="6243AC1F" w14:textId="77777777" w:rsidR="00FE7FE4" w:rsidRDefault="00FE7FE4" w:rsidP="005E240A">
            <w:pPr>
              <w:pStyle w:val="Heading30"/>
              <w:numPr>
                <w:ilvl w:val="0"/>
                <w:numId w:val="8"/>
              </w:numPr>
              <w:spacing w:before="60" w:after="60"/>
              <w:rPr>
                <w:b w:val="0"/>
              </w:rPr>
            </w:pPr>
            <w:r>
              <w:rPr>
                <w:b w:val="0"/>
              </w:rPr>
              <w:t>tracing funds</w:t>
            </w:r>
          </w:p>
          <w:p w14:paraId="592F16AC" w14:textId="77777777" w:rsidR="00FE7FE4" w:rsidRPr="00282A68" w:rsidRDefault="00FE7FE4" w:rsidP="005E240A">
            <w:pPr>
              <w:pStyle w:val="Tabletext"/>
              <w:numPr>
                <w:ilvl w:val="0"/>
                <w:numId w:val="8"/>
              </w:numPr>
              <w:spacing w:before="60" w:after="60" w:line="240" w:lineRule="auto"/>
              <w:rPr>
                <w:sz w:val="22"/>
                <w:szCs w:val="22"/>
              </w:rPr>
            </w:pPr>
            <w:r w:rsidRPr="00282A68">
              <w:rPr>
                <w:sz w:val="22"/>
                <w:szCs w:val="22"/>
              </w:rPr>
              <w:t>public register of trust accounts</w:t>
            </w:r>
          </w:p>
        </w:tc>
        <w:tc>
          <w:tcPr>
            <w:tcW w:w="1039" w:type="pct"/>
            <w:shd w:val="clear" w:color="auto" w:fill="auto"/>
          </w:tcPr>
          <w:p w14:paraId="7E85B686" w14:textId="4813E2AA" w:rsidR="00FE7FE4" w:rsidRPr="00407F62" w:rsidRDefault="00FE7FE4" w:rsidP="00391CA2">
            <w:pPr>
              <w:pStyle w:val="Tabletext"/>
              <w:spacing w:before="60" w:after="60" w:line="240" w:lineRule="auto"/>
              <w:rPr>
                <w:sz w:val="22"/>
                <w:szCs w:val="22"/>
                <w:highlight w:val="cyan"/>
              </w:rPr>
            </w:pPr>
            <w:r w:rsidRPr="003D4B55">
              <w:rPr>
                <w:sz w:val="22"/>
                <w:szCs w:val="22"/>
              </w:rPr>
              <w:t xml:space="preserve">7 years </w:t>
            </w:r>
            <w:r w:rsidR="003D642E">
              <w:rPr>
                <w:sz w:val="22"/>
                <w:szCs w:val="22"/>
              </w:rPr>
              <w:t>after the last financial year to which the record relates.</w:t>
            </w:r>
          </w:p>
        </w:tc>
      </w:tr>
    </w:tbl>
    <w:p w14:paraId="3465BDCD" w14:textId="77777777" w:rsidR="002C0D5F" w:rsidRDefault="002C0D5F" w:rsidP="00391CA2">
      <w:pPr>
        <w:rPr>
          <w:rStyle w:val="Heading2Char"/>
          <w:szCs w:val="36"/>
        </w:rPr>
      </w:pPr>
      <w:bookmarkStart w:id="11" w:name="_Toc336267893"/>
    </w:p>
    <w:p w14:paraId="3E2F3C96" w14:textId="0CBB265C" w:rsidR="007A7A6C" w:rsidRPr="004977CE" w:rsidRDefault="002C0D5F" w:rsidP="007A7A6C">
      <w:pPr>
        <w:pStyle w:val="Heading1"/>
        <w:spacing w:before="60" w:after="60" w:line="240" w:lineRule="auto"/>
      </w:pPr>
      <w:r>
        <w:rPr>
          <w:rStyle w:val="Heading2Char"/>
          <w:szCs w:val="36"/>
        </w:rPr>
        <w:br w:type="page"/>
      </w:r>
      <w:bookmarkStart w:id="12" w:name="_Toc478544524"/>
      <w:r w:rsidR="007A7A6C">
        <w:rPr>
          <w:rStyle w:val="Heading2Char"/>
          <w:szCs w:val="36"/>
        </w:rPr>
        <w:lastRenderedPageBreak/>
        <w:t>CONSUMER COMPENSATION</w:t>
      </w:r>
      <w:bookmarkEnd w:id="12"/>
    </w:p>
    <w:p w14:paraId="35341B89" w14:textId="77777777" w:rsidR="007A7A6C" w:rsidRDefault="007A7A6C" w:rsidP="002C0D5F">
      <w:pPr>
        <w:pStyle w:val="Tabletext"/>
        <w:spacing w:before="60" w:after="120" w:line="240" w:lineRule="auto"/>
        <w:rPr>
          <w:i/>
          <w:sz w:val="22"/>
          <w:szCs w:val="22"/>
        </w:rPr>
      </w:pPr>
      <w:r>
        <w:rPr>
          <w:i/>
          <w:sz w:val="22"/>
          <w:szCs w:val="22"/>
        </w:rPr>
        <w:t xml:space="preserve">The function of assessing and determining consumer compensation payment from the Claim Fund set up under the </w:t>
      </w:r>
      <w:r w:rsidRPr="00C13A71">
        <w:rPr>
          <w:i/>
          <w:sz w:val="22"/>
          <w:szCs w:val="22"/>
        </w:rPr>
        <w:t>Agents Financial Administration Act 2014</w:t>
      </w:r>
      <w:r>
        <w:rPr>
          <w:i/>
          <w:sz w:val="22"/>
          <w:szCs w:val="22"/>
        </w:rPr>
        <w:t xml:space="preserve"> to consumers who have suffered a financial loss due to a trader breaching</w:t>
      </w:r>
      <w:r w:rsidR="0099463B">
        <w:rPr>
          <w:i/>
          <w:sz w:val="22"/>
          <w:szCs w:val="22"/>
        </w:rPr>
        <w:t xml:space="preserve"> specific sections of particular</w:t>
      </w:r>
      <w:r>
        <w:rPr>
          <w:i/>
          <w:sz w:val="22"/>
          <w:szCs w:val="22"/>
        </w:rPr>
        <w:t xml:space="preserve"> legislation administered by OFT. </w:t>
      </w:r>
    </w:p>
    <w:p w14:paraId="5278B0BD" w14:textId="77777777" w:rsidR="00391CA2" w:rsidRDefault="00391CA2" w:rsidP="002C0D5F">
      <w:pPr>
        <w:pStyle w:val="Tabletext"/>
        <w:spacing w:before="60" w:after="120" w:line="240" w:lineRule="auto"/>
        <w:rPr>
          <w:i/>
          <w:sz w:val="22"/>
          <w:szCs w:val="22"/>
        </w:rPr>
      </w:pPr>
    </w:p>
    <w:tbl>
      <w:tblPr>
        <w:tblW w:w="4996"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1540"/>
        <w:gridCol w:w="10513"/>
        <w:gridCol w:w="3340"/>
      </w:tblGrid>
      <w:tr w:rsidR="002C0D5F" w:rsidRPr="003147E4" w14:paraId="0DCF0F7B" w14:textId="77777777" w:rsidTr="002C0D5F">
        <w:tc>
          <w:tcPr>
            <w:tcW w:w="500" w:type="pct"/>
            <w:shd w:val="clear" w:color="auto" w:fill="auto"/>
          </w:tcPr>
          <w:p w14:paraId="2B1136D4" w14:textId="77777777" w:rsidR="002C0D5F" w:rsidRDefault="002C0D5F" w:rsidP="00E30613">
            <w:pPr>
              <w:pStyle w:val="Tabletext"/>
              <w:spacing w:before="60" w:after="60" w:line="240" w:lineRule="auto"/>
              <w:jc w:val="center"/>
              <w:rPr>
                <w:sz w:val="22"/>
                <w:szCs w:val="22"/>
              </w:rPr>
            </w:pPr>
            <w:r>
              <w:rPr>
                <w:b/>
              </w:rPr>
              <w:t>Disposal Authorisation</w:t>
            </w:r>
          </w:p>
        </w:tc>
        <w:tc>
          <w:tcPr>
            <w:tcW w:w="3415" w:type="pct"/>
            <w:shd w:val="clear" w:color="auto" w:fill="auto"/>
          </w:tcPr>
          <w:p w14:paraId="4E71379C" w14:textId="77777777" w:rsidR="002C0D5F" w:rsidRPr="002C0D5F" w:rsidRDefault="002C0D5F" w:rsidP="00E30613">
            <w:pPr>
              <w:pStyle w:val="Heading30"/>
              <w:spacing w:before="60" w:after="60"/>
              <w:jc w:val="center"/>
              <w:rPr>
                <w:sz w:val="20"/>
                <w:szCs w:val="20"/>
              </w:rPr>
            </w:pPr>
            <w:r w:rsidRPr="002C0D5F">
              <w:rPr>
                <w:sz w:val="20"/>
                <w:szCs w:val="20"/>
              </w:rPr>
              <w:t>Description of records</w:t>
            </w:r>
          </w:p>
        </w:tc>
        <w:tc>
          <w:tcPr>
            <w:tcW w:w="1085" w:type="pct"/>
            <w:shd w:val="clear" w:color="auto" w:fill="auto"/>
          </w:tcPr>
          <w:p w14:paraId="686F3848" w14:textId="77777777" w:rsidR="002C0D5F" w:rsidRPr="002C0D5F" w:rsidRDefault="002C0D5F" w:rsidP="00E30613">
            <w:pPr>
              <w:pStyle w:val="Tabletext"/>
              <w:spacing w:before="60" w:after="60" w:line="240" w:lineRule="auto"/>
              <w:jc w:val="center"/>
              <w:rPr>
                <w:b/>
              </w:rPr>
            </w:pPr>
            <w:r w:rsidRPr="002C0D5F">
              <w:rPr>
                <w:b/>
              </w:rPr>
              <w:t>Retention period &amp; trigger</w:t>
            </w:r>
          </w:p>
        </w:tc>
      </w:tr>
      <w:tr w:rsidR="002C0D5F" w:rsidRPr="003147E4" w14:paraId="506E5ED2" w14:textId="77777777" w:rsidTr="002C0D5F">
        <w:tc>
          <w:tcPr>
            <w:tcW w:w="5000" w:type="pct"/>
            <w:gridSpan w:val="3"/>
            <w:shd w:val="clear" w:color="auto" w:fill="auto"/>
          </w:tcPr>
          <w:p w14:paraId="5B9195AF" w14:textId="77777777" w:rsidR="002C0D5F" w:rsidRPr="00C948DB" w:rsidRDefault="002C0D5F" w:rsidP="00E30613">
            <w:pPr>
              <w:pStyle w:val="Tabletext"/>
              <w:spacing w:before="60" w:after="60" w:line="240" w:lineRule="auto"/>
              <w:rPr>
                <w:b/>
                <w:sz w:val="22"/>
                <w:szCs w:val="22"/>
              </w:rPr>
            </w:pPr>
            <w:r>
              <w:rPr>
                <w:b/>
                <w:sz w:val="22"/>
                <w:szCs w:val="22"/>
              </w:rPr>
              <w:t>CLAIMS AND RECOVERIES</w:t>
            </w:r>
          </w:p>
          <w:p w14:paraId="7B2836A8" w14:textId="77777777" w:rsidR="002C0D5F" w:rsidRDefault="002C0D5F" w:rsidP="00E30613">
            <w:pPr>
              <w:pStyle w:val="Tabletext"/>
              <w:spacing w:before="60" w:after="60" w:line="240" w:lineRule="auto"/>
              <w:rPr>
                <w:i/>
                <w:szCs w:val="22"/>
              </w:rPr>
            </w:pPr>
            <w:r>
              <w:rPr>
                <w:i/>
                <w:sz w:val="22"/>
                <w:szCs w:val="22"/>
              </w:rPr>
              <w:t xml:space="preserve">Activities include but are not limited to claim assessment, claim determination and </w:t>
            </w:r>
            <w:r w:rsidRPr="00A13465">
              <w:rPr>
                <w:i/>
                <w:sz w:val="22"/>
                <w:szCs w:val="22"/>
              </w:rPr>
              <w:t>recove</w:t>
            </w:r>
            <w:r>
              <w:rPr>
                <w:i/>
                <w:sz w:val="22"/>
                <w:szCs w:val="22"/>
              </w:rPr>
              <w:t>ry of</w:t>
            </w:r>
            <w:r w:rsidRPr="00A13465">
              <w:rPr>
                <w:i/>
                <w:sz w:val="22"/>
                <w:szCs w:val="22"/>
              </w:rPr>
              <w:t xml:space="preserve"> monies from liable entities</w:t>
            </w:r>
            <w:r>
              <w:rPr>
                <w:i/>
                <w:sz w:val="22"/>
                <w:szCs w:val="22"/>
              </w:rPr>
              <w:t>.</w:t>
            </w:r>
            <w:r w:rsidRPr="004B38F7">
              <w:rPr>
                <w:i/>
                <w:sz w:val="22"/>
                <w:szCs w:val="22"/>
              </w:rPr>
              <w:t xml:space="preserve"> This schedule does not include records relating to consumer claims created and held by the Queensland Civil and Administrative Tribunal.</w:t>
            </w:r>
            <w:r w:rsidRPr="00C948DB">
              <w:rPr>
                <w:i/>
                <w:szCs w:val="22"/>
              </w:rPr>
              <w:t xml:space="preserve"> </w:t>
            </w:r>
          </w:p>
          <w:p w14:paraId="50C5D44D" w14:textId="4054B014" w:rsidR="002C0D5F" w:rsidRDefault="00084313" w:rsidP="00084313">
            <w:pPr>
              <w:pStyle w:val="Tabletext"/>
              <w:spacing w:before="60" w:after="60" w:line="240" w:lineRule="auto"/>
              <w:rPr>
                <w:sz w:val="22"/>
                <w:szCs w:val="22"/>
              </w:rPr>
            </w:pPr>
            <w:r>
              <w:rPr>
                <w:i/>
                <w:sz w:val="22"/>
                <w:szCs w:val="22"/>
              </w:rPr>
              <w:t xml:space="preserve">See the General Retention and Disposal Schedule for records relating to </w:t>
            </w:r>
            <w:r w:rsidR="00F66784">
              <w:rPr>
                <w:i/>
                <w:sz w:val="22"/>
                <w:szCs w:val="22"/>
              </w:rPr>
              <w:t>claims (</w:t>
            </w:r>
            <w:hyperlink r:id="rId18" w:history="1">
              <w:r w:rsidR="00F66784" w:rsidRPr="006C3261">
                <w:rPr>
                  <w:rStyle w:val="Hyperlink"/>
                  <w:i/>
                  <w:sz w:val="22"/>
                  <w:szCs w:val="22"/>
                </w:rPr>
                <w:t>1159</w:t>
              </w:r>
            </w:hyperlink>
            <w:r w:rsidR="00F66784">
              <w:rPr>
                <w:i/>
                <w:sz w:val="22"/>
                <w:szCs w:val="22"/>
              </w:rPr>
              <w:t>).</w:t>
            </w:r>
          </w:p>
        </w:tc>
      </w:tr>
      <w:tr w:rsidR="002C0D5F" w:rsidRPr="003147E4" w14:paraId="3C695B3D" w14:textId="77777777" w:rsidTr="002C0D5F">
        <w:tc>
          <w:tcPr>
            <w:tcW w:w="500" w:type="pct"/>
            <w:shd w:val="clear" w:color="auto" w:fill="auto"/>
          </w:tcPr>
          <w:p w14:paraId="353877C1" w14:textId="7B211F7E" w:rsidR="009907B6" w:rsidRDefault="00741D6C" w:rsidP="00391CA2">
            <w:pPr>
              <w:pStyle w:val="Tabletext"/>
              <w:spacing w:before="60" w:after="60" w:line="240" w:lineRule="auto"/>
              <w:rPr>
                <w:sz w:val="22"/>
                <w:szCs w:val="22"/>
              </w:rPr>
            </w:pPr>
            <w:r>
              <w:rPr>
                <w:sz w:val="22"/>
                <w:szCs w:val="22"/>
              </w:rPr>
              <w:t>1678</w:t>
            </w:r>
          </w:p>
        </w:tc>
        <w:tc>
          <w:tcPr>
            <w:tcW w:w="3415" w:type="pct"/>
            <w:shd w:val="clear" w:color="auto" w:fill="auto"/>
          </w:tcPr>
          <w:p w14:paraId="5256FC4E" w14:textId="77777777" w:rsidR="002C0D5F" w:rsidRPr="001513D9" w:rsidRDefault="002C0D5F" w:rsidP="00E30613">
            <w:pPr>
              <w:pStyle w:val="Heading30"/>
              <w:spacing w:before="60" w:after="60"/>
              <w:rPr>
                <w:i/>
              </w:rPr>
            </w:pPr>
            <w:r>
              <w:rPr>
                <w:i/>
              </w:rPr>
              <w:t>Claim determination and r</w:t>
            </w:r>
            <w:r w:rsidRPr="001513D9">
              <w:rPr>
                <w:i/>
              </w:rPr>
              <w:t>ecover</w:t>
            </w:r>
            <w:r>
              <w:rPr>
                <w:i/>
              </w:rPr>
              <w:t>y processes</w:t>
            </w:r>
          </w:p>
          <w:p w14:paraId="5F0F0D05" w14:textId="3EFC890C" w:rsidR="00B76226" w:rsidRDefault="00657861" w:rsidP="00E30613">
            <w:pPr>
              <w:pStyle w:val="Heading30"/>
              <w:spacing w:before="60" w:after="60"/>
              <w:rPr>
                <w:b w:val="0"/>
              </w:rPr>
            </w:pPr>
            <w:r>
              <w:rPr>
                <w:b w:val="0"/>
              </w:rPr>
              <w:t>R</w:t>
            </w:r>
            <w:r w:rsidR="00B76226">
              <w:rPr>
                <w:b w:val="0"/>
              </w:rPr>
              <w:t xml:space="preserve">ecords </w:t>
            </w:r>
            <w:r w:rsidR="002C0D5F">
              <w:rPr>
                <w:b w:val="0"/>
              </w:rPr>
              <w:t xml:space="preserve">relating to claim applications made against the Claim Fund, </w:t>
            </w:r>
            <w:r w:rsidR="00B76226">
              <w:rPr>
                <w:b w:val="0"/>
              </w:rPr>
              <w:t xml:space="preserve">the agency’s </w:t>
            </w:r>
            <w:r w:rsidR="002C0D5F">
              <w:rPr>
                <w:b w:val="0"/>
              </w:rPr>
              <w:t xml:space="preserve">attempt to recover monies from liable traders and </w:t>
            </w:r>
            <w:r w:rsidR="00B76226">
              <w:rPr>
                <w:b w:val="0"/>
              </w:rPr>
              <w:t xml:space="preserve">the agency’s </w:t>
            </w:r>
            <w:r w:rsidR="002C0D5F">
              <w:rPr>
                <w:b w:val="0"/>
              </w:rPr>
              <w:t xml:space="preserve">decision to write off a claim. </w:t>
            </w:r>
          </w:p>
          <w:p w14:paraId="6E1A2A54" w14:textId="5F7360D1" w:rsidR="002C0D5F" w:rsidRDefault="002C0D5F" w:rsidP="00E30613">
            <w:pPr>
              <w:pStyle w:val="Heading30"/>
              <w:spacing w:before="60" w:after="60"/>
              <w:rPr>
                <w:b w:val="0"/>
              </w:rPr>
            </w:pPr>
            <w:r>
              <w:rPr>
                <w:b w:val="0"/>
              </w:rPr>
              <w:t>Records include but are not limited to:</w:t>
            </w:r>
          </w:p>
          <w:p w14:paraId="7CD6CB3A" w14:textId="77777777" w:rsidR="002C0D5F" w:rsidRDefault="002C0D5F" w:rsidP="005E240A">
            <w:pPr>
              <w:pStyle w:val="Heading30"/>
              <w:numPr>
                <w:ilvl w:val="0"/>
                <w:numId w:val="13"/>
              </w:numPr>
              <w:spacing w:before="60" w:after="60"/>
              <w:rPr>
                <w:b w:val="0"/>
              </w:rPr>
            </w:pPr>
            <w:r>
              <w:rPr>
                <w:b w:val="0"/>
              </w:rPr>
              <w:t>claim applications lodged</w:t>
            </w:r>
          </w:p>
          <w:p w14:paraId="573F73DE" w14:textId="77777777" w:rsidR="002C0D5F" w:rsidRDefault="002C0D5F" w:rsidP="005E240A">
            <w:pPr>
              <w:pStyle w:val="Heading30"/>
              <w:numPr>
                <w:ilvl w:val="0"/>
                <w:numId w:val="13"/>
              </w:numPr>
              <w:spacing w:before="60" w:after="60"/>
              <w:rPr>
                <w:b w:val="0"/>
              </w:rPr>
            </w:pPr>
            <w:r>
              <w:rPr>
                <w:b w:val="0"/>
              </w:rPr>
              <w:t>claim settlement</w:t>
            </w:r>
          </w:p>
          <w:p w14:paraId="384CF8F8" w14:textId="77777777" w:rsidR="002C0D5F" w:rsidRDefault="002C0D5F" w:rsidP="005E240A">
            <w:pPr>
              <w:pStyle w:val="Heading30"/>
              <w:numPr>
                <w:ilvl w:val="0"/>
                <w:numId w:val="13"/>
              </w:numPr>
              <w:spacing w:before="60" w:after="60"/>
              <w:rPr>
                <w:b w:val="0"/>
              </w:rPr>
            </w:pPr>
            <w:r>
              <w:rPr>
                <w:b w:val="0"/>
              </w:rPr>
              <w:t>claim withdrawal by the claimant</w:t>
            </w:r>
          </w:p>
          <w:p w14:paraId="7BF81C74" w14:textId="77777777" w:rsidR="002C0D5F" w:rsidRDefault="002C0D5F" w:rsidP="005E240A">
            <w:pPr>
              <w:pStyle w:val="Heading30"/>
              <w:numPr>
                <w:ilvl w:val="0"/>
                <w:numId w:val="13"/>
              </w:numPr>
              <w:spacing w:before="60" w:after="60"/>
              <w:rPr>
                <w:b w:val="0"/>
              </w:rPr>
            </w:pPr>
            <w:r>
              <w:rPr>
                <w:b w:val="0"/>
              </w:rPr>
              <w:t>claim rejection</w:t>
            </w:r>
          </w:p>
          <w:p w14:paraId="78689096" w14:textId="77777777" w:rsidR="002C0D5F" w:rsidRDefault="002C0D5F" w:rsidP="005E240A">
            <w:pPr>
              <w:pStyle w:val="Heading30"/>
              <w:numPr>
                <w:ilvl w:val="0"/>
                <w:numId w:val="13"/>
              </w:numPr>
              <w:spacing w:before="60" w:after="60"/>
              <w:rPr>
                <w:b w:val="0"/>
              </w:rPr>
            </w:pPr>
            <w:r>
              <w:rPr>
                <w:b w:val="0"/>
              </w:rPr>
              <w:t xml:space="preserve">records relating to a potential claim where </w:t>
            </w:r>
            <w:r w:rsidRPr="00461D6E">
              <w:rPr>
                <w:b w:val="0"/>
              </w:rPr>
              <w:t>no claim application</w:t>
            </w:r>
            <w:r w:rsidRPr="00107B7E">
              <w:t xml:space="preserve"> </w:t>
            </w:r>
            <w:r w:rsidRPr="00107B7E">
              <w:rPr>
                <w:b w:val="0"/>
              </w:rPr>
              <w:t>has been lodged</w:t>
            </w:r>
          </w:p>
          <w:p w14:paraId="5E7FD3D6" w14:textId="77777777" w:rsidR="002C0D5F" w:rsidRPr="00B75811" w:rsidRDefault="002C0D5F" w:rsidP="005E240A">
            <w:pPr>
              <w:pStyle w:val="Heading30"/>
              <w:numPr>
                <w:ilvl w:val="0"/>
                <w:numId w:val="13"/>
              </w:numPr>
              <w:spacing w:before="60" w:after="60"/>
              <w:rPr>
                <w:b w:val="0"/>
              </w:rPr>
            </w:pPr>
            <w:r w:rsidRPr="00A13465">
              <w:rPr>
                <w:b w:val="0"/>
              </w:rPr>
              <w:t xml:space="preserve">financial pay-out </w:t>
            </w:r>
            <w:r>
              <w:rPr>
                <w:b w:val="0"/>
              </w:rPr>
              <w:t>information</w:t>
            </w:r>
          </w:p>
          <w:p w14:paraId="68EE90A2" w14:textId="77777777" w:rsidR="002C0D5F" w:rsidRDefault="002C0D5F" w:rsidP="005E240A">
            <w:pPr>
              <w:pStyle w:val="Heading30"/>
              <w:numPr>
                <w:ilvl w:val="0"/>
                <w:numId w:val="14"/>
              </w:numPr>
              <w:spacing w:before="60" w:after="60"/>
              <w:rPr>
                <w:b w:val="0"/>
              </w:rPr>
            </w:pPr>
            <w:r w:rsidRPr="006F6BCC">
              <w:rPr>
                <w:b w:val="0"/>
              </w:rPr>
              <w:t>recovery of financial pay-outs from liable entities</w:t>
            </w:r>
          </w:p>
          <w:p w14:paraId="232F732A" w14:textId="77777777" w:rsidR="002C0D5F" w:rsidRPr="00C948DB" w:rsidRDefault="002C0D5F" w:rsidP="005E240A">
            <w:pPr>
              <w:pStyle w:val="Heading30"/>
              <w:numPr>
                <w:ilvl w:val="0"/>
                <w:numId w:val="14"/>
              </w:numPr>
              <w:spacing w:before="60" w:after="60"/>
              <w:rPr>
                <w:b w:val="0"/>
              </w:rPr>
            </w:pPr>
            <w:r w:rsidRPr="00C948DB">
              <w:rPr>
                <w:b w:val="0"/>
              </w:rPr>
              <w:t>requests to write off outstanding debts</w:t>
            </w:r>
          </w:p>
        </w:tc>
        <w:tc>
          <w:tcPr>
            <w:tcW w:w="1085" w:type="pct"/>
            <w:shd w:val="clear" w:color="auto" w:fill="auto"/>
          </w:tcPr>
          <w:p w14:paraId="6E61E3B4" w14:textId="3FB620A4" w:rsidR="002C0D5F" w:rsidRDefault="002C0D5F" w:rsidP="00E30613">
            <w:pPr>
              <w:pStyle w:val="Tabletext"/>
              <w:spacing w:before="60" w:after="60" w:line="240" w:lineRule="auto"/>
              <w:rPr>
                <w:sz w:val="22"/>
                <w:szCs w:val="22"/>
              </w:rPr>
            </w:pPr>
            <w:r w:rsidRPr="00202E21">
              <w:rPr>
                <w:sz w:val="22"/>
                <w:szCs w:val="22"/>
              </w:rPr>
              <w:t>7</w:t>
            </w:r>
            <w:r>
              <w:rPr>
                <w:sz w:val="22"/>
                <w:szCs w:val="22"/>
              </w:rPr>
              <w:t xml:space="preserve"> years from date of claim payment, recovery of debt or when debt is written off</w:t>
            </w:r>
            <w:r w:rsidR="00F66784">
              <w:rPr>
                <w:sz w:val="22"/>
                <w:szCs w:val="22"/>
              </w:rPr>
              <w:t>.</w:t>
            </w:r>
          </w:p>
        </w:tc>
      </w:tr>
    </w:tbl>
    <w:p w14:paraId="30DE0DE6" w14:textId="77777777" w:rsidR="002C0D5F" w:rsidRDefault="002C0D5F" w:rsidP="00391CA2">
      <w:pPr>
        <w:rPr>
          <w:rStyle w:val="Heading2Char"/>
          <w:szCs w:val="36"/>
        </w:rPr>
      </w:pPr>
    </w:p>
    <w:p w14:paraId="602688E7" w14:textId="100F3737" w:rsidR="001E12D2" w:rsidRPr="00E225B5" w:rsidRDefault="002C0D5F" w:rsidP="001E12D2">
      <w:pPr>
        <w:pStyle w:val="Heading1"/>
        <w:spacing w:before="60" w:after="60" w:line="240" w:lineRule="auto"/>
        <w:rPr>
          <w:rStyle w:val="Heading2Char"/>
          <w:szCs w:val="36"/>
        </w:rPr>
      </w:pPr>
      <w:r>
        <w:rPr>
          <w:rStyle w:val="Heading2Char"/>
          <w:szCs w:val="36"/>
        </w:rPr>
        <w:br w:type="page"/>
      </w:r>
      <w:bookmarkStart w:id="13" w:name="_Toc478544525"/>
      <w:bookmarkEnd w:id="11"/>
      <w:r w:rsidR="001E12D2">
        <w:rPr>
          <w:rStyle w:val="Heading2Char"/>
          <w:szCs w:val="36"/>
        </w:rPr>
        <w:lastRenderedPageBreak/>
        <w:t>INDUSTRY LICENSING</w:t>
      </w:r>
      <w:bookmarkEnd w:id="13"/>
    </w:p>
    <w:p w14:paraId="415EFCAE" w14:textId="77777777" w:rsidR="001E12D2" w:rsidRDefault="001E12D2" w:rsidP="002C0D5F">
      <w:pPr>
        <w:spacing w:before="60" w:after="120" w:line="240" w:lineRule="auto"/>
        <w:rPr>
          <w:i/>
        </w:rPr>
      </w:pPr>
      <w:r>
        <w:rPr>
          <w:i/>
        </w:rPr>
        <w:t>The function of considering licence applications to perform specific business activities subject to legislation administered by OFT.</w:t>
      </w:r>
    </w:p>
    <w:p w14:paraId="40C22700" w14:textId="77777777" w:rsidR="00391CA2" w:rsidRPr="00FE4F2E" w:rsidRDefault="00391CA2" w:rsidP="002C0D5F">
      <w:pPr>
        <w:spacing w:before="60" w:after="12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7"/>
        <w:gridCol w:w="10504"/>
        <w:gridCol w:w="3362"/>
      </w:tblGrid>
      <w:tr w:rsidR="002C0D5F" w:rsidRPr="004977CE" w14:paraId="3297A663" w14:textId="77777777" w:rsidTr="002C0D5F">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10753A" w14:textId="77777777" w:rsidR="002C0D5F" w:rsidRPr="003147E4" w:rsidRDefault="002C0D5F" w:rsidP="003D4D02">
            <w:pPr>
              <w:pStyle w:val="Tabletext"/>
              <w:spacing w:before="60" w:after="60" w:line="240" w:lineRule="auto"/>
              <w:jc w:val="center"/>
              <w:rPr>
                <w:b/>
              </w:rPr>
            </w:pPr>
            <w:r>
              <w:rPr>
                <w:b/>
              </w:rPr>
              <w:t>Disposal Authorisation</w:t>
            </w:r>
          </w:p>
        </w:tc>
        <w:tc>
          <w:tcPr>
            <w:tcW w:w="34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66E1FFE" w14:textId="77777777" w:rsidR="002C0D5F" w:rsidRPr="003147E4" w:rsidRDefault="002C0D5F" w:rsidP="003D4D02">
            <w:pPr>
              <w:pStyle w:val="Tabletext"/>
              <w:spacing w:before="60" w:after="60" w:line="240" w:lineRule="auto"/>
              <w:jc w:val="center"/>
              <w:rPr>
                <w:b/>
              </w:rPr>
            </w:pPr>
            <w:r w:rsidRPr="003147E4">
              <w:rPr>
                <w:b/>
              </w:rPr>
              <w:t>Description of records</w:t>
            </w:r>
          </w:p>
        </w:tc>
        <w:tc>
          <w:tcPr>
            <w:tcW w:w="109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CE18BC" w14:textId="77777777" w:rsidR="002C0D5F" w:rsidRPr="003147E4" w:rsidRDefault="002C0D5F" w:rsidP="003D4D02">
            <w:pPr>
              <w:pStyle w:val="Tabletext"/>
              <w:spacing w:before="60" w:after="60" w:line="240" w:lineRule="auto"/>
              <w:jc w:val="center"/>
              <w:rPr>
                <w:b/>
              </w:rPr>
            </w:pPr>
            <w:r>
              <w:rPr>
                <w:b/>
              </w:rPr>
              <w:t>Retention period &amp; trigger</w:t>
            </w:r>
          </w:p>
        </w:tc>
      </w:tr>
      <w:tr w:rsidR="002C0D5F" w:rsidRPr="003147E4" w14:paraId="2508FA02" w14:textId="77777777" w:rsidTr="002C0D5F">
        <w:tblPrEx>
          <w:tblCellMar>
            <w:top w:w="57" w:type="dxa"/>
            <w:left w:w="119" w:type="dxa"/>
            <w:right w:w="119" w:type="dxa"/>
          </w:tblCellMar>
        </w:tblPrEx>
        <w:tc>
          <w:tcPr>
            <w:tcW w:w="5000" w:type="pct"/>
            <w:gridSpan w:val="3"/>
            <w:tcBorders>
              <w:top w:val="single" w:sz="18" w:space="0" w:color="C0C0C0"/>
            </w:tcBorders>
            <w:shd w:val="clear" w:color="auto" w:fill="auto"/>
          </w:tcPr>
          <w:p w14:paraId="7ED6DF61" w14:textId="77777777" w:rsidR="002C0D5F" w:rsidRPr="00CB5D3E" w:rsidRDefault="002C0D5F" w:rsidP="003D4D02">
            <w:pPr>
              <w:pStyle w:val="Heading30"/>
              <w:spacing w:before="60" w:after="60"/>
            </w:pPr>
            <w:r>
              <w:t>ASSESSMENT</w:t>
            </w:r>
          </w:p>
          <w:p w14:paraId="14448E04" w14:textId="16525840" w:rsidR="002C0D5F" w:rsidRPr="00BE1841" w:rsidRDefault="002C0D5F" w:rsidP="009252F0">
            <w:pPr>
              <w:pStyle w:val="Tabletext"/>
              <w:spacing w:before="60" w:after="60" w:line="240" w:lineRule="auto"/>
              <w:rPr>
                <w:i/>
                <w:sz w:val="22"/>
                <w:szCs w:val="22"/>
              </w:rPr>
            </w:pPr>
            <w:r>
              <w:rPr>
                <w:i/>
                <w:sz w:val="22"/>
                <w:szCs w:val="22"/>
              </w:rPr>
              <w:t xml:space="preserve">The activity of assessing licence applications received by </w:t>
            </w:r>
            <w:r w:rsidR="009252F0">
              <w:rPr>
                <w:i/>
                <w:sz w:val="22"/>
                <w:szCs w:val="22"/>
              </w:rPr>
              <w:t xml:space="preserve">the agency </w:t>
            </w:r>
            <w:r>
              <w:rPr>
                <w:i/>
                <w:sz w:val="22"/>
                <w:szCs w:val="22"/>
              </w:rPr>
              <w:t xml:space="preserve">from individuals and corporations for specific business activities legislated by OFT. Licence applications include, but are not limited to, Motor Dealers, Real Estate Agents, Field Agents, Security Providers, Introduction Agents, Second Hand Dealer and Pawnbrokers, Tattoo Parlour and individual Tattoo licences and other relevant licences under previously repealed legislation. </w:t>
            </w:r>
          </w:p>
        </w:tc>
      </w:tr>
      <w:tr w:rsidR="002C0D5F" w:rsidRPr="003147E4" w14:paraId="77A4F1BF" w14:textId="77777777" w:rsidTr="002C0D5F">
        <w:tblPrEx>
          <w:tblCellMar>
            <w:top w:w="57" w:type="dxa"/>
            <w:left w:w="119" w:type="dxa"/>
            <w:right w:w="119" w:type="dxa"/>
          </w:tblCellMar>
        </w:tblPrEx>
        <w:tc>
          <w:tcPr>
            <w:tcW w:w="496" w:type="pct"/>
            <w:shd w:val="clear" w:color="auto" w:fill="auto"/>
          </w:tcPr>
          <w:p w14:paraId="646BEE4C" w14:textId="735EF926" w:rsidR="009907B6" w:rsidRPr="003147E4" w:rsidRDefault="00741D6C" w:rsidP="00391CA2">
            <w:pPr>
              <w:pStyle w:val="Tabletext"/>
              <w:spacing w:before="60" w:after="60" w:line="240" w:lineRule="auto"/>
              <w:rPr>
                <w:sz w:val="22"/>
                <w:szCs w:val="22"/>
              </w:rPr>
            </w:pPr>
            <w:r>
              <w:rPr>
                <w:sz w:val="22"/>
                <w:szCs w:val="22"/>
              </w:rPr>
              <w:t>1679</w:t>
            </w:r>
          </w:p>
        </w:tc>
        <w:tc>
          <w:tcPr>
            <w:tcW w:w="3412" w:type="pct"/>
            <w:shd w:val="clear" w:color="auto" w:fill="auto"/>
          </w:tcPr>
          <w:p w14:paraId="1BA1D611" w14:textId="77777777" w:rsidR="002C0D5F" w:rsidRPr="003147E4" w:rsidRDefault="002C0D5F" w:rsidP="003D4D02">
            <w:pPr>
              <w:pStyle w:val="Heading30"/>
              <w:spacing w:before="60" w:after="60"/>
              <w:rPr>
                <w:i/>
              </w:rPr>
            </w:pPr>
            <w:r>
              <w:rPr>
                <w:i/>
              </w:rPr>
              <w:t>Applications</w:t>
            </w:r>
          </w:p>
          <w:p w14:paraId="417B6298" w14:textId="7878C9F1" w:rsidR="00B76226" w:rsidRDefault="004B77B0" w:rsidP="003D4D02">
            <w:pPr>
              <w:pStyle w:val="Tabletext"/>
              <w:spacing w:before="60" w:after="60" w:line="240" w:lineRule="auto"/>
              <w:rPr>
                <w:sz w:val="22"/>
                <w:szCs w:val="22"/>
              </w:rPr>
            </w:pPr>
            <w:r>
              <w:rPr>
                <w:sz w:val="22"/>
                <w:szCs w:val="22"/>
              </w:rPr>
              <w:t>R</w:t>
            </w:r>
            <w:r w:rsidR="002C0D5F" w:rsidRPr="00B0361C">
              <w:rPr>
                <w:sz w:val="22"/>
                <w:szCs w:val="22"/>
              </w:rPr>
              <w:t xml:space="preserve">ecords </w:t>
            </w:r>
            <w:r>
              <w:rPr>
                <w:sz w:val="22"/>
                <w:szCs w:val="22"/>
              </w:rPr>
              <w:t xml:space="preserve">received by the agency that </w:t>
            </w:r>
            <w:r w:rsidR="002C0D5F" w:rsidRPr="00B0361C">
              <w:rPr>
                <w:sz w:val="22"/>
                <w:szCs w:val="22"/>
              </w:rPr>
              <w:t>relat</w:t>
            </w:r>
            <w:r>
              <w:rPr>
                <w:sz w:val="22"/>
                <w:szCs w:val="22"/>
              </w:rPr>
              <w:t xml:space="preserve">e </w:t>
            </w:r>
            <w:r w:rsidR="002C0D5F" w:rsidRPr="00B0361C">
              <w:rPr>
                <w:sz w:val="22"/>
                <w:szCs w:val="22"/>
              </w:rPr>
              <w:t xml:space="preserve">to </w:t>
            </w:r>
            <w:r>
              <w:rPr>
                <w:sz w:val="22"/>
                <w:szCs w:val="22"/>
              </w:rPr>
              <w:t xml:space="preserve">the processing </w:t>
            </w:r>
            <w:r w:rsidR="002C0D5F">
              <w:rPr>
                <w:sz w:val="22"/>
                <w:szCs w:val="22"/>
              </w:rPr>
              <w:t xml:space="preserve">of licence applications and renewals. </w:t>
            </w:r>
          </w:p>
          <w:p w14:paraId="2A9E18B4" w14:textId="701057B4" w:rsidR="002C0D5F" w:rsidRDefault="00B76226" w:rsidP="003D4D02">
            <w:pPr>
              <w:pStyle w:val="Tabletext"/>
              <w:spacing w:before="60" w:after="60" w:line="240" w:lineRule="auto"/>
              <w:rPr>
                <w:sz w:val="22"/>
                <w:szCs w:val="22"/>
              </w:rPr>
            </w:pPr>
            <w:r>
              <w:rPr>
                <w:sz w:val="22"/>
                <w:szCs w:val="22"/>
              </w:rPr>
              <w:t xml:space="preserve">Records may </w:t>
            </w:r>
            <w:r w:rsidR="002C0D5F">
              <w:rPr>
                <w:sz w:val="22"/>
                <w:szCs w:val="22"/>
              </w:rPr>
              <w:t>include but are not limited to:</w:t>
            </w:r>
            <w:r w:rsidR="002C0D5F" w:rsidRPr="00D846F4">
              <w:rPr>
                <w:sz w:val="22"/>
                <w:szCs w:val="22"/>
              </w:rPr>
              <w:t xml:space="preserve"> </w:t>
            </w:r>
          </w:p>
          <w:p w14:paraId="0E2672A8" w14:textId="77777777" w:rsidR="002C0D5F" w:rsidRDefault="002C0D5F" w:rsidP="005E240A">
            <w:pPr>
              <w:pStyle w:val="Tabletext"/>
              <w:numPr>
                <w:ilvl w:val="0"/>
                <w:numId w:val="7"/>
              </w:numPr>
              <w:spacing w:before="60" w:after="60" w:line="240" w:lineRule="auto"/>
              <w:rPr>
                <w:sz w:val="22"/>
                <w:szCs w:val="22"/>
              </w:rPr>
            </w:pPr>
            <w:r>
              <w:rPr>
                <w:sz w:val="22"/>
                <w:szCs w:val="22"/>
              </w:rPr>
              <w:t>applications</w:t>
            </w:r>
          </w:p>
          <w:p w14:paraId="74095285" w14:textId="77777777" w:rsidR="002C0D5F" w:rsidRDefault="002C0D5F" w:rsidP="005E240A">
            <w:pPr>
              <w:pStyle w:val="Tabletext"/>
              <w:numPr>
                <w:ilvl w:val="0"/>
                <w:numId w:val="7"/>
              </w:numPr>
              <w:spacing w:before="60" w:after="60" w:line="240" w:lineRule="auto"/>
              <w:rPr>
                <w:sz w:val="22"/>
                <w:szCs w:val="22"/>
              </w:rPr>
            </w:pPr>
            <w:r>
              <w:rPr>
                <w:sz w:val="22"/>
                <w:szCs w:val="22"/>
              </w:rPr>
              <w:t>licence renewals/restorations</w:t>
            </w:r>
          </w:p>
          <w:p w14:paraId="24AFC110" w14:textId="77777777" w:rsidR="002C0D5F" w:rsidRDefault="002C0D5F" w:rsidP="005E240A">
            <w:pPr>
              <w:pStyle w:val="Tabletext"/>
              <w:numPr>
                <w:ilvl w:val="0"/>
                <w:numId w:val="7"/>
              </w:numPr>
              <w:spacing w:before="60" w:after="60" w:line="240" w:lineRule="auto"/>
              <w:rPr>
                <w:sz w:val="22"/>
                <w:szCs w:val="22"/>
              </w:rPr>
            </w:pPr>
            <w:r>
              <w:rPr>
                <w:sz w:val="22"/>
                <w:szCs w:val="22"/>
              </w:rPr>
              <w:t>application refusals</w:t>
            </w:r>
          </w:p>
          <w:p w14:paraId="058E4953" w14:textId="77777777" w:rsidR="002C0D5F" w:rsidRDefault="002C0D5F" w:rsidP="005E240A">
            <w:pPr>
              <w:pStyle w:val="Tabletext"/>
              <w:numPr>
                <w:ilvl w:val="0"/>
                <w:numId w:val="7"/>
              </w:numPr>
              <w:spacing w:before="60" w:after="60" w:line="240" w:lineRule="auto"/>
              <w:rPr>
                <w:sz w:val="22"/>
                <w:szCs w:val="22"/>
              </w:rPr>
            </w:pPr>
            <w:r>
              <w:rPr>
                <w:sz w:val="22"/>
                <w:szCs w:val="22"/>
              </w:rPr>
              <w:t>application and licence withdrawals/surrenders</w:t>
            </w:r>
          </w:p>
          <w:p w14:paraId="3E9FA5B5" w14:textId="77777777" w:rsidR="002C0D5F" w:rsidRDefault="002C0D5F" w:rsidP="005E240A">
            <w:pPr>
              <w:pStyle w:val="Tabletext"/>
              <w:numPr>
                <w:ilvl w:val="0"/>
                <w:numId w:val="7"/>
              </w:numPr>
              <w:spacing w:before="60" w:after="60" w:line="240" w:lineRule="auto"/>
              <w:rPr>
                <w:sz w:val="22"/>
                <w:szCs w:val="22"/>
              </w:rPr>
            </w:pPr>
            <w:r>
              <w:rPr>
                <w:sz w:val="22"/>
                <w:szCs w:val="22"/>
              </w:rPr>
              <w:t>licence cancellations</w:t>
            </w:r>
          </w:p>
          <w:p w14:paraId="0DA4DF35" w14:textId="77777777" w:rsidR="002C0D5F" w:rsidRDefault="002C0D5F" w:rsidP="005E240A">
            <w:pPr>
              <w:pStyle w:val="Tabletext"/>
              <w:numPr>
                <w:ilvl w:val="0"/>
                <w:numId w:val="7"/>
              </w:numPr>
              <w:spacing w:before="60" w:after="60" w:line="240" w:lineRule="auto"/>
              <w:rPr>
                <w:sz w:val="22"/>
                <w:szCs w:val="22"/>
              </w:rPr>
            </w:pPr>
            <w:r>
              <w:rPr>
                <w:sz w:val="22"/>
                <w:szCs w:val="22"/>
              </w:rPr>
              <w:t>change of information notifications/variations</w:t>
            </w:r>
          </w:p>
          <w:p w14:paraId="7591E1D7" w14:textId="77777777" w:rsidR="002C0D5F" w:rsidRDefault="002C0D5F" w:rsidP="005E240A">
            <w:pPr>
              <w:pStyle w:val="Tabletext"/>
              <w:numPr>
                <w:ilvl w:val="0"/>
                <w:numId w:val="7"/>
              </w:numPr>
              <w:spacing w:before="60" w:after="60" w:line="240" w:lineRule="auto"/>
              <w:rPr>
                <w:sz w:val="22"/>
                <w:szCs w:val="22"/>
              </w:rPr>
            </w:pPr>
            <w:r>
              <w:rPr>
                <w:sz w:val="22"/>
                <w:szCs w:val="22"/>
              </w:rPr>
              <w:t>mutual recognition</w:t>
            </w:r>
          </w:p>
          <w:p w14:paraId="0913AE8D" w14:textId="65B018A2" w:rsidR="005646DC" w:rsidRPr="00F66784" w:rsidRDefault="001E17E4" w:rsidP="00951C74">
            <w:pPr>
              <w:pStyle w:val="Tabletext"/>
              <w:spacing w:before="60" w:after="60" w:line="240" w:lineRule="auto"/>
              <w:rPr>
                <w:i/>
                <w:sz w:val="22"/>
                <w:szCs w:val="22"/>
              </w:rPr>
            </w:pPr>
            <w:r w:rsidRPr="00F66784">
              <w:rPr>
                <w:i/>
                <w:sz w:val="22"/>
                <w:szCs w:val="22"/>
              </w:rPr>
              <w:t xml:space="preserve">Excludes criminal history checks – see </w:t>
            </w:r>
            <w:r w:rsidR="00951C74">
              <w:rPr>
                <w:i/>
                <w:sz w:val="22"/>
                <w:szCs w:val="22"/>
              </w:rPr>
              <w:t>record class</w:t>
            </w:r>
            <w:r w:rsidRPr="00F66784">
              <w:rPr>
                <w:i/>
                <w:sz w:val="22"/>
                <w:szCs w:val="22"/>
              </w:rPr>
              <w:t xml:space="preserve"> </w:t>
            </w:r>
            <w:hyperlink w:anchor="CriminalHistory_1680" w:history="1">
              <w:r w:rsidR="00741D6C" w:rsidRPr="00F3241A">
                <w:rPr>
                  <w:rStyle w:val="Hyperlink"/>
                  <w:i/>
                  <w:sz w:val="22"/>
                  <w:szCs w:val="22"/>
                </w:rPr>
                <w:t>1680</w:t>
              </w:r>
            </w:hyperlink>
            <w:r w:rsidRPr="00F66784">
              <w:rPr>
                <w:i/>
                <w:sz w:val="22"/>
                <w:szCs w:val="22"/>
              </w:rPr>
              <w:t xml:space="preserve"> for records relating to criminal history checks.</w:t>
            </w:r>
          </w:p>
        </w:tc>
        <w:tc>
          <w:tcPr>
            <w:tcW w:w="1093" w:type="pct"/>
            <w:shd w:val="clear" w:color="auto" w:fill="auto"/>
          </w:tcPr>
          <w:p w14:paraId="531C16D6" w14:textId="73F7BEDA" w:rsidR="002C0D5F" w:rsidRPr="003147E4" w:rsidRDefault="002C0D5F" w:rsidP="00011511">
            <w:pPr>
              <w:pStyle w:val="Tabletext"/>
              <w:spacing w:before="60" w:after="60" w:line="240" w:lineRule="auto"/>
              <w:rPr>
                <w:sz w:val="22"/>
                <w:szCs w:val="22"/>
              </w:rPr>
            </w:pPr>
            <w:r w:rsidRPr="008162C4">
              <w:rPr>
                <w:sz w:val="22"/>
                <w:szCs w:val="22"/>
              </w:rPr>
              <w:t>7</w:t>
            </w:r>
            <w:r>
              <w:rPr>
                <w:sz w:val="22"/>
                <w:szCs w:val="22"/>
              </w:rPr>
              <w:t xml:space="preserve"> years from </w:t>
            </w:r>
            <w:r w:rsidRPr="00936394">
              <w:rPr>
                <w:sz w:val="22"/>
                <w:szCs w:val="22"/>
              </w:rPr>
              <w:t>date of lodgement</w:t>
            </w:r>
            <w:r w:rsidR="00011511">
              <w:rPr>
                <w:sz w:val="22"/>
                <w:szCs w:val="22"/>
              </w:rPr>
              <w:t xml:space="preserve"> into register</w:t>
            </w:r>
            <w:r w:rsidR="00F66784">
              <w:rPr>
                <w:sz w:val="22"/>
                <w:szCs w:val="22"/>
              </w:rPr>
              <w:t>.</w:t>
            </w:r>
          </w:p>
        </w:tc>
      </w:tr>
      <w:tr w:rsidR="002C0D5F" w:rsidRPr="003147E4" w14:paraId="2BAE6D07" w14:textId="77777777" w:rsidTr="002C0D5F">
        <w:tblPrEx>
          <w:tblCellMar>
            <w:top w:w="57" w:type="dxa"/>
            <w:left w:w="119" w:type="dxa"/>
            <w:right w:w="119" w:type="dxa"/>
          </w:tblCellMar>
        </w:tblPrEx>
        <w:tc>
          <w:tcPr>
            <w:tcW w:w="496" w:type="pct"/>
            <w:shd w:val="clear" w:color="auto" w:fill="auto"/>
          </w:tcPr>
          <w:p w14:paraId="0DDB1CB5" w14:textId="3AC2A19A" w:rsidR="002C0D5F" w:rsidRPr="003147E4" w:rsidRDefault="00741D6C" w:rsidP="003D4D02">
            <w:pPr>
              <w:pStyle w:val="Tabletext"/>
              <w:spacing w:before="60" w:after="60" w:line="240" w:lineRule="auto"/>
              <w:rPr>
                <w:sz w:val="22"/>
                <w:szCs w:val="22"/>
              </w:rPr>
            </w:pPr>
            <w:bookmarkStart w:id="14" w:name="CriminalHistory_1680"/>
            <w:r>
              <w:rPr>
                <w:sz w:val="22"/>
                <w:szCs w:val="22"/>
              </w:rPr>
              <w:t>1680</w:t>
            </w:r>
            <w:bookmarkEnd w:id="14"/>
          </w:p>
        </w:tc>
        <w:tc>
          <w:tcPr>
            <w:tcW w:w="3412" w:type="pct"/>
            <w:shd w:val="clear" w:color="auto" w:fill="auto"/>
          </w:tcPr>
          <w:p w14:paraId="29E90A05" w14:textId="65C60398" w:rsidR="002C0D5F" w:rsidRDefault="002C0D5F" w:rsidP="00305306">
            <w:pPr>
              <w:pStyle w:val="Tabletext"/>
              <w:spacing w:before="60" w:after="60" w:line="240" w:lineRule="auto"/>
              <w:rPr>
                <w:b/>
                <w:i/>
                <w:sz w:val="22"/>
                <w:szCs w:val="22"/>
              </w:rPr>
            </w:pPr>
            <w:r w:rsidRPr="00383439">
              <w:rPr>
                <w:b/>
                <w:i/>
                <w:sz w:val="22"/>
                <w:szCs w:val="22"/>
              </w:rPr>
              <w:t xml:space="preserve">Criminal </w:t>
            </w:r>
            <w:r w:rsidR="00797DCA">
              <w:rPr>
                <w:b/>
                <w:i/>
                <w:sz w:val="22"/>
                <w:szCs w:val="22"/>
              </w:rPr>
              <w:t>h</w:t>
            </w:r>
            <w:r w:rsidRPr="00383439">
              <w:rPr>
                <w:b/>
                <w:i/>
                <w:sz w:val="22"/>
                <w:szCs w:val="22"/>
              </w:rPr>
              <w:t>istory</w:t>
            </w:r>
          </w:p>
          <w:p w14:paraId="6C32397B" w14:textId="112E0D5A" w:rsidR="002C0D5F" w:rsidRPr="00383439" w:rsidRDefault="002C0D5F" w:rsidP="00C84E11">
            <w:pPr>
              <w:pStyle w:val="Tabletext"/>
              <w:spacing w:before="60" w:after="60" w:line="240" w:lineRule="auto"/>
              <w:rPr>
                <w:b/>
                <w:i/>
                <w:sz w:val="22"/>
                <w:szCs w:val="22"/>
              </w:rPr>
            </w:pPr>
            <w:r>
              <w:rPr>
                <w:sz w:val="22"/>
                <w:szCs w:val="22"/>
              </w:rPr>
              <w:t xml:space="preserve">Records relating to criminal history applications or requests made by </w:t>
            </w:r>
            <w:r w:rsidR="00C84E11">
              <w:rPr>
                <w:sz w:val="22"/>
                <w:szCs w:val="22"/>
              </w:rPr>
              <w:t xml:space="preserve">the agency </w:t>
            </w:r>
            <w:r>
              <w:rPr>
                <w:sz w:val="22"/>
                <w:szCs w:val="22"/>
              </w:rPr>
              <w:t>and the subsequent results</w:t>
            </w:r>
            <w:r w:rsidR="00EC6B9E">
              <w:rPr>
                <w:sz w:val="22"/>
                <w:szCs w:val="22"/>
              </w:rPr>
              <w:t>.</w:t>
            </w:r>
          </w:p>
        </w:tc>
        <w:tc>
          <w:tcPr>
            <w:tcW w:w="1093" w:type="pct"/>
            <w:shd w:val="clear" w:color="auto" w:fill="auto"/>
          </w:tcPr>
          <w:p w14:paraId="5DD41174" w14:textId="283AB53B" w:rsidR="002C0D5F" w:rsidRDefault="009252F0" w:rsidP="003D4D02">
            <w:pPr>
              <w:pStyle w:val="Tabletext"/>
              <w:spacing w:before="60" w:after="60" w:line="240" w:lineRule="auto"/>
              <w:rPr>
                <w:sz w:val="22"/>
                <w:szCs w:val="22"/>
              </w:rPr>
            </w:pPr>
            <w:r>
              <w:rPr>
                <w:sz w:val="22"/>
                <w:szCs w:val="22"/>
              </w:rPr>
              <w:t>U</w:t>
            </w:r>
            <w:r w:rsidR="002C0D5F">
              <w:rPr>
                <w:sz w:val="22"/>
                <w:szCs w:val="22"/>
              </w:rPr>
              <w:t>ntil suitability to hold a licence has been considered and the appeal period has expired</w:t>
            </w:r>
            <w:r w:rsidR="00741D6C">
              <w:rPr>
                <w:sz w:val="22"/>
                <w:szCs w:val="22"/>
              </w:rPr>
              <w:t>.</w:t>
            </w:r>
          </w:p>
        </w:tc>
      </w:tr>
    </w:tbl>
    <w:p w14:paraId="5D996FDF" w14:textId="77777777" w:rsidR="002C0D5F" w:rsidRDefault="002C0D5F" w:rsidP="00391CA2">
      <w:pPr>
        <w:rPr>
          <w:rStyle w:val="Heading2Char"/>
          <w:szCs w:val="36"/>
        </w:rPr>
      </w:pPr>
    </w:p>
    <w:p w14:paraId="62659F0B" w14:textId="1C2A07C6" w:rsidR="00F1150E" w:rsidRPr="00E225B5" w:rsidRDefault="002C0D5F" w:rsidP="00F1150E">
      <w:pPr>
        <w:pStyle w:val="Heading1"/>
        <w:spacing w:before="60" w:after="60" w:line="240" w:lineRule="auto"/>
        <w:rPr>
          <w:rStyle w:val="Heading2Char"/>
          <w:szCs w:val="36"/>
        </w:rPr>
      </w:pPr>
      <w:r>
        <w:rPr>
          <w:rStyle w:val="Heading2Char"/>
          <w:szCs w:val="36"/>
        </w:rPr>
        <w:br w:type="page"/>
      </w:r>
      <w:bookmarkStart w:id="15" w:name="_Toc478544526"/>
      <w:r w:rsidR="00F1150E">
        <w:rPr>
          <w:rStyle w:val="Heading2Char"/>
          <w:szCs w:val="36"/>
        </w:rPr>
        <w:lastRenderedPageBreak/>
        <w:t>REGISTRATION SERVICES</w:t>
      </w:r>
      <w:bookmarkEnd w:id="15"/>
    </w:p>
    <w:p w14:paraId="6F934B73" w14:textId="3D29175F" w:rsidR="00F1150E" w:rsidRDefault="00F1150E" w:rsidP="002C0D5F">
      <w:pPr>
        <w:spacing w:before="60" w:after="120" w:line="240" w:lineRule="auto"/>
        <w:rPr>
          <w:i/>
        </w:rPr>
      </w:pPr>
      <w:r>
        <w:rPr>
          <w:i/>
        </w:rPr>
        <w:t xml:space="preserve">The </w:t>
      </w:r>
      <w:r w:rsidR="00FE4F2E">
        <w:rPr>
          <w:i/>
        </w:rPr>
        <w:t>function</w:t>
      </w:r>
      <w:r>
        <w:rPr>
          <w:i/>
        </w:rPr>
        <w:t xml:space="preserve"> of </w:t>
      </w:r>
      <w:r w:rsidR="00D47574">
        <w:rPr>
          <w:i/>
        </w:rPr>
        <w:t>considering registration applications from organisations</w:t>
      </w:r>
      <w:r w:rsidR="00FE4F2E">
        <w:rPr>
          <w:i/>
        </w:rPr>
        <w:t xml:space="preserve"> </w:t>
      </w:r>
      <w:r w:rsidR="00D47574">
        <w:rPr>
          <w:i/>
        </w:rPr>
        <w:t xml:space="preserve">subject to legislation administered by </w:t>
      </w:r>
      <w:r w:rsidR="002C42CF">
        <w:rPr>
          <w:i/>
        </w:rPr>
        <w:t>the agency</w:t>
      </w:r>
    </w:p>
    <w:p w14:paraId="1D8911F4" w14:textId="77777777" w:rsidR="00391CA2" w:rsidRDefault="00391CA2" w:rsidP="002C0D5F">
      <w:pPr>
        <w:spacing w:before="60" w:after="12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679"/>
        <w:gridCol w:w="10377"/>
        <w:gridCol w:w="25"/>
        <w:gridCol w:w="3324"/>
      </w:tblGrid>
      <w:tr w:rsidR="002C0D5F" w:rsidRPr="003147E4" w14:paraId="35B92E33" w14:textId="77777777" w:rsidTr="002C0D5F">
        <w:tc>
          <w:tcPr>
            <w:tcW w:w="545" w:type="pct"/>
            <w:shd w:val="clear" w:color="auto" w:fill="auto"/>
          </w:tcPr>
          <w:p w14:paraId="00C26E8C" w14:textId="77777777" w:rsidR="002C0D5F" w:rsidRPr="002C0D5F" w:rsidRDefault="002C0D5F" w:rsidP="00167423">
            <w:pPr>
              <w:pStyle w:val="Tabletext"/>
              <w:spacing w:before="60" w:after="60" w:line="240" w:lineRule="auto"/>
              <w:rPr>
                <w:b/>
                <w:sz w:val="22"/>
                <w:szCs w:val="22"/>
              </w:rPr>
            </w:pPr>
            <w:r w:rsidRPr="002C0D5F">
              <w:rPr>
                <w:b/>
                <w:sz w:val="22"/>
                <w:szCs w:val="22"/>
              </w:rPr>
              <w:t>Disposal Authorisation</w:t>
            </w:r>
          </w:p>
        </w:tc>
        <w:tc>
          <w:tcPr>
            <w:tcW w:w="3376" w:type="pct"/>
            <w:gridSpan w:val="2"/>
            <w:shd w:val="clear" w:color="auto" w:fill="auto"/>
          </w:tcPr>
          <w:p w14:paraId="3E179666" w14:textId="77777777" w:rsidR="002C0D5F" w:rsidRDefault="002C0D5F" w:rsidP="002C0D5F">
            <w:pPr>
              <w:pStyle w:val="Heading30"/>
              <w:spacing w:before="60" w:after="60"/>
              <w:jc w:val="center"/>
            </w:pPr>
            <w:r>
              <w:t>Description of records</w:t>
            </w:r>
          </w:p>
        </w:tc>
        <w:tc>
          <w:tcPr>
            <w:tcW w:w="1079" w:type="pct"/>
            <w:shd w:val="clear" w:color="auto" w:fill="auto"/>
          </w:tcPr>
          <w:p w14:paraId="29F1A0F9" w14:textId="77777777" w:rsidR="002C0D5F" w:rsidRDefault="002C0D5F" w:rsidP="00FE4F2E">
            <w:pPr>
              <w:pStyle w:val="Heading30"/>
              <w:spacing w:before="60" w:after="60"/>
            </w:pPr>
            <w:r>
              <w:t>Retention period &amp; trigger</w:t>
            </w:r>
          </w:p>
        </w:tc>
      </w:tr>
      <w:tr w:rsidR="002C0D5F" w:rsidRPr="003147E4" w14:paraId="1CB1930D" w14:textId="77777777" w:rsidTr="002C0D5F">
        <w:tc>
          <w:tcPr>
            <w:tcW w:w="5000" w:type="pct"/>
            <w:gridSpan w:val="4"/>
            <w:shd w:val="clear" w:color="auto" w:fill="auto"/>
          </w:tcPr>
          <w:p w14:paraId="1C2E27C8" w14:textId="2182AA59" w:rsidR="002C0D5F" w:rsidRPr="00CB5D3E" w:rsidRDefault="002C0D5F" w:rsidP="00FE4F2E">
            <w:pPr>
              <w:pStyle w:val="Heading30"/>
              <w:spacing w:before="60" w:after="60"/>
            </w:pPr>
            <w:r>
              <w:t xml:space="preserve">REGISTRATION </w:t>
            </w:r>
            <w:r w:rsidR="00E73254">
              <w:t>OF ENTITIES</w:t>
            </w:r>
          </w:p>
          <w:p w14:paraId="55A1EE7F" w14:textId="77777777" w:rsidR="002C0D5F" w:rsidRDefault="002C0D5F" w:rsidP="002C42CF">
            <w:pPr>
              <w:pStyle w:val="Tabletext"/>
              <w:spacing w:before="60" w:after="60" w:line="240" w:lineRule="auto"/>
              <w:rPr>
                <w:i/>
                <w:sz w:val="22"/>
                <w:szCs w:val="22"/>
              </w:rPr>
            </w:pPr>
            <w:r w:rsidRPr="008E69C0">
              <w:rPr>
                <w:i/>
                <w:sz w:val="22"/>
                <w:szCs w:val="22"/>
              </w:rPr>
              <w:t xml:space="preserve">The activity of </w:t>
            </w:r>
            <w:r w:rsidR="0074355C">
              <w:rPr>
                <w:i/>
                <w:sz w:val="22"/>
                <w:szCs w:val="22"/>
              </w:rPr>
              <w:t xml:space="preserve">registering entities and </w:t>
            </w:r>
            <w:r w:rsidRPr="008E69C0">
              <w:rPr>
                <w:i/>
                <w:sz w:val="22"/>
                <w:szCs w:val="22"/>
              </w:rPr>
              <w:t xml:space="preserve">maintaining information regarding organisations regulated by </w:t>
            </w:r>
            <w:r w:rsidR="002C42CF">
              <w:rPr>
                <w:i/>
                <w:sz w:val="22"/>
                <w:szCs w:val="22"/>
              </w:rPr>
              <w:t>the agency</w:t>
            </w:r>
            <w:r w:rsidRPr="008E69C0">
              <w:rPr>
                <w:i/>
                <w:sz w:val="22"/>
                <w:szCs w:val="22"/>
              </w:rPr>
              <w:t>. Applications include Incorporated Associations, Charities, Cooperatives, Limited Partnerships</w:t>
            </w:r>
            <w:r>
              <w:rPr>
                <w:i/>
                <w:sz w:val="22"/>
                <w:szCs w:val="22"/>
              </w:rPr>
              <w:t xml:space="preserve"> and Funeral Benefit Businesses</w:t>
            </w:r>
            <w:r w:rsidRPr="008E69C0">
              <w:rPr>
                <w:i/>
                <w:sz w:val="22"/>
                <w:szCs w:val="22"/>
              </w:rPr>
              <w:t>. Activities include, but are not limited to, registrations, rejection, cancellations, certification and renewal</w:t>
            </w:r>
            <w:r>
              <w:rPr>
                <w:i/>
                <w:sz w:val="22"/>
                <w:szCs w:val="22"/>
              </w:rPr>
              <w:t xml:space="preserve"> or</w:t>
            </w:r>
            <w:r w:rsidRPr="008E69C0">
              <w:rPr>
                <w:i/>
                <w:sz w:val="22"/>
                <w:szCs w:val="22"/>
              </w:rPr>
              <w:t xml:space="preserve"> revocation of registrations.</w:t>
            </w:r>
          </w:p>
          <w:p w14:paraId="31B8E18C" w14:textId="11325681" w:rsidR="00D23FC5" w:rsidRPr="008E69C0" w:rsidRDefault="00D23FC5" w:rsidP="002C42CF">
            <w:pPr>
              <w:pStyle w:val="Tabletext"/>
              <w:spacing w:before="60" w:after="60" w:line="240" w:lineRule="auto"/>
              <w:rPr>
                <w:i/>
                <w:sz w:val="22"/>
                <w:szCs w:val="22"/>
              </w:rPr>
            </w:pPr>
            <w:r>
              <w:rPr>
                <w:i/>
                <w:sz w:val="22"/>
                <w:szCs w:val="22"/>
              </w:rPr>
              <w:t xml:space="preserve">See section on </w:t>
            </w:r>
            <w:hyperlink w:anchor="Compliance" w:history="1">
              <w:r w:rsidRPr="00E21B62">
                <w:rPr>
                  <w:rStyle w:val="Hyperlink"/>
                  <w:i/>
                  <w:sz w:val="22"/>
                  <w:szCs w:val="22"/>
                </w:rPr>
                <w:t>Compliance</w:t>
              </w:r>
            </w:hyperlink>
            <w:r>
              <w:rPr>
                <w:i/>
                <w:sz w:val="22"/>
                <w:szCs w:val="22"/>
              </w:rPr>
              <w:t xml:space="preserve"> for investigations of complaints and suspected braches of legislation by a registered entity.</w:t>
            </w:r>
          </w:p>
        </w:tc>
      </w:tr>
      <w:tr w:rsidR="00E00B4C" w:rsidRPr="003147E4" w14:paraId="323DDB66" w14:textId="77777777" w:rsidTr="002C0D5F">
        <w:tc>
          <w:tcPr>
            <w:tcW w:w="545" w:type="pct"/>
            <w:shd w:val="clear" w:color="auto" w:fill="auto"/>
          </w:tcPr>
          <w:p w14:paraId="1971C481" w14:textId="16D615C4" w:rsidR="00E00B4C" w:rsidRDefault="00741D6C" w:rsidP="00E00B4C">
            <w:pPr>
              <w:pStyle w:val="Tabletext"/>
              <w:spacing w:before="60" w:after="60" w:line="240" w:lineRule="auto"/>
              <w:rPr>
                <w:sz w:val="22"/>
                <w:szCs w:val="22"/>
              </w:rPr>
            </w:pPr>
            <w:r>
              <w:rPr>
                <w:sz w:val="22"/>
                <w:szCs w:val="22"/>
              </w:rPr>
              <w:t>1681</w:t>
            </w:r>
          </w:p>
        </w:tc>
        <w:tc>
          <w:tcPr>
            <w:tcW w:w="3368" w:type="pct"/>
            <w:shd w:val="clear" w:color="auto" w:fill="auto"/>
          </w:tcPr>
          <w:p w14:paraId="43CF227C" w14:textId="62522804" w:rsidR="00E00B4C" w:rsidRDefault="00E00B4C" w:rsidP="00E00B4C">
            <w:pPr>
              <w:pStyle w:val="Heading30"/>
              <w:spacing w:before="60" w:after="60"/>
              <w:rPr>
                <w:i/>
              </w:rPr>
            </w:pPr>
            <w:r>
              <w:rPr>
                <w:i/>
              </w:rPr>
              <w:t xml:space="preserve">Registration of </w:t>
            </w:r>
            <w:r w:rsidR="0074355C">
              <w:rPr>
                <w:i/>
              </w:rPr>
              <w:t>a</w:t>
            </w:r>
            <w:r w:rsidR="009C0559">
              <w:rPr>
                <w:i/>
              </w:rPr>
              <w:t xml:space="preserve"> cooperative</w:t>
            </w:r>
          </w:p>
          <w:p w14:paraId="353F1B50" w14:textId="74A9374D" w:rsidR="00D23FC5" w:rsidRDefault="0074355C" w:rsidP="00E00B4C">
            <w:pPr>
              <w:pStyle w:val="Tabletext"/>
              <w:spacing w:before="60" w:after="60" w:line="240" w:lineRule="auto"/>
              <w:rPr>
                <w:sz w:val="22"/>
                <w:szCs w:val="22"/>
              </w:rPr>
            </w:pPr>
            <w:r>
              <w:rPr>
                <w:sz w:val="22"/>
                <w:szCs w:val="22"/>
              </w:rPr>
              <w:t xml:space="preserve">Records relating to </w:t>
            </w:r>
            <w:r w:rsidR="00D23FC5">
              <w:rPr>
                <w:sz w:val="22"/>
                <w:szCs w:val="22"/>
              </w:rPr>
              <w:t xml:space="preserve">the registration of </w:t>
            </w:r>
            <w:r>
              <w:rPr>
                <w:sz w:val="22"/>
                <w:szCs w:val="22"/>
              </w:rPr>
              <w:t>a</w:t>
            </w:r>
            <w:r w:rsidR="009C0559">
              <w:rPr>
                <w:sz w:val="22"/>
                <w:szCs w:val="22"/>
              </w:rPr>
              <w:t xml:space="preserve"> </w:t>
            </w:r>
            <w:r w:rsidR="00E00B4C">
              <w:rPr>
                <w:sz w:val="22"/>
                <w:szCs w:val="22"/>
              </w:rPr>
              <w:t>cooperative</w:t>
            </w:r>
            <w:r w:rsidR="00D23FC5">
              <w:rPr>
                <w:sz w:val="22"/>
                <w:szCs w:val="22"/>
              </w:rPr>
              <w:t xml:space="preserve"> by the agency </w:t>
            </w:r>
            <w:r w:rsidR="00D23FC5" w:rsidRPr="002C42CF">
              <w:rPr>
                <w:sz w:val="22"/>
                <w:szCs w:val="22"/>
              </w:rPr>
              <w:t xml:space="preserve">for suitability, probity and adherence with </w:t>
            </w:r>
            <w:r w:rsidR="00D23FC5">
              <w:rPr>
                <w:sz w:val="22"/>
                <w:szCs w:val="22"/>
              </w:rPr>
              <w:t>relevant</w:t>
            </w:r>
            <w:r w:rsidR="00D23FC5" w:rsidRPr="002C42CF">
              <w:rPr>
                <w:sz w:val="22"/>
                <w:szCs w:val="22"/>
              </w:rPr>
              <w:t xml:space="preserve"> legislation</w:t>
            </w:r>
            <w:r w:rsidR="00D23FC5">
              <w:rPr>
                <w:sz w:val="22"/>
                <w:szCs w:val="22"/>
              </w:rPr>
              <w:t>.</w:t>
            </w:r>
          </w:p>
          <w:p w14:paraId="7DFDA204" w14:textId="415ADB75" w:rsidR="00E00B4C" w:rsidRDefault="00E00B4C" w:rsidP="00E00B4C">
            <w:pPr>
              <w:pStyle w:val="Tabletext"/>
              <w:spacing w:before="60" w:after="60" w:line="240" w:lineRule="auto"/>
              <w:rPr>
                <w:sz w:val="22"/>
                <w:szCs w:val="22"/>
              </w:rPr>
            </w:pPr>
            <w:r>
              <w:rPr>
                <w:sz w:val="22"/>
                <w:szCs w:val="22"/>
              </w:rPr>
              <w:t>Includes</w:t>
            </w:r>
            <w:r w:rsidRPr="002C42CF">
              <w:rPr>
                <w:sz w:val="22"/>
                <w:szCs w:val="22"/>
              </w:rPr>
              <w:t xml:space="preserve"> provid</w:t>
            </w:r>
            <w:r>
              <w:rPr>
                <w:sz w:val="22"/>
                <w:szCs w:val="22"/>
              </w:rPr>
              <w:t>ing</w:t>
            </w:r>
            <w:r w:rsidRPr="002C42CF">
              <w:rPr>
                <w:sz w:val="22"/>
                <w:szCs w:val="22"/>
              </w:rPr>
              <w:t xml:space="preserve"> ongoing advice, information and support to entity management on meeting regulatory requirements</w:t>
            </w:r>
            <w:r>
              <w:rPr>
                <w:sz w:val="22"/>
                <w:szCs w:val="22"/>
              </w:rPr>
              <w:t>.</w:t>
            </w:r>
          </w:p>
          <w:p w14:paraId="71E8A9C8" w14:textId="05C65984" w:rsidR="00E00B4C" w:rsidRDefault="00E00B4C" w:rsidP="00E00B4C">
            <w:pPr>
              <w:pStyle w:val="Tabletext"/>
              <w:spacing w:before="60" w:after="60" w:line="240" w:lineRule="auto"/>
              <w:rPr>
                <w:sz w:val="22"/>
                <w:szCs w:val="22"/>
              </w:rPr>
            </w:pPr>
            <w:r>
              <w:rPr>
                <w:sz w:val="22"/>
                <w:szCs w:val="22"/>
              </w:rPr>
              <w:t>Records may include, but are not limited to:</w:t>
            </w:r>
          </w:p>
          <w:p w14:paraId="7DEF8F26" w14:textId="2A737492" w:rsidR="0074355C" w:rsidRDefault="00E00B4C" w:rsidP="005E240A">
            <w:pPr>
              <w:numPr>
                <w:ilvl w:val="0"/>
                <w:numId w:val="7"/>
              </w:numPr>
              <w:spacing w:before="60" w:after="0" w:line="240" w:lineRule="auto"/>
              <w:rPr>
                <w:szCs w:val="22"/>
              </w:rPr>
            </w:pPr>
            <w:r w:rsidRPr="00CD60EC">
              <w:rPr>
                <w:szCs w:val="22"/>
              </w:rPr>
              <w:t xml:space="preserve">certificates of </w:t>
            </w:r>
            <w:r w:rsidR="005A49BC">
              <w:rPr>
                <w:szCs w:val="22"/>
              </w:rPr>
              <w:t>registration</w:t>
            </w:r>
          </w:p>
          <w:p w14:paraId="2A4BC27B" w14:textId="7B92E3F8" w:rsidR="005A49BC" w:rsidRDefault="005A49BC" w:rsidP="005E240A">
            <w:pPr>
              <w:numPr>
                <w:ilvl w:val="0"/>
                <w:numId w:val="7"/>
              </w:numPr>
              <w:spacing w:before="60" w:after="0" w:line="240" w:lineRule="auto"/>
              <w:rPr>
                <w:szCs w:val="22"/>
              </w:rPr>
            </w:pPr>
            <w:r>
              <w:rPr>
                <w:szCs w:val="22"/>
              </w:rPr>
              <w:t>constitution documents</w:t>
            </w:r>
          </w:p>
          <w:p w14:paraId="28B4D21C" w14:textId="229855F6" w:rsidR="00E00B4C" w:rsidRDefault="00E00B4C" w:rsidP="005E240A">
            <w:pPr>
              <w:numPr>
                <w:ilvl w:val="0"/>
                <w:numId w:val="7"/>
              </w:numPr>
              <w:spacing w:before="60" w:after="0" w:line="240" w:lineRule="auto"/>
              <w:rPr>
                <w:szCs w:val="22"/>
              </w:rPr>
            </w:pPr>
            <w:r w:rsidRPr="00516F5E">
              <w:t>changes to the rules and limited partnerships</w:t>
            </w:r>
          </w:p>
          <w:p w14:paraId="3BED5603" w14:textId="77777777" w:rsidR="00E00B4C" w:rsidRPr="00CD60EC" w:rsidRDefault="00E00B4C" w:rsidP="005E240A">
            <w:pPr>
              <w:numPr>
                <w:ilvl w:val="0"/>
                <w:numId w:val="7"/>
              </w:numPr>
              <w:spacing w:before="60" w:after="0" w:line="240" w:lineRule="auto"/>
              <w:rPr>
                <w:szCs w:val="22"/>
              </w:rPr>
            </w:pPr>
            <w:r w:rsidRPr="00CD60EC">
              <w:rPr>
                <w:szCs w:val="22"/>
              </w:rPr>
              <w:t>application for registration including amalgamation</w:t>
            </w:r>
          </w:p>
          <w:p w14:paraId="5661B205" w14:textId="77777777" w:rsidR="00E00B4C" w:rsidRPr="00E00B4C" w:rsidRDefault="00E00B4C" w:rsidP="005E240A">
            <w:pPr>
              <w:numPr>
                <w:ilvl w:val="0"/>
                <w:numId w:val="7"/>
              </w:numPr>
              <w:spacing w:before="60" w:after="0" w:line="240" w:lineRule="auto"/>
              <w:rPr>
                <w:i/>
              </w:rPr>
            </w:pPr>
            <w:r w:rsidRPr="00CD60EC">
              <w:rPr>
                <w:szCs w:val="22"/>
              </w:rPr>
              <w:t>application approvals</w:t>
            </w:r>
          </w:p>
          <w:p w14:paraId="7CF744B3" w14:textId="77777777" w:rsidR="00E00B4C" w:rsidRPr="00CD60EC" w:rsidRDefault="00E00B4C" w:rsidP="005E240A">
            <w:pPr>
              <w:numPr>
                <w:ilvl w:val="0"/>
                <w:numId w:val="7"/>
              </w:numPr>
              <w:spacing w:before="60" w:after="0" w:line="240" w:lineRule="auto"/>
              <w:rPr>
                <w:szCs w:val="22"/>
              </w:rPr>
            </w:pPr>
            <w:r w:rsidRPr="00CD60EC">
              <w:rPr>
                <w:szCs w:val="22"/>
              </w:rPr>
              <w:t>cancellations and deregistration including vesting of property</w:t>
            </w:r>
          </w:p>
          <w:p w14:paraId="575F0F2B" w14:textId="77777777" w:rsidR="00E00B4C" w:rsidRPr="00CD60EC" w:rsidRDefault="00E00B4C" w:rsidP="005E240A">
            <w:pPr>
              <w:numPr>
                <w:ilvl w:val="0"/>
                <w:numId w:val="7"/>
              </w:numPr>
              <w:spacing w:before="60" w:after="0" w:line="240" w:lineRule="auto"/>
              <w:rPr>
                <w:szCs w:val="22"/>
              </w:rPr>
            </w:pPr>
            <w:r w:rsidRPr="00CD60EC">
              <w:rPr>
                <w:szCs w:val="22"/>
              </w:rPr>
              <w:t>transfer to company or corporation</w:t>
            </w:r>
          </w:p>
          <w:p w14:paraId="6565E6F6" w14:textId="77777777" w:rsidR="00E00B4C" w:rsidRPr="00CD60EC" w:rsidRDefault="00E00B4C" w:rsidP="005E240A">
            <w:pPr>
              <w:numPr>
                <w:ilvl w:val="0"/>
                <w:numId w:val="7"/>
              </w:numPr>
              <w:spacing w:before="60" w:after="0" w:line="240" w:lineRule="auto"/>
              <w:rPr>
                <w:szCs w:val="22"/>
              </w:rPr>
            </w:pPr>
            <w:r w:rsidRPr="00CD60EC">
              <w:rPr>
                <w:szCs w:val="22"/>
              </w:rPr>
              <w:t>revocations</w:t>
            </w:r>
          </w:p>
          <w:p w14:paraId="1ABB7F42" w14:textId="77777777" w:rsidR="0074355C" w:rsidRDefault="00E00B4C" w:rsidP="005E240A">
            <w:pPr>
              <w:numPr>
                <w:ilvl w:val="0"/>
                <w:numId w:val="7"/>
              </w:numPr>
              <w:spacing w:before="60" w:after="0" w:line="240" w:lineRule="auto"/>
              <w:rPr>
                <w:szCs w:val="22"/>
              </w:rPr>
            </w:pPr>
            <w:r w:rsidRPr="00CD60EC">
              <w:rPr>
                <w:szCs w:val="22"/>
              </w:rPr>
              <w:t>reinstatement</w:t>
            </w:r>
            <w:r w:rsidR="00FC1B35">
              <w:rPr>
                <w:szCs w:val="22"/>
              </w:rPr>
              <w:t>.</w:t>
            </w:r>
          </w:p>
          <w:p w14:paraId="3C8C3765" w14:textId="3E9BD0B2" w:rsidR="009C0559" w:rsidRPr="009C0559" w:rsidRDefault="009C0559" w:rsidP="00951C74">
            <w:pPr>
              <w:spacing w:before="60" w:after="0" w:line="240" w:lineRule="auto"/>
              <w:rPr>
                <w:i/>
                <w:szCs w:val="22"/>
              </w:rPr>
            </w:pPr>
            <w:r w:rsidRPr="009C0559">
              <w:rPr>
                <w:i/>
                <w:szCs w:val="22"/>
              </w:rPr>
              <w:t xml:space="preserve">See record class </w:t>
            </w:r>
            <w:hyperlink w:anchor="Funeral_1685" w:history="1">
              <w:r w:rsidR="00951C74" w:rsidRPr="00F3241A">
                <w:rPr>
                  <w:rStyle w:val="Hyperlink"/>
                  <w:i/>
                  <w:szCs w:val="22"/>
                </w:rPr>
                <w:t>1685</w:t>
              </w:r>
            </w:hyperlink>
            <w:r w:rsidR="00CC2397">
              <w:rPr>
                <w:i/>
                <w:szCs w:val="22"/>
              </w:rPr>
              <w:t xml:space="preserve"> for records relating to funeral benefit businesses and </w:t>
            </w:r>
            <w:hyperlink w:anchor="Entity_1682" w:history="1">
              <w:r w:rsidR="00741D6C" w:rsidRPr="00F3241A">
                <w:rPr>
                  <w:rStyle w:val="Hyperlink"/>
                  <w:i/>
                  <w:szCs w:val="22"/>
                </w:rPr>
                <w:t>1682</w:t>
              </w:r>
            </w:hyperlink>
            <w:r w:rsidRPr="009C0559">
              <w:rPr>
                <w:i/>
                <w:szCs w:val="22"/>
              </w:rPr>
              <w:t xml:space="preserve"> for records relating to the registration of all other entities</w:t>
            </w:r>
            <w:r w:rsidR="00CC2397">
              <w:rPr>
                <w:i/>
                <w:szCs w:val="22"/>
              </w:rPr>
              <w:t>.</w:t>
            </w:r>
          </w:p>
        </w:tc>
        <w:tc>
          <w:tcPr>
            <w:tcW w:w="1087" w:type="pct"/>
            <w:gridSpan w:val="2"/>
            <w:shd w:val="clear" w:color="auto" w:fill="auto"/>
          </w:tcPr>
          <w:p w14:paraId="6A35EFD0" w14:textId="1C165E29" w:rsidR="00E00B4C" w:rsidRPr="00B647B3" w:rsidRDefault="0074355C" w:rsidP="009C0559">
            <w:pPr>
              <w:pStyle w:val="Tabletext"/>
              <w:spacing w:before="60" w:after="60" w:line="240" w:lineRule="auto"/>
              <w:rPr>
                <w:sz w:val="22"/>
                <w:szCs w:val="22"/>
              </w:rPr>
            </w:pPr>
            <w:r>
              <w:rPr>
                <w:sz w:val="22"/>
                <w:szCs w:val="22"/>
              </w:rPr>
              <w:t>15</w:t>
            </w:r>
            <w:r w:rsidR="00E00B4C" w:rsidRPr="00B647B3">
              <w:rPr>
                <w:sz w:val="22"/>
                <w:szCs w:val="22"/>
              </w:rPr>
              <w:t xml:space="preserve"> years after deregistration</w:t>
            </w:r>
            <w:r w:rsidR="00F666A0">
              <w:rPr>
                <w:sz w:val="22"/>
                <w:szCs w:val="22"/>
              </w:rPr>
              <w:t xml:space="preserve"> of </w:t>
            </w:r>
            <w:r w:rsidR="009C0559">
              <w:rPr>
                <w:sz w:val="22"/>
                <w:szCs w:val="22"/>
              </w:rPr>
              <w:t>entity</w:t>
            </w:r>
            <w:r w:rsidR="00E00B4C">
              <w:rPr>
                <w:sz w:val="22"/>
                <w:szCs w:val="22"/>
              </w:rPr>
              <w:t>.</w:t>
            </w:r>
          </w:p>
        </w:tc>
      </w:tr>
      <w:tr w:rsidR="009C0559" w:rsidRPr="003147E4" w14:paraId="63E275EC" w14:textId="77777777" w:rsidTr="002C0D5F">
        <w:tc>
          <w:tcPr>
            <w:tcW w:w="545" w:type="pct"/>
            <w:shd w:val="clear" w:color="auto" w:fill="auto"/>
          </w:tcPr>
          <w:p w14:paraId="13AAE979" w14:textId="2577A205" w:rsidR="009C0559" w:rsidRDefault="00741D6C" w:rsidP="00E00B4C">
            <w:pPr>
              <w:pStyle w:val="Tabletext"/>
              <w:spacing w:before="60" w:after="60" w:line="240" w:lineRule="auto"/>
              <w:rPr>
                <w:sz w:val="22"/>
                <w:szCs w:val="22"/>
              </w:rPr>
            </w:pPr>
            <w:bookmarkStart w:id="16" w:name="Entity_1682"/>
            <w:r>
              <w:rPr>
                <w:sz w:val="22"/>
                <w:szCs w:val="22"/>
              </w:rPr>
              <w:t>1682</w:t>
            </w:r>
            <w:bookmarkEnd w:id="16"/>
          </w:p>
        </w:tc>
        <w:tc>
          <w:tcPr>
            <w:tcW w:w="3368" w:type="pct"/>
            <w:shd w:val="clear" w:color="auto" w:fill="auto"/>
          </w:tcPr>
          <w:p w14:paraId="6E075D36" w14:textId="77777777" w:rsidR="009C0559" w:rsidRDefault="009C0559" w:rsidP="00E00B4C">
            <w:pPr>
              <w:pStyle w:val="Heading30"/>
              <w:spacing w:before="60" w:after="60"/>
              <w:rPr>
                <w:i/>
              </w:rPr>
            </w:pPr>
            <w:r>
              <w:rPr>
                <w:i/>
              </w:rPr>
              <w:t>Registration of an entity</w:t>
            </w:r>
          </w:p>
          <w:p w14:paraId="142AE975" w14:textId="0D165F8A" w:rsidR="009C0559" w:rsidRDefault="009C0559" w:rsidP="009C0559">
            <w:pPr>
              <w:pStyle w:val="Tabletext"/>
              <w:spacing w:before="60" w:after="60" w:line="240" w:lineRule="auto"/>
              <w:rPr>
                <w:sz w:val="22"/>
                <w:szCs w:val="22"/>
              </w:rPr>
            </w:pPr>
            <w:r>
              <w:rPr>
                <w:sz w:val="22"/>
                <w:szCs w:val="22"/>
              </w:rPr>
              <w:t xml:space="preserve">Records relating to the registration of an entity, other than a cooperative, by the agency </w:t>
            </w:r>
            <w:r w:rsidRPr="002C42CF">
              <w:rPr>
                <w:sz w:val="22"/>
                <w:szCs w:val="22"/>
              </w:rPr>
              <w:t xml:space="preserve">for suitability, probity and adherence with </w:t>
            </w:r>
            <w:r>
              <w:rPr>
                <w:sz w:val="22"/>
                <w:szCs w:val="22"/>
              </w:rPr>
              <w:t>relevant</w:t>
            </w:r>
            <w:r w:rsidRPr="002C42CF">
              <w:rPr>
                <w:sz w:val="22"/>
                <w:szCs w:val="22"/>
              </w:rPr>
              <w:t xml:space="preserve"> legislation</w:t>
            </w:r>
            <w:r>
              <w:rPr>
                <w:sz w:val="22"/>
                <w:szCs w:val="22"/>
              </w:rPr>
              <w:t xml:space="preserve"> that may include but not limited to:</w:t>
            </w:r>
          </w:p>
          <w:p w14:paraId="4EBF56AC" w14:textId="734C6839" w:rsidR="009C0559" w:rsidRDefault="009C0559" w:rsidP="005E240A">
            <w:pPr>
              <w:numPr>
                <w:ilvl w:val="0"/>
                <w:numId w:val="7"/>
              </w:numPr>
              <w:spacing w:before="60" w:after="0" w:line="240" w:lineRule="auto"/>
              <w:rPr>
                <w:szCs w:val="22"/>
              </w:rPr>
            </w:pPr>
            <w:r>
              <w:rPr>
                <w:szCs w:val="22"/>
              </w:rPr>
              <w:t>incorporated association</w:t>
            </w:r>
          </w:p>
          <w:p w14:paraId="55474712" w14:textId="77777777" w:rsidR="009C0559" w:rsidRDefault="009C0559" w:rsidP="005E240A">
            <w:pPr>
              <w:numPr>
                <w:ilvl w:val="0"/>
                <w:numId w:val="7"/>
              </w:numPr>
              <w:spacing w:before="60" w:after="0" w:line="240" w:lineRule="auto"/>
              <w:rPr>
                <w:szCs w:val="22"/>
              </w:rPr>
            </w:pPr>
            <w:r>
              <w:rPr>
                <w:szCs w:val="22"/>
              </w:rPr>
              <w:t>charity</w:t>
            </w:r>
          </w:p>
          <w:p w14:paraId="4C6F2FF6" w14:textId="079221D3" w:rsidR="009C0559" w:rsidRDefault="009C0559" w:rsidP="005E240A">
            <w:pPr>
              <w:numPr>
                <w:ilvl w:val="0"/>
                <w:numId w:val="7"/>
              </w:numPr>
              <w:spacing w:before="60" w:after="0" w:line="240" w:lineRule="auto"/>
              <w:rPr>
                <w:szCs w:val="22"/>
              </w:rPr>
            </w:pPr>
            <w:r>
              <w:rPr>
                <w:szCs w:val="22"/>
              </w:rPr>
              <w:t>limited partnerships</w:t>
            </w:r>
          </w:p>
          <w:p w14:paraId="46F34997" w14:textId="77777777" w:rsidR="009C0559" w:rsidRDefault="009C0559" w:rsidP="009C0559">
            <w:pPr>
              <w:pStyle w:val="Tabletext"/>
              <w:spacing w:before="60" w:after="60" w:line="240" w:lineRule="auto"/>
              <w:rPr>
                <w:sz w:val="22"/>
                <w:szCs w:val="22"/>
              </w:rPr>
            </w:pPr>
            <w:r>
              <w:rPr>
                <w:sz w:val="22"/>
                <w:szCs w:val="22"/>
              </w:rPr>
              <w:t>Includes</w:t>
            </w:r>
            <w:r w:rsidRPr="002C42CF">
              <w:rPr>
                <w:sz w:val="22"/>
                <w:szCs w:val="22"/>
              </w:rPr>
              <w:t xml:space="preserve"> provid</w:t>
            </w:r>
            <w:r>
              <w:rPr>
                <w:sz w:val="22"/>
                <w:szCs w:val="22"/>
              </w:rPr>
              <w:t>ing</w:t>
            </w:r>
            <w:r w:rsidRPr="002C42CF">
              <w:rPr>
                <w:sz w:val="22"/>
                <w:szCs w:val="22"/>
              </w:rPr>
              <w:t xml:space="preserve"> ongoing advice, information and support to entity management on meeting regulatory requirements</w:t>
            </w:r>
            <w:r>
              <w:rPr>
                <w:sz w:val="22"/>
                <w:szCs w:val="22"/>
              </w:rPr>
              <w:t>.</w:t>
            </w:r>
          </w:p>
          <w:p w14:paraId="7E5B0E4D" w14:textId="77777777" w:rsidR="009C0559" w:rsidRDefault="009C0559" w:rsidP="009C0559">
            <w:pPr>
              <w:pStyle w:val="Tabletext"/>
              <w:spacing w:before="60" w:after="60" w:line="240" w:lineRule="auto"/>
              <w:rPr>
                <w:sz w:val="22"/>
                <w:szCs w:val="22"/>
              </w:rPr>
            </w:pPr>
            <w:r>
              <w:rPr>
                <w:sz w:val="22"/>
                <w:szCs w:val="22"/>
              </w:rPr>
              <w:t>Records may include, but are not limited to:</w:t>
            </w:r>
          </w:p>
          <w:p w14:paraId="0640A81F" w14:textId="77777777" w:rsidR="009C0559" w:rsidRDefault="009C0559" w:rsidP="005E240A">
            <w:pPr>
              <w:numPr>
                <w:ilvl w:val="0"/>
                <w:numId w:val="7"/>
              </w:numPr>
              <w:spacing w:before="60" w:after="0" w:line="240" w:lineRule="auto"/>
              <w:rPr>
                <w:szCs w:val="22"/>
              </w:rPr>
            </w:pPr>
            <w:r w:rsidRPr="00CD60EC">
              <w:rPr>
                <w:szCs w:val="22"/>
              </w:rPr>
              <w:t xml:space="preserve">certificates of </w:t>
            </w:r>
            <w:r>
              <w:rPr>
                <w:szCs w:val="22"/>
              </w:rPr>
              <w:t>registration</w:t>
            </w:r>
          </w:p>
          <w:p w14:paraId="797E6262" w14:textId="77777777" w:rsidR="009C0559" w:rsidRDefault="009C0559" w:rsidP="005E240A">
            <w:pPr>
              <w:numPr>
                <w:ilvl w:val="0"/>
                <w:numId w:val="7"/>
              </w:numPr>
              <w:spacing w:before="60" w:after="0" w:line="240" w:lineRule="auto"/>
              <w:rPr>
                <w:szCs w:val="22"/>
              </w:rPr>
            </w:pPr>
            <w:r>
              <w:rPr>
                <w:szCs w:val="22"/>
              </w:rPr>
              <w:t>constitution documents</w:t>
            </w:r>
          </w:p>
          <w:p w14:paraId="0091417E" w14:textId="77777777" w:rsidR="009C0559" w:rsidRDefault="009C0559" w:rsidP="005E240A">
            <w:pPr>
              <w:numPr>
                <w:ilvl w:val="0"/>
                <w:numId w:val="7"/>
              </w:numPr>
              <w:spacing w:before="60" w:after="0" w:line="240" w:lineRule="auto"/>
              <w:rPr>
                <w:szCs w:val="22"/>
              </w:rPr>
            </w:pPr>
            <w:r w:rsidRPr="00516F5E">
              <w:t>changes to the rules and limited partnerships</w:t>
            </w:r>
          </w:p>
          <w:p w14:paraId="5F8A23DD" w14:textId="77777777" w:rsidR="009C0559" w:rsidRPr="00CD60EC" w:rsidRDefault="009C0559" w:rsidP="005E240A">
            <w:pPr>
              <w:numPr>
                <w:ilvl w:val="0"/>
                <w:numId w:val="7"/>
              </w:numPr>
              <w:spacing w:before="60" w:after="0" w:line="240" w:lineRule="auto"/>
              <w:rPr>
                <w:szCs w:val="22"/>
              </w:rPr>
            </w:pPr>
            <w:r w:rsidRPr="00CD60EC">
              <w:rPr>
                <w:szCs w:val="22"/>
              </w:rPr>
              <w:t>application for registration including amalgamation</w:t>
            </w:r>
          </w:p>
          <w:p w14:paraId="518EABC1" w14:textId="77777777" w:rsidR="009C0559" w:rsidRPr="00E00B4C" w:rsidRDefault="009C0559" w:rsidP="005E240A">
            <w:pPr>
              <w:numPr>
                <w:ilvl w:val="0"/>
                <w:numId w:val="7"/>
              </w:numPr>
              <w:spacing w:before="60" w:after="0" w:line="240" w:lineRule="auto"/>
              <w:rPr>
                <w:i/>
              </w:rPr>
            </w:pPr>
            <w:r w:rsidRPr="00CD60EC">
              <w:rPr>
                <w:szCs w:val="22"/>
              </w:rPr>
              <w:t>application approvals</w:t>
            </w:r>
          </w:p>
          <w:p w14:paraId="695FE194" w14:textId="77777777" w:rsidR="009C0559" w:rsidRPr="00CD60EC" w:rsidRDefault="009C0559" w:rsidP="005E240A">
            <w:pPr>
              <w:numPr>
                <w:ilvl w:val="0"/>
                <w:numId w:val="7"/>
              </w:numPr>
              <w:spacing w:before="60" w:after="0" w:line="240" w:lineRule="auto"/>
              <w:rPr>
                <w:szCs w:val="22"/>
              </w:rPr>
            </w:pPr>
            <w:r w:rsidRPr="00CD60EC">
              <w:rPr>
                <w:szCs w:val="22"/>
              </w:rPr>
              <w:t>cancellations and deregistration including vesting of property</w:t>
            </w:r>
          </w:p>
          <w:p w14:paraId="1E5DDC22" w14:textId="77777777" w:rsidR="009C0559" w:rsidRPr="00CD60EC" w:rsidRDefault="009C0559" w:rsidP="005E240A">
            <w:pPr>
              <w:numPr>
                <w:ilvl w:val="0"/>
                <w:numId w:val="7"/>
              </w:numPr>
              <w:spacing w:before="60" w:after="0" w:line="240" w:lineRule="auto"/>
              <w:rPr>
                <w:szCs w:val="22"/>
              </w:rPr>
            </w:pPr>
            <w:r w:rsidRPr="00CD60EC">
              <w:rPr>
                <w:szCs w:val="22"/>
              </w:rPr>
              <w:t>transfer to company or corporation</w:t>
            </w:r>
          </w:p>
          <w:p w14:paraId="11D2D760" w14:textId="77777777" w:rsidR="009C0559" w:rsidRPr="00CD60EC" w:rsidRDefault="009C0559" w:rsidP="005E240A">
            <w:pPr>
              <w:numPr>
                <w:ilvl w:val="0"/>
                <w:numId w:val="7"/>
              </w:numPr>
              <w:spacing w:before="60" w:after="0" w:line="240" w:lineRule="auto"/>
              <w:rPr>
                <w:szCs w:val="22"/>
              </w:rPr>
            </w:pPr>
            <w:r w:rsidRPr="00CD60EC">
              <w:rPr>
                <w:szCs w:val="22"/>
              </w:rPr>
              <w:t>revocations</w:t>
            </w:r>
          </w:p>
          <w:p w14:paraId="200A5A90" w14:textId="77777777" w:rsidR="009C0559" w:rsidRPr="00CC2397" w:rsidRDefault="009C0559" w:rsidP="005E240A">
            <w:pPr>
              <w:numPr>
                <w:ilvl w:val="0"/>
                <w:numId w:val="7"/>
              </w:numPr>
              <w:spacing w:before="60" w:line="240" w:lineRule="auto"/>
              <w:ind w:left="714" w:hanging="357"/>
              <w:rPr>
                <w:i/>
              </w:rPr>
            </w:pPr>
            <w:r w:rsidRPr="00CD60EC">
              <w:rPr>
                <w:szCs w:val="22"/>
              </w:rPr>
              <w:t>reinstatement</w:t>
            </w:r>
            <w:r>
              <w:rPr>
                <w:szCs w:val="22"/>
              </w:rPr>
              <w:t>.</w:t>
            </w:r>
          </w:p>
          <w:p w14:paraId="1ECB88E5" w14:textId="453DF55A" w:rsidR="00CC2397" w:rsidRDefault="00CC2397" w:rsidP="00951C74">
            <w:pPr>
              <w:spacing w:before="60" w:line="240" w:lineRule="auto"/>
              <w:rPr>
                <w:i/>
              </w:rPr>
            </w:pPr>
            <w:r w:rsidRPr="009C0559">
              <w:rPr>
                <w:i/>
                <w:szCs w:val="22"/>
              </w:rPr>
              <w:t xml:space="preserve">See record class </w:t>
            </w:r>
            <w:hyperlink w:anchor="Funeral_1685" w:history="1">
              <w:r w:rsidR="00951C74" w:rsidRPr="00F3241A">
                <w:rPr>
                  <w:rStyle w:val="Hyperlink"/>
                  <w:i/>
                  <w:szCs w:val="22"/>
                </w:rPr>
                <w:t>1685</w:t>
              </w:r>
            </w:hyperlink>
            <w:r>
              <w:rPr>
                <w:i/>
                <w:szCs w:val="22"/>
              </w:rPr>
              <w:t xml:space="preserve"> for records relating to funeral benefit businesses.</w:t>
            </w:r>
          </w:p>
        </w:tc>
        <w:tc>
          <w:tcPr>
            <w:tcW w:w="1087" w:type="pct"/>
            <w:gridSpan w:val="2"/>
            <w:shd w:val="clear" w:color="auto" w:fill="auto"/>
          </w:tcPr>
          <w:p w14:paraId="014F8D0A" w14:textId="70276D55" w:rsidR="009C0559" w:rsidRPr="00B647B3" w:rsidRDefault="009C0559" w:rsidP="00AD466C">
            <w:pPr>
              <w:pStyle w:val="Tabletext"/>
              <w:spacing w:before="60" w:after="60" w:line="240" w:lineRule="auto"/>
              <w:rPr>
                <w:sz w:val="22"/>
                <w:szCs w:val="22"/>
              </w:rPr>
            </w:pPr>
            <w:r>
              <w:rPr>
                <w:sz w:val="22"/>
                <w:szCs w:val="22"/>
              </w:rPr>
              <w:t>7</w:t>
            </w:r>
            <w:r w:rsidRPr="00B647B3">
              <w:rPr>
                <w:sz w:val="22"/>
                <w:szCs w:val="22"/>
              </w:rPr>
              <w:t xml:space="preserve"> years after deregistration</w:t>
            </w:r>
            <w:r>
              <w:rPr>
                <w:sz w:val="22"/>
                <w:szCs w:val="22"/>
              </w:rPr>
              <w:t xml:space="preserve"> of entity.</w:t>
            </w:r>
          </w:p>
        </w:tc>
      </w:tr>
      <w:tr w:rsidR="00E00B4C" w:rsidRPr="003147E4" w14:paraId="0500B362" w14:textId="77777777" w:rsidTr="002C0D5F">
        <w:tc>
          <w:tcPr>
            <w:tcW w:w="545" w:type="pct"/>
            <w:shd w:val="clear" w:color="auto" w:fill="auto"/>
          </w:tcPr>
          <w:p w14:paraId="63630F5F" w14:textId="4661FB2B" w:rsidR="00741D6C" w:rsidRPr="003147E4" w:rsidRDefault="00741D6C" w:rsidP="00E00B4C">
            <w:pPr>
              <w:pStyle w:val="Tabletext"/>
              <w:spacing w:before="60" w:after="60" w:line="240" w:lineRule="auto"/>
              <w:rPr>
                <w:sz w:val="22"/>
                <w:szCs w:val="22"/>
              </w:rPr>
            </w:pPr>
            <w:r>
              <w:rPr>
                <w:sz w:val="22"/>
                <w:szCs w:val="22"/>
              </w:rPr>
              <w:t>1683</w:t>
            </w:r>
          </w:p>
        </w:tc>
        <w:tc>
          <w:tcPr>
            <w:tcW w:w="3368" w:type="pct"/>
            <w:shd w:val="clear" w:color="auto" w:fill="auto"/>
          </w:tcPr>
          <w:p w14:paraId="6A518B72" w14:textId="3F3BEBFE" w:rsidR="00E00B4C" w:rsidRPr="003147E4" w:rsidRDefault="004D00EE" w:rsidP="00E00B4C">
            <w:pPr>
              <w:pStyle w:val="Heading30"/>
              <w:spacing w:before="60" w:after="60"/>
              <w:rPr>
                <w:i/>
              </w:rPr>
            </w:pPr>
            <w:r>
              <w:rPr>
                <w:i/>
              </w:rPr>
              <w:t>Regulatory reporting - r</w:t>
            </w:r>
            <w:r w:rsidR="00E00B4C">
              <w:rPr>
                <w:i/>
              </w:rPr>
              <w:t>egistration renewals and updates</w:t>
            </w:r>
          </w:p>
          <w:p w14:paraId="2B91C0BA" w14:textId="5D860487" w:rsidR="00E00B4C" w:rsidRDefault="00E00B4C" w:rsidP="00E00B4C">
            <w:pPr>
              <w:pStyle w:val="Tabletext"/>
              <w:spacing w:before="60" w:after="60" w:line="240" w:lineRule="auto"/>
              <w:rPr>
                <w:sz w:val="22"/>
                <w:szCs w:val="22"/>
              </w:rPr>
            </w:pPr>
            <w:r>
              <w:rPr>
                <w:sz w:val="22"/>
                <w:szCs w:val="22"/>
              </w:rPr>
              <w:t xml:space="preserve">Records relating to </w:t>
            </w:r>
            <w:r w:rsidR="00B07365">
              <w:rPr>
                <w:sz w:val="22"/>
                <w:szCs w:val="22"/>
              </w:rPr>
              <w:t xml:space="preserve">lodgement of updates, financial reports and details of changes by a registered </w:t>
            </w:r>
            <w:r w:rsidR="00967DD1">
              <w:rPr>
                <w:sz w:val="22"/>
                <w:szCs w:val="22"/>
              </w:rPr>
              <w:t>entity</w:t>
            </w:r>
            <w:r w:rsidR="00B07365">
              <w:rPr>
                <w:sz w:val="22"/>
                <w:szCs w:val="22"/>
              </w:rPr>
              <w:t xml:space="preserve">. </w:t>
            </w:r>
          </w:p>
          <w:p w14:paraId="555F8FBF" w14:textId="0D6B51C1" w:rsidR="00E00B4C" w:rsidRDefault="00E00B4C" w:rsidP="00E00B4C">
            <w:pPr>
              <w:pStyle w:val="Tabletext"/>
              <w:spacing w:before="60" w:after="60" w:line="240" w:lineRule="auto"/>
              <w:rPr>
                <w:sz w:val="22"/>
                <w:szCs w:val="22"/>
              </w:rPr>
            </w:pPr>
            <w:r>
              <w:rPr>
                <w:sz w:val="22"/>
                <w:szCs w:val="22"/>
              </w:rPr>
              <w:t>Records may include but are not limited to:</w:t>
            </w:r>
            <w:r w:rsidRPr="00D846F4">
              <w:rPr>
                <w:sz w:val="22"/>
                <w:szCs w:val="22"/>
              </w:rPr>
              <w:t xml:space="preserve"> </w:t>
            </w:r>
          </w:p>
          <w:p w14:paraId="3D003582" w14:textId="77777777" w:rsidR="00E00B4C" w:rsidRPr="00CD60EC" w:rsidRDefault="00E00B4C" w:rsidP="005E240A">
            <w:pPr>
              <w:numPr>
                <w:ilvl w:val="0"/>
                <w:numId w:val="7"/>
              </w:numPr>
              <w:spacing w:before="60" w:after="0" w:line="240" w:lineRule="auto"/>
              <w:rPr>
                <w:szCs w:val="22"/>
              </w:rPr>
            </w:pPr>
            <w:r w:rsidRPr="00CD60EC">
              <w:rPr>
                <w:szCs w:val="22"/>
              </w:rPr>
              <w:t>requirement to give notice of application and objections</w:t>
            </w:r>
          </w:p>
          <w:p w14:paraId="4C1186B4" w14:textId="77777777" w:rsidR="00E00B4C" w:rsidRPr="00CD60EC" w:rsidRDefault="00E00B4C" w:rsidP="005E240A">
            <w:pPr>
              <w:numPr>
                <w:ilvl w:val="0"/>
                <w:numId w:val="7"/>
              </w:numPr>
              <w:spacing w:before="60" w:after="0" w:line="240" w:lineRule="auto"/>
              <w:rPr>
                <w:szCs w:val="22"/>
              </w:rPr>
            </w:pPr>
            <w:r w:rsidRPr="00CD60EC">
              <w:rPr>
                <w:szCs w:val="22"/>
              </w:rPr>
              <w:t>unsuitable name and exemption applications</w:t>
            </w:r>
          </w:p>
          <w:p w14:paraId="67A9385D" w14:textId="77777777" w:rsidR="00E00B4C" w:rsidRPr="00CD60EC" w:rsidRDefault="00E00B4C" w:rsidP="005E240A">
            <w:pPr>
              <w:numPr>
                <w:ilvl w:val="0"/>
                <w:numId w:val="7"/>
              </w:numPr>
              <w:spacing w:before="60" w:after="0" w:line="240" w:lineRule="auto"/>
              <w:rPr>
                <w:szCs w:val="22"/>
              </w:rPr>
            </w:pPr>
            <w:r w:rsidRPr="00CD60EC">
              <w:rPr>
                <w:szCs w:val="22"/>
              </w:rPr>
              <w:t>application rejections</w:t>
            </w:r>
          </w:p>
          <w:p w14:paraId="56AFA03E" w14:textId="77777777" w:rsidR="00E00B4C" w:rsidRPr="00CD60EC" w:rsidRDefault="00E00B4C" w:rsidP="005E240A">
            <w:pPr>
              <w:numPr>
                <w:ilvl w:val="0"/>
                <w:numId w:val="7"/>
              </w:numPr>
              <w:spacing w:before="60" w:after="0" w:line="240" w:lineRule="auto"/>
              <w:rPr>
                <w:szCs w:val="22"/>
              </w:rPr>
            </w:pPr>
            <w:r w:rsidRPr="00CD60EC">
              <w:rPr>
                <w:szCs w:val="22"/>
              </w:rPr>
              <w:t>approved agreements and advertising</w:t>
            </w:r>
          </w:p>
          <w:p w14:paraId="543D788F" w14:textId="77777777" w:rsidR="00E00B4C" w:rsidRPr="00CD60EC" w:rsidRDefault="00E00B4C" w:rsidP="005E240A">
            <w:pPr>
              <w:numPr>
                <w:ilvl w:val="0"/>
                <w:numId w:val="7"/>
              </w:numPr>
              <w:spacing w:before="60" w:after="0" w:line="240" w:lineRule="auto"/>
              <w:rPr>
                <w:szCs w:val="22"/>
              </w:rPr>
            </w:pPr>
            <w:r w:rsidRPr="00CD60EC">
              <w:rPr>
                <w:szCs w:val="22"/>
              </w:rPr>
              <w:t>change or variation notifications including, but not limited to:</w:t>
            </w:r>
          </w:p>
          <w:p w14:paraId="5546F584" w14:textId="77777777" w:rsidR="00E00B4C" w:rsidRPr="00CD60EC" w:rsidRDefault="00E00B4C" w:rsidP="005E240A">
            <w:pPr>
              <w:numPr>
                <w:ilvl w:val="0"/>
                <w:numId w:val="11"/>
              </w:numPr>
              <w:spacing w:before="60" w:after="0" w:line="240" w:lineRule="auto"/>
              <w:rPr>
                <w:szCs w:val="22"/>
              </w:rPr>
            </w:pPr>
            <w:r w:rsidRPr="00CD60EC">
              <w:rPr>
                <w:szCs w:val="22"/>
              </w:rPr>
              <w:lastRenderedPageBreak/>
              <w:t>name</w:t>
            </w:r>
          </w:p>
          <w:p w14:paraId="1E45B48D" w14:textId="77777777" w:rsidR="00E00B4C" w:rsidRPr="00CD60EC" w:rsidRDefault="00E00B4C" w:rsidP="005E240A">
            <w:pPr>
              <w:numPr>
                <w:ilvl w:val="0"/>
                <w:numId w:val="11"/>
              </w:numPr>
              <w:spacing w:before="60" w:after="0" w:line="240" w:lineRule="auto"/>
              <w:rPr>
                <w:szCs w:val="22"/>
              </w:rPr>
            </w:pPr>
            <w:r w:rsidRPr="00CD60EC">
              <w:rPr>
                <w:szCs w:val="22"/>
              </w:rPr>
              <w:t>address</w:t>
            </w:r>
          </w:p>
          <w:p w14:paraId="732C58C4" w14:textId="77777777" w:rsidR="00E00B4C" w:rsidRPr="00CD60EC" w:rsidRDefault="00E00B4C" w:rsidP="005E240A">
            <w:pPr>
              <w:numPr>
                <w:ilvl w:val="0"/>
                <w:numId w:val="11"/>
              </w:numPr>
              <w:spacing w:before="60" w:after="0" w:line="240" w:lineRule="auto"/>
              <w:rPr>
                <w:szCs w:val="22"/>
              </w:rPr>
            </w:pPr>
            <w:r w:rsidRPr="00CD60EC">
              <w:rPr>
                <w:szCs w:val="22"/>
              </w:rPr>
              <w:t>rules including proposed rules</w:t>
            </w:r>
          </w:p>
          <w:p w14:paraId="0756455A" w14:textId="77777777" w:rsidR="00E00B4C" w:rsidRPr="00CD60EC" w:rsidRDefault="00E00B4C" w:rsidP="005E240A">
            <w:pPr>
              <w:numPr>
                <w:ilvl w:val="0"/>
                <w:numId w:val="11"/>
              </w:numPr>
              <w:spacing w:before="60" w:after="0" w:line="240" w:lineRule="auto"/>
              <w:rPr>
                <w:szCs w:val="22"/>
              </w:rPr>
            </w:pPr>
            <w:r w:rsidRPr="00CD60EC">
              <w:rPr>
                <w:szCs w:val="22"/>
              </w:rPr>
              <w:t>management</w:t>
            </w:r>
          </w:p>
          <w:p w14:paraId="13AF41C6" w14:textId="77777777" w:rsidR="00E00B4C" w:rsidRPr="00CD60EC" w:rsidRDefault="00E00B4C" w:rsidP="005E240A">
            <w:pPr>
              <w:numPr>
                <w:ilvl w:val="0"/>
                <w:numId w:val="11"/>
              </w:numPr>
              <w:spacing w:before="60" w:after="0" w:line="240" w:lineRule="auto"/>
              <w:rPr>
                <w:szCs w:val="22"/>
              </w:rPr>
            </w:pPr>
            <w:r w:rsidRPr="00CD60EC">
              <w:rPr>
                <w:szCs w:val="22"/>
              </w:rPr>
              <w:t>partners</w:t>
            </w:r>
          </w:p>
          <w:p w14:paraId="457B059F" w14:textId="77777777" w:rsidR="00E00B4C" w:rsidRPr="00CD60EC" w:rsidRDefault="00E00B4C" w:rsidP="005E240A">
            <w:pPr>
              <w:numPr>
                <w:ilvl w:val="0"/>
                <w:numId w:val="11"/>
              </w:numPr>
              <w:spacing w:before="60" w:after="0" w:line="240" w:lineRule="auto"/>
              <w:rPr>
                <w:szCs w:val="22"/>
              </w:rPr>
            </w:pPr>
            <w:r w:rsidRPr="00CD60EC">
              <w:rPr>
                <w:szCs w:val="22"/>
              </w:rPr>
              <w:t>variations to limit of liability</w:t>
            </w:r>
          </w:p>
          <w:p w14:paraId="1B93838C" w14:textId="77777777" w:rsidR="00E00B4C" w:rsidRPr="00CD60EC" w:rsidRDefault="00E00B4C" w:rsidP="005E240A">
            <w:pPr>
              <w:numPr>
                <w:ilvl w:val="0"/>
                <w:numId w:val="7"/>
              </w:numPr>
              <w:spacing w:before="60" w:after="0" w:line="240" w:lineRule="auto"/>
              <w:rPr>
                <w:szCs w:val="22"/>
              </w:rPr>
            </w:pPr>
            <w:r w:rsidRPr="00CD60EC">
              <w:rPr>
                <w:szCs w:val="22"/>
              </w:rPr>
              <w:t>annual returns including financial statements</w:t>
            </w:r>
          </w:p>
          <w:p w14:paraId="4627F292" w14:textId="77777777" w:rsidR="00E00B4C" w:rsidRPr="00CD60EC" w:rsidRDefault="00E00B4C" w:rsidP="005E240A">
            <w:pPr>
              <w:numPr>
                <w:ilvl w:val="0"/>
                <w:numId w:val="7"/>
              </w:numPr>
              <w:spacing w:before="60" w:after="0" w:line="240" w:lineRule="auto"/>
              <w:rPr>
                <w:szCs w:val="22"/>
              </w:rPr>
            </w:pPr>
            <w:r w:rsidRPr="00CD60EC">
              <w:rPr>
                <w:szCs w:val="22"/>
              </w:rPr>
              <w:t>liquidators reports</w:t>
            </w:r>
          </w:p>
          <w:p w14:paraId="0591B1FF" w14:textId="77777777" w:rsidR="00E00B4C" w:rsidRPr="00CD60EC" w:rsidRDefault="00E00B4C" w:rsidP="005E240A">
            <w:pPr>
              <w:numPr>
                <w:ilvl w:val="0"/>
                <w:numId w:val="7"/>
              </w:numPr>
              <w:spacing w:before="60" w:after="0" w:line="240" w:lineRule="auto"/>
              <w:rPr>
                <w:szCs w:val="22"/>
              </w:rPr>
            </w:pPr>
            <w:r w:rsidRPr="00CD60EC">
              <w:rPr>
                <w:szCs w:val="22"/>
              </w:rPr>
              <w:t>variations to schemes</w:t>
            </w:r>
          </w:p>
          <w:p w14:paraId="416626C7" w14:textId="77777777" w:rsidR="00E00B4C" w:rsidRPr="00CD60EC" w:rsidRDefault="00E00B4C" w:rsidP="005E240A">
            <w:pPr>
              <w:numPr>
                <w:ilvl w:val="0"/>
                <w:numId w:val="7"/>
              </w:numPr>
              <w:spacing w:before="60" w:after="0" w:line="240" w:lineRule="auto"/>
              <w:rPr>
                <w:szCs w:val="22"/>
              </w:rPr>
            </w:pPr>
            <w:r w:rsidRPr="00CD60EC">
              <w:rPr>
                <w:szCs w:val="22"/>
              </w:rPr>
              <w:t>assignments</w:t>
            </w:r>
          </w:p>
          <w:p w14:paraId="6D730F7A" w14:textId="77777777" w:rsidR="00E00B4C" w:rsidRPr="00CD60EC" w:rsidRDefault="00E00B4C" w:rsidP="005E240A">
            <w:pPr>
              <w:numPr>
                <w:ilvl w:val="0"/>
                <w:numId w:val="7"/>
              </w:numPr>
              <w:spacing w:before="60" w:after="0" w:line="240" w:lineRule="auto"/>
              <w:rPr>
                <w:szCs w:val="22"/>
              </w:rPr>
            </w:pPr>
            <w:r w:rsidRPr="00CD60EC">
              <w:rPr>
                <w:szCs w:val="22"/>
              </w:rPr>
              <w:t>director reports</w:t>
            </w:r>
          </w:p>
          <w:p w14:paraId="7225AAF6" w14:textId="77777777" w:rsidR="00E00B4C" w:rsidRPr="00CD60EC" w:rsidRDefault="00E00B4C" w:rsidP="005E240A">
            <w:pPr>
              <w:numPr>
                <w:ilvl w:val="0"/>
                <w:numId w:val="7"/>
              </w:numPr>
              <w:spacing w:before="60" w:after="0" w:line="240" w:lineRule="auto"/>
              <w:rPr>
                <w:szCs w:val="22"/>
              </w:rPr>
            </w:pPr>
            <w:r w:rsidRPr="00CD60EC">
              <w:rPr>
                <w:szCs w:val="22"/>
              </w:rPr>
              <w:t>disclosure statements</w:t>
            </w:r>
          </w:p>
          <w:p w14:paraId="2A1C9216" w14:textId="77777777" w:rsidR="00E00B4C" w:rsidRPr="00CD60EC" w:rsidRDefault="00E00B4C" w:rsidP="005E240A">
            <w:pPr>
              <w:numPr>
                <w:ilvl w:val="0"/>
                <w:numId w:val="7"/>
              </w:numPr>
              <w:spacing w:before="60" w:after="0" w:line="240" w:lineRule="auto"/>
              <w:rPr>
                <w:szCs w:val="22"/>
              </w:rPr>
            </w:pPr>
            <w:r w:rsidRPr="00CD60EC">
              <w:rPr>
                <w:szCs w:val="22"/>
              </w:rPr>
              <w:t>review of decision</w:t>
            </w:r>
          </w:p>
          <w:p w14:paraId="251D0D11" w14:textId="77777777" w:rsidR="00E00B4C" w:rsidRPr="00CD60EC" w:rsidRDefault="00E00B4C" w:rsidP="005E240A">
            <w:pPr>
              <w:numPr>
                <w:ilvl w:val="0"/>
                <w:numId w:val="7"/>
              </w:numPr>
              <w:spacing w:before="60" w:after="0" w:line="240" w:lineRule="auto"/>
              <w:rPr>
                <w:szCs w:val="22"/>
              </w:rPr>
            </w:pPr>
            <w:r w:rsidRPr="00CD60EC">
              <w:rPr>
                <w:szCs w:val="22"/>
              </w:rPr>
              <w:t>notices</w:t>
            </w:r>
          </w:p>
          <w:p w14:paraId="668B0C0E" w14:textId="77777777" w:rsidR="00E00B4C" w:rsidRPr="00CD60EC" w:rsidRDefault="00E00B4C" w:rsidP="005E240A">
            <w:pPr>
              <w:numPr>
                <w:ilvl w:val="0"/>
                <w:numId w:val="7"/>
              </w:numPr>
              <w:spacing w:before="60" w:after="0" w:line="240" w:lineRule="auto"/>
              <w:rPr>
                <w:szCs w:val="22"/>
              </w:rPr>
            </w:pPr>
            <w:r w:rsidRPr="00CD60EC">
              <w:rPr>
                <w:szCs w:val="22"/>
              </w:rPr>
              <w:t>memorandums of satisfaction</w:t>
            </w:r>
          </w:p>
          <w:p w14:paraId="67200763" w14:textId="77777777" w:rsidR="00E00B4C" w:rsidRDefault="00E00B4C" w:rsidP="005E240A">
            <w:pPr>
              <w:numPr>
                <w:ilvl w:val="0"/>
                <w:numId w:val="7"/>
              </w:numPr>
              <w:spacing w:before="60" w:after="0" w:line="240" w:lineRule="auto"/>
              <w:rPr>
                <w:szCs w:val="22"/>
              </w:rPr>
            </w:pPr>
            <w:r w:rsidRPr="00CD60EC">
              <w:rPr>
                <w:szCs w:val="22"/>
              </w:rPr>
              <w:t>searchable and non-searchable register information</w:t>
            </w:r>
          </w:p>
          <w:p w14:paraId="731752AC" w14:textId="77777777" w:rsidR="00FC1B35" w:rsidRDefault="00FC1B35" w:rsidP="005E240A">
            <w:pPr>
              <w:numPr>
                <w:ilvl w:val="0"/>
                <w:numId w:val="7"/>
              </w:numPr>
              <w:spacing w:before="60" w:after="0" w:line="240" w:lineRule="auto"/>
              <w:rPr>
                <w:szCs w:val="22"/>
              </w:rPr>
            </w:pPr>
            <w:r w:rsidRPr="00CD60EC">
              <w:rPr>
                <w:szCs w:val="22"/>
              </w:rPr>
              <w:t>request for extension of time</w:t>
            </w:r>
            <w:r>
              <w:rPr>
                <w:szCs w:val="22"/>
              </w:rPr>
              <w:t>.</w:t>
            </w:r>
          </w:p>
          <w:p w14:paraId="7F5A6ED7" w14:textId="0D1419D9" w:rsidR="009D3F2A" w:rsidRPr="009D3F2A" w:rsidRDefault="009D3F2A" w:rsidP="00951C74">
            <w:pPr>
              <w:spacing w:before="60" w:after="0" w:line="240" w:lineRule="auto"/>
              <w:rPr>
                <w:i/>
                <w:szCs w:val="22"/>
              </w:rPr>
            </w:pPr>
            <w:r w:rsidRPr="009D3F2A">
              <w:rPr>
                <w:i/>
                <w:szCs w:val="22"/>
              </w:rPr>
              <w:t xml:space="preserve">See record class </w:t>
            </w:r>
            <w:hyperlink w:anchor="Complaints_1671" w:history="1">
              <w:r w:rsidR="00951C74" w:rsidRPr="00F3241A">
                <w:rPr>
                  <w:rStyle w:val="Hyperlink"/>
                  <w:i/>
                  <w:szCs w:val="22"/>
                </w:rPr>
                <w:t>1671</w:t>
              </w:r>
            </w:hyperlink>
            <w:r w:rsidRPr="009D3F2A">
              <w:rPr>
                <w:i/>
                <w:szCs w:val="22"/>
              </w:rPr>
              <w:t xml:space="preserve"> for records relating to complaints and enquiries.</w:t>
            </w:r>
          </w:p>
        </w:tc>
        <w:tc>
          <w:tcPr>
            <w:tcW w:w="1087" w:type="pct"/>
            <w:gridSpan w:val="2"/>
            <w:shd w:val="clear" w:color="auto" w:fill="auto"/>
          </w:tcPr>
          <w:p w14:paraId="4B5B34AD" w14:textId="2BDA145F" w:rsidR="00E00B4C" w:rsidRPr="00B647B3" w:rsidRDefault="00E00B4C" w:rsidP="00AD466C">
            <w:pPr>
              <w:pStyle w:val="Tabletext"/>
              <w:spacing w:before="60" w:after="60" w:line="240" w:lineRule="auto"/>
              <w:rPr>
                <w:sz w:val="22"/>
                <w:szCs w:val="22"/>
              </w:rPr>
            </w:pPr>
            <w:r w:rsidRPr="00B647B3">
              <w:rPr>
                <w:sz w:val="22"/>
                <w:szCs w:val="22"/>
              </w:rPr>
              <w:lastRenderedPageBreak/>
              <w:t>7 year</w:t>
            </w:r>
            <w:r>
              <w:rPr>
                <w:sz w:val="22"/>
                <w:szCs w:val="22"/>
              </w:rPr>
              <w:t xml:space="preserve">s after </w:t>
            </w:r>
            <w:r w:rsidR="00AD466C">
              <w:rPr>
                <w:sz w:val="22"/>
                <w:szCs w:val="22"/>
              </w:rPr>
              <w:t>business action completed</w:t>
            </w:r>
            <w:r>
              <w:rPr>
                <w:sz w:val="22"/>
                <w:szCs w:val="22"/>
              </w:rPr>
              <w:t>.</w:t>
            </w:r>
          </w:p>
        </w:tc>
      </w:tr>
      <w:tr w:rsidR="00E00B4C" w:rsidRPr="003147E4" w14:paraId="7E49A217" w14:textId="77777777" w:rsidTr="002C0D5F">
        <w:tc>
          <w:tcPr>
            <w:tcW w:w="545" w:type="pct"/>
            <w:shd w:val="clear" w:color="auto" w:fill="auto"/>
          </w:tcPr>
          <w:p w14:paraId="06EE649D" w14:textId="73293FD6" w:rsidR="00741D6C" w:rsidRDefault="00741D6C" w:rsidP="00E00B4C">
            <w:pPr>
              <w:pStyle w:val="Tabletext"/>
              <w:spacing w:before="60" w:after="60" w:line="240" w:lineRule="auto"/>
              <w:rPr>
                <w:sz w:val="22"/>
                <w:szCs w:val="22"/>
              </w:rPr>
            </w:pPr>
            <w:r>
              <w:rPr>
                <w:sz w:val="22"/>
                <w:szCs w:val="22"/>
              </w:rPr>
              <w:t>1684</w:t>
            </w:r>
          </w:p>
        </w:tc>
        <w:tc>
          <w:tcPr>
            <w:tcW w:w="3368" w:type="pct"/>
            <w:shd w:val="clear" w:color="auto" w:fill="auto"/>
          </w:tcPr>
          <w:p w14:paraId="02967C62" w14:textId="77777777" w:rsidR="00E00B4C" w:rsidRPr="005460F4" w:rsidRDefault="00E00B4C" w:rsidP="00E00B4C">
            <w:pPr>
              <w:pStyle w:val="Heading30"/>
              <w:spacing w:before="60" w:after="60"/>
              <w:rPr>
                <w:i/>
              </w:rPr>
            </w:pPr>
            <w:r w:rsidRPr="005460F4">
              <w:rPr>
                <w:i/>
              </w:rPr>
              <w:t>Withdrawals (withdrawn or lapsed applications)</w:t>
            </w:r>
          </w:p>
          <w:p w14:paraId="622E688F" w14:textId="50E0797D" w:rsidR="00E00B4C" w:rsidRPr="000727B5" w:rsidRDefault="00E00B4C" w:rsidP="00E00B4C">
            <w:pPr>
              <w:pStyle w:val="Heading30"/>
              <w:spacing w:before="60" w:after="60"/>
              <w:rPr>
                <w:b w:val="0"/>
              </w:rPr>
            </w:pPr>
            <w:r>
              <w:rPr>
                <w:b w:val="0"/>
              </w:rPr>
              <w:t>Records relating to applications withdrawn by applicant or lapsed due to incompleteness.</w:t>
            </w:r>
          </w:p>
        </w:tc>
        <w:tc>
          <w:tcPr>
            <w:tcW w:w="1087" w:type="pct"/>
            <w:gridSpan w:val="2"/>
            <w:shd w:val="clear" w:color="auto" w:fill="auto"/>
          </w:tcPr>
          <w:p w14:paraId="296E0F31" w14:textId="09812B72" w:rsidR="00E00B4C" w:rsidRPr="003147E4" w:rsidRDefault="00E00B4C" w:rsidP="00E00B4C">
            <w:pPr>
              <w:pStyle w:val="Tabletext"/>
              <w:spacing w:before="60" w:after="60" w:line="240" w:lineRule="auto"/>
              <w:rPr>
                <w:sz w:val="22"/>
                <w:szCs w:val="22"/>
              </w:rPr>
            </w:pPr>
            <w:r>
              <w:rPr>
                <w:sz w:val="22"/>
                <w:szCs w:val="22"/>
              </w:rPr>
              <w:t>1 year after date of withdrawal or lapse.</w:t>
            </w:r>
          </w:p>
        </w:tc>
      </w:tr>
      <w:tr w:rsidR="00E00B4C" w:rsidRPr="003147E4" w14:paraId="4946EBE9" w14:textId="77777777" w:rsidTr="002C0D5F">
        <w:tc>
          <w:tcPr>
            <w:tcW w:w="5000" w:type="pct"/>
            <w:gridSpan w:val="4"/>
            <w:shd w:val="clear" w:color="auto" w:fill="auto"/>
          </w:tcPr>
          <w:p w14:paraId="69DC3DA5" w14:textId="2077E5BE" w:rsidR="00E00B4C" w:rsidRDefault="00E00B4C" w:rsidP="00E00B4C">
            <w:pPr>
              <w:pStyle w:val="Heading30"/>
              <w:spacing w:before="60" w:after="60"/>
            </w:pPr>
            <w:r>
              <w:t>FUNERAL BENEFIT BUSINESSES AND FUNERAL BENEFIT TRUST</w:t>
            </w:r>
            <w:r w:rsidRPr="00810F1E">
              <w:t xml:space="preserve"> FUND</w:t>
            </w:r>
            <w:r w:rsidR="00E73254">
              <w:t>S</w:t>
            </w:r>
          </w:p>
          <w:p w14:paraId="4135D55B" w14:textId="77777777" w:rsidR="00E00B4C" w:rsidRPr="00C27230" w:rsidRDefault="00E00B4C" w:rsidP="00E00B4C">
            <w:pPr>
              <w:pStyle w:val="Tabletext"/>
              <w:spacing w:before="60" w:after="60" w:line="240" w:lineRule="auto"/>
              <w:rPr>
                <w:i/>
                <w:sz w:val="22"/>
                <w:szCs w:val="22"/>
              </w:rPr>
            </w:pPr>
            <w:r w:rsidRPr="00AD7CB2">
              <w:rPr>
                <w:i/>
                <w:sz w:val="22"/>
                <w:szCs w:val="22"/>
              </w:rPr>
              <w:t xml:space="preserve">The activity of </w:t>
            </w:r>
            <w:r>
              <w:rPr>
                <w:i/>
                <w:sz w:val="22"/>
                <w:szCs w:val="22"/>
              </w:rPr>
              <w:t xml:space="preserve">ensuring appropriate processes are followed by Queensland funeral benefit providers under the </w:t>
            </w:r>
            <w:r w:rsidRPr="00D64E25">
              <w:rPr>
                <w:i/>
                <w:sz w:val="22"/>
                <w:szCs w:val="22"/>
              </w:rPr>
              <w:t xml:space="preserve">Funeral Benefit Business Act 1982 </w:t>
            </w:r>
            <w:r>
              <w:rPr>
                <w:i/>
                <w:sz w:val="22"/>
                <w:szCs w:val="22"/>
              </w:rPr>
              <w:t xml:space="preserve">(FBBA) </w:t>
            </w:r>
            <w:r w:rsidRPr="00AD7CB2">
              <w:rPr>
                <w:i/>
                <w:sz w:val="22"/>
                <w:szCs w:val="22"/>
              </w:rPr>
              <w:t>and maintaining a public re</w:t>
            </w:r>
            <w:r>
              <w:rPr>
                <w:i/>
                <w:sz w:val="22"/>
                <w:szCs w:val="22"/>
              </w:rPr>
              <w:t>gister of funeral benefit businesses. Activities include but are not limited to considering rules, annual returns, claim decisions and appeals.</w:t>
            </w:r>
          </w:p>
        </w:tc>
      </w:tr>
      <w:tr w:rsidR="00E00B4C" w:rsidRPr="003147E4" w14:paraId="221A7128" w14:textId="77777777" w:rsidTr="002C0D5F">
        <w:tc>
          <w:tcPr>
            <w:tcW w:w="545" w:type="pct"/>
            <w:shd w:val="clear" w:color="auto" w:fill="auto"/>
          </w:tcPr>
          <w:p w14:paraId="40D51A0B" w14:textId="64F0642D" w:rsidR="00741D6C" w:rsidRDefault="00741D6C" w:rsidP="00E00B4C">
            <w:pPr>
              <w:pStyle w:val="Tabletext"/>
              <w:spacing w:before="60" w:after="60" w:line="240" w:lineRule="auto"/>
              <w:rPr>
                <w:sz w:val="22"/>
                <w:szCs w:val="22"/>
              </w:rPr>
            </w:pPr>
            <w:bookmarkStart w:id="17" w:name="Funeral_1685"/>
            <w:r>
              <w:rPr>
                <w:sz w:val="22"/>
                <w:szCs w:val="22"/>
              </w:rPr>
              <w:t>1685</w:t>
            </w:r>
            <w:bookmarkEnd w:id="17"/>
          </w:p>
        </w:tc>
        <w:tc>
          <w:tcPr>
            <w:tcW w:w="3368" w:type="pct"/>
            <w:shd w:val="clear" w:color="auto" w:fill="auto"/>
          </w:tcPr>
          <w:p w14:paraId="4A54EE03" w14:textId="77777777" w:rsidR="00E00B4C" w:rsidRDefault="00E00B4C" w:rsidP="00E00B4C">
            <w:pPr>
              <w:pStyle w:val="Tabletext"/>
              <w:spacing w:before="60" w:after="60" w:line="240" w:lineRule="auto"/>
              <w:rPr>
                <w:b/>
                <w:i/>
                <w:sz w:val="22"/>
                <w:szCs w:val="22"/>
              </w:rPr>
            </w:pPr>
            <w:r>
              <w:rPr>
                <w:b/>
                <w:i/>
                <w:sz w:val="22"/>
                <w:szCs w:val="22"/>
              </w:rPr>
              <w:t xml:space="preserve">Funeral benefit businesses </w:t>
            </w:r>
          </w:p>
          <w:p w14:paraId="32B56D9C" w14:textId="4947FA3E" w:rsidR="00E73254" w:rsidRDefault="00E73254" w:rsidP="00E00B4C">
            <w:pPr>
              <w:pStyle w:val="Tabletext"/>
              <w:spacing w:before="60" w:after="60" w:line="240" w:lineRule="auto"/>
              <w:rPr>
                <w:sz w:val="22"/>
                <w:szCs w:val="22"/>
              </w:rPr>
            </w:pPr>
            <w:r>
              <w:rPr>
                <w:sz w:val="22"/>
                <w:szCs w:val="22"/>
              </w:rPr>
              <w:t xml:space="preserve">Records relating to the management of funeral benefit matters in accordance with the </w:t>
            </w:r>
            <w:r w:rsidRPr="00E73254">
              <w:rPr>
                <w:i/>
                <w:sz w:val="22"/>
                <w:szCs w:val="22"/>
              </w:rPr>
              <w:t>Funeral Benefit Business Act 1982</w:t>
            </w:r>
            <w:r w:rsidR="00AA316E">
              <w:rPr>
                <w:i/>
                <w:sz w:val="22"/>
                <w:szCs w:val="22"/>
              </w:rPr>
              <w:t>.</w:t>
            </w:r>
          </w:p>
          <w:p w14:paraId="373BD703" w14:textId="77777777" w:rsidR="00E00B4C" w:rsidRDefault="00E00B4C" w:rsidP="00E00B4C">
            <w:pPr>
              <w:pStyle w:val="Tabletext"/>
              <w:spacing w:before="60" w:after="60" w:line="240" w:lineRule="auto"/>
              <w:rPr>
                <w:sz w:val="22"/>
                <w:szCs w:val="22"/>
              </w:rPr>
            </w:pPr>
            <w:r>
              <w:rPr>
                <w:sz w:val="22"/>
                <w:szCs w:val="22"/>
              </w:rPr>
              <w:t xml:space="preserve">Records relating to: </w:t>
            </w:r>
          </w:p>
          <w:p w14:paraId="0DB4537A" w14:textId="7647AC24" w:rsidR="00E00B4C" w:rsidRDefault="00E00B4C" w:rsidP="005E240A">
            <w:pPr>
              <w:pStyle w:val="Tabletext"/>
              <w:numPr>
                <w:ilvl w:val="0"/>
                <w:numId w:val="7"/>
              </w:numPr>
              <w:spacing w:before="60" w:after="60" w:line="240" w:lineRule="auto"/>
              <w:rPr>
                <w:sz w:val="22"/>
                <w:szCs w:val="22"/>
              </w:rPr>
            </w:pPr>
            <w:r>
              <w:rPr>
                <w:sz w:val="22"/>
                <w:szCs w:val="22"/>
              </w:rPr>
              <w:t>funeral benefits businesses includ</w:t>
            </w:r>
            <w:r w:rsidR="00E73254">
              <w:rPr>
                <w:sz w:val="22"/>
                <w:szCs w:val="22"/>
              </w:rPr>
              <w:t>e but not limited to</w:t>
            </w:r>
            <w:r>
              <w:rPr>
                <w:sz w:val="22"/>
                <w:szCs w:val="22"/>
              </w:rPr>
              <w:t>:</w:t>
            </w:r>
          </w:p>
          <w:p w14:paraId="59F32A70" w14:textId="77777777" w:rsidR="00E00B4C" w:rsidRDefault="00E00B4C" w:rsidP="005E240A">
            <w:pPr>
              <w:pStyle w:val="Tabletext"/>
              <w:numPr>
                <w:ilvl w:val="0"/>
                <w:numId w:val="12"/>
              </w:numPr>
              <w:spacing w:before="60" w:after="60" w:line="240" w:lineRule="auto"/>
              <w:rPr>
                <w:sz w:val="22"/>
                <w:szCs w:val="22"/>
              </w:rPr>
            </w:pPr>
            <w:r>
              <w:rPr>
                <w:sz w:val="22"/>
                <w:szCs w:val="22"/>
              </w:rPr>
              <w:t>applications before 1 December 2003</w:t>
            </w:r>
          </w:p>
          <w:p w14:paraId="60AFF097" w14:textId="77777777" w:rsidR="00E00B4C" w:rsidRDefault="00E00B4C" w:rsidP="005E240A">
            <w:pPr>
              <w:pStyle w:val="Tabletext"/>
              <w:numPr>
                <w:ilvl w:val="0"/>
                <w:numId w:val="12"/>
              </w:numPr>
              <w:spacing w:before="60" w:after="60" w:line="240" w:lineRule="auto"/>
              <w:rPr>
                <w:sz w:val="22"/>
                <w:szCs w:val="22"/>
              </w:rPr>
            </w:pPr>
            <w:r>
              <w:rPr>
                <w:sz w:val="22"/>
                <w:szCs w:val="22"/>
              </w:rPr>
              <w:t>rules</w:t>
            </w:r>
          </w:p>
          <w:p w14:paraId="58ADABE4" w14:textId="77777777" w:rsidR="00E00B4C" w:rsidRDefault="00E00B4C" w:rsidP="005E240A">
            <w:pPr>
              <w:pStyle w:val="Tabletext"/>
              <w:numPr>
                <w:ilvl w:val="0"/>
                <w:numId w:val="12"/>
              </w:numPr>
              <w:spacing w:before="60" w:after="60" w:line="240" w:lineRule="auto"/>
              <w:rPr>
                <w:sz w:val="22"/>
                <w:szCs w:val="22"/>
              </w:rPr>
            </w:pPr>
            <w:r>
              <w:rPr>
                <w:sz w:val="22"/>
                <w:szCs w:val="22"/>
              </w:rPr>
              <w:t>changes</w:t>
            </w:r>
          </w:p>
          <w:p w14:paraId="19A83E45" w14:textId="77777777" w:rsidR="00E00B4C" w:rsidRDefault="00E00B4C" w:rsidP="005E240A">
            <w:pPr>
              <w:pStyle w:val="Tabletext"/>
              <w:numPr>
                <w:ilvl w:val="0"/>
                <w:numId w:val="12"/>
              </w:numPr>
              <w:spacing w:before="60" w:after="60" w:line="240" w:lineRule="auto"/>
              <w:rPr>
                <w:sz w:val="22"/>
                <w:szCs w:val="22"/>
              </w:rPr>
            </w:pPr>
            <w:r>
              <w:rPr>
                <w:sz w:val="22"/>
                <w:szCs w:val="22"/>
              </w:rPr>
              <w:t>annual returns</w:t>
            </w:r>
          </w:p>
          <w:p w14:paraId="66699AE1" w14:textId="77777777" w:rsidR="00E00B4C" w:rsidRPr="003E073B" w:rsidRDefault="00E00B4C" w:rsidP="005E240A">
            <w:pPr>
              <w:pStyle w:val="Tabletext"/>
              <w:numPr>
                <w:ilvl w:val="0"/>
                <w:numId w:val="12"/>
              </w:numPr>
              <w:spacing w:before="60" w:after="60" w:line="240" w:lineRule="auto"/>
              <w:rPr>
                <w:sz w:val="22"/>
                <w:szCs w:val="22"/>
              </w:rPr>
            </w:pPr>
            <w:r w:rsidRPr="003E073B">
              <w:rPr>
                <w:sz w:val="22"/>
                <w:szCs w:val="22"/>
              </w:rPr>
              <w:t>audit reports</w:t>
            </w:r>
          </w:p>
          <w:p w14:paraId="7C67A451" w14:textId="77777777" w:rsidR="00E00B4C" w:rsidRDefault="00E00B4C" w:rsidP="005E240A">
            <w:pPr>
              <w:pStyle w:val="Tabletext"/>
              <w:numPr>
                <w:ilvl w:val="0"/>
                <w:numId w:val="7"/>
              </w:numPr>
              <w:spacing w:before="60" w:after="60" w:line="240" w:lineRule="auto"/>
              <w:rPr>
                <w:sz w:val="22"/>
                <w:szCs w:val="22"/>
              </w:rPr>
            </w:pPr>
            <w:r>
              <w:rPr>
                <w:sz w:val="22"/>
                <w:szCs w:val="22"/>
              </w:rPr>
              <w:t>valuations made by the State Actuary of the Funeral Benefits Trust Fund including letters to directors of Funeral Benefit businesses detailing:</w:t>
            </w:r>
          </w:p>
          <w:p w14:paraId="2F17BDEC" w14:textId="77777777" w:rsidR="00E00B4C" w:rsidRDefault="00E00B4C" w:rsidP="005E240A">
            <w:pPr>
              <w:pStyle w:val="Tabletext"/>
              <w:numPr>
                <w:ilvl w:val="0"/>
                <w:numId w:val="12"/>
              </w:numPr>
              <w:spacing w:before="60" w:after="60" w:line="240" w:lineRule="auto"/>
              <w:rPr>
                <w:sz w:val="22"/>
                <w:szCs w:val="22"/>
              </w:rPr>
            </w:pPr>
            <w:r>
              <w:rPr>
                <w:sz w:val="22"/>
                <w:szCs w:val="22"/>
              </w:rPr>
              <w:t>directions</w:t>
            </w:r>
          </w:p>
          <w:p w14:paraId="3CDDE25F" w14:textId="77777777" w:rsidR="00E00B4C" w:rsidRDefault="00E00B4C" w:rsidP="005E240A">
            <w:pPr>
              <w:pStyle w:val="Tabletext"/>
              <w:numPr>
                <w:ilvl w:val="0"/>
                <w:numId w:val="12"/>
              </w:numPr>
              <w:spacing w:before="60" w:after="60" w:line="240" w:lineRule="auto"/>
              <w:rPr>
                <w:sz w:val="22"/>
                <w:szCs w:val="22"/>
              </w:rPr>
            </w:pPr>
            <w:r>
              <w:rPr>
                <w:sz w:val="22"/>
                <w:szCs w:val="22"/>
              </w:rPr>
              <w:t>various claims</w:t>
            </w:r>
          </w:p>
          <w:p w14:paraId="274235F9" w14:textId="77777777" w:rsidR="00E00B4C" w:rsidRDefault="00E00B4C" w:rsidP="005E240A">
            <w:pPr>
              <w:pStyle w:val="Tabletext"/>
              <w:numPr>
                <w:ilvl w:val="0"/>
                <w:numId w:val="12"/>
              </w:numPr>
              <w:spacing w:before="60" w:after="60" w:line="240" w:lineRule="auto"/>
              <w:rPr>
                <w:sz w:val="22"/>
                <w:szCs w:val="22"/>
              </w:rPr>
            </w:pPr>
            <w:r>
              <w:rPr>
                <w:sz w:val="22"/>
                <w:szCs w:val="22"/>
              </w:rPr>
              <w:t>benefits payable</w:t>
            </w:r>
          </w:p>
          <w:p w14:paraId="2A45FB57" w14:textId="77777777" w:rsidR="00E00B4C" w:rsidRPr="00BB58FC" w:rsidRDefault="00E00B4C" w:rsidP="005E240A">
            <w:pPr>
              <w:pStyle w:val="Tabletext"/>
              <w:numPr>
                <w:ilvl w:val="0"/>
                <w:numId w:val="7"/>
              </w:numPr>
              <w:spacing w:before="60" w:after="60" w:line="240" w:lineRule="auto"/>
              <w:rPr>
                <w:sz w:val="22"/>
                <w:szCs w:val="22"/>
              </w:rPr>
            </w:pPr>
            <w:r>
              <w:rPr>
                <w:sz w:val="22"/>
                <w:szCs w:val="22"/>
              </w:rPr>
              <w:t xml:space="preserve">businesses registered before the </w:t>
            </w:r>
            <w:r w:rsidRPr="00BB58FC">
              <w:rPr>
                <w:i/>
                <w:sz w:val="22"/>
                <w:szCs w:val="22"/>
              </w:rPr>
              <w:t>Funeral Benefit Business Act 1982</w:t>
            </w:r>
            <w:r>
              <w:rPr>
                <w:sz w:val="22"/>
                <w:szCs w:val="22"/>
              </w:rPr>
              <w:t>. Records include but are not limited to:</w:t>
            </w:r>
          </w:p>
          <w:p w14:paraId="59C7FC90" w14:textId="77777777" w:rsidR="00E00B4C" w:rsidRDefault="00E00B4C" w:rsidP="005E240A">
            <w:pPr>
              <w:pStyle w:val="Tabletext"/>
              <w:numPr>
                <w:ilvl w:val="0"/>
                <w:numId w:val="18"/>
              </w:numPr>
              <w:spacing w:before="60" w:after="60" w:line="240" w:lineRule="auto"/>
              <w:rPr>
                <w:sz w:val="22"/>
                <w:szCs w:val="22"/>
              </w:rPr>
            </w:pPr>
            <w:r>
              <w:rPr>
                <w:sz w:val="22"/>
                <w:szCs w:val="22"/>
              </w:rPr>
              <w:t>copies of contracts</w:t>
            </w:r>
          </w:p>
          <w:p w14:paraId="683116D9" w14:textId="77777777" w:rsidR="00E00B4C" w:rsidRDefault="00E00B4C" w:rsidP="005E240A">
            <w:pPr>
              <w:pStyle w:val="Tabletext"/>
              <w:numPr>
                <w:ilvl w:val="0"/>
                <w:numId w:val="18"/>
              </w:numPr>
              <w:spacing w:before="60" w:after="60" w:line="240" w:lineRule="auto"/>
              <w:rPr>
                <w:sz w:val="22"/>
                <w:szCs w:val="22"/>
              </w:rPr>
            </w:pPr>
            <w:r>
              <w:rPr>
                <w:sz w:val="22"/>
                <w:szCs w:val="22"/>
              </w:rPr>
              <w:t>minutes of meetings</w:t>
            </w:r>
          </w:p>
          <w:p w14:paraId="3E466A4F" w14:textId="77777777" w:rsidR="00E00B4C" w:rsidRDefault="00E00B4C" w:rsidP="005E240A">
            <w:pPr>
              <w:pStyle w:val="Tabletext"/>
              <w:numPr>
                <w:ilvl w:val="0"/>
                <w:numId w:val="18"/>
              </w:numPr>
              <w:spacing w:before="60" w:after="60" w:line="240" w:lineRule="auto"/>
              <w:rPr>
                <w:sz w:val="22"/>
                <w:szCs w:val="22"/>
              </w:rPr>
            </w:pPr>
            <w:r>
              <w:rPr>
                <w:sz w:val="22"/>
                <w:szCs w:val="22"/>
              </w:rPr>
              <w:t>financial statements</w:t>
            </w:r>
          </w:p>
          <w:p w14:paraId="2E692C9F" w14:textId="77777777" w:rsidR="00E00B4C" w:rsidRDefault="00E00B4C" w:rsidP="005E240A">
            <w:pPr>
              <w:pStyle w:val="Tabletext"/>
              <w:numPr>
                <w:ilvl w:val="0"/>
                <w:numId w:val="18"/>
              </w:numPr>
              <w:spacing w:before="60" w:after="60" w:line="240" w:lineRule="auto"/>
              <w:rPr>
                <w:sz w:val="22"/>
                <w:szCs w:val="22"/>
              </w:rPr>
            </w:pPr>
            <w:r>
              <w:rPr>
                <w:sz w:val="22"/>
                <w:szCs w:val="22"/>
              </w:rPr>
              <w:t>claim summaries</w:t>
            </w:r>
          </w:p>
          <w:p w14:paraId="13E19406" w14:textId="77777777" w:rsidR="00E00B4C" w:rsidRDefault="00E00B4C" w:rsidP="005E240A">
            <w:pPr>
              <w:pStyle w:val="Tabletext"/>
              <w:numPr>
                <w:ilvl w:val="0"/>
                <w:numId w:val="18"/>
              </w:numPr>
              <w:spacing w:before="60" w:after="60" w:line="240" w:lineRule="auto"/>
              <w:rPr>
                <w:sz w:val="22"/>
                <w:szCs w:val="22"/>
              </w:rPr>
            </w:pPr>
            <w:r>
              <w:rPr>
                <w:sz w:val="22"/>
                <w:szCs w:val="22"/>
              </w:rPr>
              <w:t>trustee instructions</w:t>
            </w:r>
          </w:p>
          <w:p w14:paraId="4FF86FDD" w14:textId="75EC3A41" w:rsidR="00E00B4C" w:rsidRPr="00EE1729" w:rsidRDefault="00E00B4C" w:rsidP="005E240A">
            <w:pPr>
              <w:pStyle w:val="Tabletext"/>
              <w:numPr>
                <w:ilvl w:val="0"/>
                <w:numId w:val="18"/>
              </w:numPr>
              <w:spacing w:before="60" w:after="60" w:line="240" w:lineRule="auto"/>
              <w:rPr>
                <w:sz w:val="22"/>
                <w:szCs w:val="22"/>
              </w:rPr>
            </w:pPr>
            <w:r>
              <w:rPr>
                <w:sz w:val="22"/>
                <w:szCs w:val="22"/>
              </w:rPr>
              <w:t>precedent examples</w:t>
            </w:r>
          </w:p>
        </w:tc>
        <w:tc>
          <w:tcPr>
            <w:tcW w:w="1087" w:type="pct"/>
            <w:gridSpan w:val="2"/>
            <w:shd w:val="clear" w:color="auto" w:fill="auto"/>
          </w:tcPr>
          <w:p w14:paraId="08E84848" w14:textId="60CEB4F2" w:rsidR="00E00B4C" w:rsidRDefault="00E00B4C" w:rsidP="00E00B4C">
            <w:pPr>
              <w:pStyle w:val="Tabletext"/>
              <w:spacing w:before="60" w:after="60" w:line="240" w:lineRule="auto"/>
              <w:rPr>
                <w:sz w:val="22"/>
                <w:szCs w:val="22"/>
              </w:rPr>
            </w:pPr>
            <w:r>
              <w:rPr>
                <w:sz w:val="22"/>
                <w:szCs w:val="22"/>
              </w:rPr>
              <w:t>20 years after closure of fund or cancellation of registration, whichever relates.</w:t>
            </w:r>
          </w:p>
          <w:p w14:paraId="5229A136" w14:textId="67F85C70" w:rsidR="00E00B4C" w:rsidRDefault="00E00B4C" w:rsidP="00E00B4C">
            <w:pPr>
              <w:pStyle w:val="Tabletext"/>
              <w:spacing w:before="60" w:after="60" w:line="240" w:lineRule="auto"/>
              <w:rPr>
                <w:sz w:val="22"/>
                <w:szCs w:val="22"/>
              </w:rPr>
            </w:pPr>
          </w:p>
        </w:tc>
      </w:tr>
      <w:tr w:rsidR="00E00B4C" w:rsidRPr="003147E4" w14:paraId="5A86809A" w14:textId="77777777" w:rsidTr="002C0D5F">
        <w:tc>
          <w:tcPr>
            <w:tcW w:w="545" w:type="pct"/>
            <w:shd w:val="clear" w:color="auto" w:fill="auto"/>
          </w:tcPr>
          <w:p w14:paraId="6B73CB85" w14:textId="5482D853" w:rsidR="00741D6C" w:rsidRDefault="00741D6C" w:rsidP="00E00B4C">
            <w:pPr>
              <w:pStyle w:val="Tabletext"/>
              <w:spacing w:before="60" w:after="60" w:line="240" w:lineRule="auto"/>
              <w:rPr>
                <w:sz w:val="22"/>
                <w:szCs w:val="22"/>
              </w:rPr>
            </w:pPr>
            <w:bookmarkStart w:id="18" w:name="ClaimsDetermination_1686"/>
            <w:r>
              <w:rPr>
                <w:sz w:val="22"/>
                <w:szCs w:val="22"/>
              </w:rPr>
              <w:t>1686</w:t>
            </w:r>
            <w:bookmarkEnd w:id="18"/>
          </w:p>
        </w:tc>
        <w:tc>
          <w:tcPr>
            <w:tcW w:w="3368" w:type="pct"/>
            <w:shd w:val="clear" w:color="auto" w:fill="auto"/>
          </w:tcPr>
          <w:p w14:paraId="54538BCD" w14:textId="77777777" w:rsidR="00E00B4C" w:rsidRPr="003147E4" w:rsidRDefault="00E00B4C" w:rsidP="00E00B4C">
            <w:pPr>
              <w:pStyle w:val="Heading30"/>
              <w:spacing w:before="60" w:after="60"/>
              <w:rPr>
                <w:i/>
              </w:rPr>
            </w:pPr>
            <w:r>
              <w:rPr>
                <w:i/>
              </w:rPr>
              <w:t>Claim determination</w:t>
            </w:r>
          </w:p>
          <w:p w14:paraId="5776FB4C" w14:textId="553611EC" w:rsidR="00EF6374" w:rsidRDefault="00E00B4C" w:rsidP="00E00B4C">
            <w:pPr>
              <w:pStyle w:val="Tabletext"/>
              <w:spacing w:before="60" w:after="60" w:line="240" w:lineRule="auto"/>
              <w:rPr>
                <w:sz w:val="22"/>
                <w:szCs w:val="22"/>
              </w:rPr>
            </w:pPr>
            <w:r>
              <w:rPr>
                <w:sz w:val="22"/>
                <w:szCs w:val="22"/>
              </w:rPr>
              <w:t xml:space="preserve">Records relating </w:t>
            </w:r>
            <w:r w:rsidR="00AA316E">
              <w:rPr>
                <w:sz w:val="22"/>
                <w:szCs w:val="22"/>
              </w:rPr>
              <w:t xml:space="preserve">to the processing and payment of </w:t>
            </w:r>
            <w:r w:rsidR="00E73254">
              <w:rPr>
                <w:sz w:val="22"/>
                <w:szCs w:val="22"/>
              </w:rPr>
              <w:t xml:space="preserve">claims </w:t>
            </w:r>
            <w:r w:rsidR="00EF6374">
              <w:rPr>
                <w:sz w:val="22"/>
                <w:szCs w:val="22"/>
              </w:rPr>
              <w:t xml:space="preserve">under the Funeral Benefit Trust Fund </w:t>
            </w:r>
            <w:r w:rsidR="00E73254">
              <w:rPr>
                <w:sz w:val="22"/>
                <w:szCs w:val="22"/>
              </w:rPr>
              <w:t xml:space="preserve">by the </w:t>
            </w:r>
            <w:r w:rsidR="00EF6374">
              <w:rPr>
                <w:sz w:val="22"/>
                <w:szCs w:val="22"/>
              </w:rPr>
              <w:t>agency.</w:t>
            </w:r>
          </w:p>
          <w:p w14:paraId="24271343" w14:textId="55B9DDAE" w:rsidR="00E00B4C" w:rsidRDefault="00EF6374" w:rsidP="00E00B4C">
            <w:pPr>
              <w:pStyle w:val="Tabletext"/>
              <w:spacing w:before="60" w:after="60" w:line="240" w:lineRule="auto"/>
              <w:rPr>
                <w:sz w:val="22"/>
                <w:szCs w:val="22"/>
              </w:rPr>
            </w:pPr>
            <w:r>
              <w:rPr>
                <w:sz w:val="22"/>
                <w:szCs w:val="22"/>
              </w:rPr>
              <w:t xml:space="preserve">Records may include but are not limited </w:t>
            </w:r>
            <w:r w:rsidR="00E00B4C">
              <w:rPr>
                <w:sz w:val="22"/>
                <w:szCs w:val="22"/>
              </w:rPr>
              <w:t>to:</w:t>
            </w:r>
            <w:r w:rsidR="00E00B4C" w:rsidRPr="00D846F4">
              <w:rPr>
                <w:sz w:val="22"/>
                <w:szCs w:val="22"/>
              </w:rPr>
              <w:t xml:space="preserve"> </w:t>
            </w:r>
          </w:p>
          <w:p w14:paraId="0A1AB860" w14:textId="77777777" w:rsidR="00E00B4C" w:rsidRDefault="00E00B4C" w:rsidP="005E240A">
            <w:pPr>
              <w:numPr>
                <w:ilvl w:val="0"/>
                <w:numId w:val="7"/>
              </w:numPr>
              <w:spacing w:before="60" w:after="0" w:line="240" w:lineRule="auto"/>
              <w:rPr>
                <w:szCs w:val="22"/>
              </w:rPr>
            </w:pPr>
            <w:r>
              <w:rPr>
                <w:szCs w:val="22"/>
              </w:rPr>
              <w:t>funeral benefit claim determination</w:t>
            </w:r>
          </w:p>
          <w:p w14:paraId="596821AB" w14:textId="10D3E8EF" w:rsidR="00E00B4C" w:rsidRDefault="00E00B4C" w:rsidP="005E240A">
            <w:pPr>
              <w:pStyle w:val="Tabletext"/>
              <w:numPr>
                <w:ilvl w:val="0"/>
                <w:numId w:val="7"/>
              </w:numPr>
              <w:spacing w:before="60" w:after="60" w:line="240" w:lineRule="auto"/>
              <w:rPr>
                <w:sz w:val="22"/>
                <w:szCs w:val="22"/>
              </w:rPr>
            </w:pPr>
            <w:r w:rsidRPr="009B162E">
              <w:rPr>
                <w:sz w:val="22"/>
                <w:szCs w:val="22"/>
              </w:rPr>
              <w:t xml:space="preserve">funeral benefit claim determination </w:t>
            </w:r>
            <w:r w:rsidRPr="00AA316E">
              <w:rPr>
                <w:sz w:val="22"/>
                <w:szCs w:val="22"/>
              </w:rPr>
              <w:t xml:space="preserve">appeals which </w:t>
            </w:r>
            <w:r w:rsidRPr="00AA316E">
              <w:rPr>
                <w:sz w:val="22"/>
                <w:szCs w:val="22"/>
                <w:u w:val="single"/>
              </w:rPr>
              <w:t>do not</w:t>
            </w:r>
            <w:r w:rsidRPr="009B162E">
              <w:rPr>
                <w:sz w:val="22"/>
                <w:szCs w:val="22"/>
              </w:rPr>
              <w:t xml:space="preserve"> set a precedent in decision making</w:t>
            </w:r>
            <w:r>
              <w:rPr>
                <w:sz w:val="22"/>
                <w:szCs w:val="22"/>
              </w:rPr>
              <w:t xml:space="preserve"> </w:t>
            </w:r>
            <w:r w:rsidR="00B45680">
              <w:rPr>
                <w:sz w:val="22"/>
                <w:szCs w:val="22"/>
              </w:rPr>
              <w:t>(r</w:t>
            </w:r>
            <w:r w:rsidRPr="00064267">
              <w:rPr>
                <w:sz w:val="22"/>
                <w:szCs w:val="22"/>
              </w:rPr>
              <w:t xml:space="preserve">elates to decisions made by the former Board of Trustees and </w:t>
            </w:r>
            <w:r w:rsidR="00563434">
              <w:rPr>
                <w:sz w:val="22"/>
                <w:szCs w:val="22"/>
              </w:rPr>
              <w:t>the agency</w:t>
            </w:r>
            <w:r w:rsidRPr="00064267">
              <w:rPr>
                <w:sz w:val="22"/>
                <w:szCs w:val="22"/>
              </w:rPr>
              <w:t>).</w:t>
            </w:r>
          </w:p>
          <w:p w14:paraId="3E1FF5D8" w14:textId="3C4D2216" w:rsidR="00E00B4C" w:rsidRPr="00973429" w:rsidRDefault="00E00B4C" w:rsidP="00951C74">
            <w:pPr>
              <w:pStyle w:val="Tabletext"/>
              <w:spacing w:before="60" w:after="60" w:line="240" w:lineRule="auto"/>
              <w:rPr>
                <w:i/>
                <w:sz w:val="22"/>
                <w:szCs w:val="22"/>
              </w:rPr>
            </w:pPr>
            <w:r w:rsidRPr="00973429">
              <w:rPr>
                <w:i/>
                <w:sz w:val="22"/>
                <w:szCs w:val="22"/>
              </w:rPr>
              <w:t xml:space="preserve">See </w:t>
            </w:r>
            <w:hyperlink w:anchor="Claims_1687" w:history="1">
              <w:r w:rsidR="00951C74" w:rsidRPr="00F3241A">
                <w:rPr>
                  <w:rStyle w:val="Hyperlink"/>
                  <w:i/>
                  <w:sz w:val="22"/>
                  <w:szCs w:val="22"/>
                </w:rPr>
                <w:t>1687</w:t>
              </w:r>
            </w:hyperlink>
            <w:r w:rsidRPr="00973429">
              <w:rPr>
                <w:i/>
                <w:sz w:val="22"/>
                <w:szCs w:val="22"/>
              </w:rPr>
              <w:t xml:space="preserve"> for records </w:t>
            </w:r>
            <w:r>
              <w:rPr>
                <w:i/>
                <w:sz w:val="22"/>
                <w:szCs w:val="22"/>
              </w:rPr>
              <w:t xml:space="preserve">relating to </w:t>
            </w:r>
            <w:r w:rsidR="00EE1729">
              <w:rPr>
                <w:i/>
                <w:sz w:val="22"/>
                <w:szCs w:val="22"/>
              </w:rPr>
              <w:t xml:space="preserve">appeals against claim </w:t>
            </w:r>
            <w:r>
              <w:rPr>
                <w:i/>
                <w:sz w:val="22"/>
                <w:szCs w:val="22"/>
              </w:rPr>
              <w:t xml:space="preserve">determination </w:t>
            </w:r>
            <w:r w:rsidR="00EE1729">
              <w:rPr>
                <w:i/>
                <w:sz w:val="22"/>
                <w:szCs w:val="22"/>
              </w:rPr>
              <w:t>decisions that are not significant</w:t>
            </w:r>
            <w:r w:rsidRPr="00973429">
              <w:rPr>
                <w:i/>
                <w:sz w:val="22"/>
                <w:szCs w:val="22"/>
              </w:rPr>
              <w:t xml:space="preserve">. </w:t>
            </w:r>
          </w:p>
        </w:tc>
        <w:tc>
          <w:tcPr>
            <w:tcW w:w="1087" w:type="pct"/>
            <w:gridSpan w:val="2"/>
            <w:shd w:val="clear" w:color="auto" w:fill="auto"/>
          </w:tcPr>
          <w:p w14:paraId="6B27376F" w14:textId="03ACCD3D" w:rsidR="00E00B4C" w:rsidRDefault="005D10FF" w:rsidP="00E00B4C">
            <w:pPr>
              <w:pStyle w:val="Tabletext"/>
              <w:spacing w:before="60" w:after="60" w:line="240" w:lineRule="auto"/>
              <w:rPr>
                <w:sz w:val="22"/>
                <w:szCs w:val="22"/>
              </w:rPr>
            </w:pPr>
            <w:r>
              <w:rPr>
                <w:sz w:val="22"/>
                <w:szCs w:val="22"/>
              </w:rPr>
              <w:t>7 years after the financial year to which the records relate.</w:t>
            </w:r>
          </w:p>
        </w:tc>
      </w:tr>
      <w:tr w:rsidR="00EE1729" w:rsidRPr="003147E4" w14:paraId="326EB5E0" w14:textId="77777777" w:rsidTr="002C0D5F">
        <w:tc>
          <w:tcPr>
            <w:tcW w:w="545" w:type="pct"/>
            <w:shd w:val="clear" w:color="auto" w:fill="auto"/>
          </w:tcPr>
          <w:p w14:paraId="604DB3F9" w14:textId="096960C1" w:rsidR="00741D6C" w:rsidRDefault="00741D6C" w:rsidP="00EE1729">
            <w:pPr>
              <w:pStyle w:val="Tabletext"/>
              <w:spacing w:before="60" w:after="60" w:line="240" w:lineRule="auto"/>
              <w:rPr>
                <w:sz w:val="22"/>
                <w:szCs w:val="22"/>
              </w:rPr>
            </w:pPr>
            <w:bookmarkStart w:id="19" w:name="Claims_1687"/>
            <w:r>
              <w:rPr>
                <w:sz w:val="22"/>
                <w:szCs w:val="22"/>
              </w:rPr>
              <w:t>1687</w:t>
            </w:r>
            <w:bookmarkEnd w:id="19"/>
          </w:p>
        </w:tc>
        <w:tc>
          <w:tcPr>
            <w:tcW w:w="3368" w:type="pct"/>
            <w:shd w:val="clear" w:color="auto" w:fill="auto"/>
          </w:tcPr>
          <w:p w14:paraId="06435CF7" w14:textId="04CC8C03" w:rsidR="00EE1729" w:rsidRPr="003147E4" w:rsidRDefault="00EE1729" w:rsidP="00EE1729">
            <w:pPr>
              <w:pStyle w:val="Heading30"/>
              <w:spacing w:before="60" w:after="60"/>
              <w:rPr>
                <w:i/>
              </w:rPr>
            </w:pPr>
            <w:r>
              <w:rPr>
                <w:i/>
              </w:rPr>
              <w:t>Claim determination - Significant appeals</w:t>
            </w:r>
          </w:p>
          <w:p w14:paraId="2CAB4089" w14:textId="0204A9E8" w:rsidR="00EE1729" w:rsidRDefault="00EE1729" w:rsidP="00EE1729">
            <w:pPr>
              <w:pStyle w:val="Tabletext"/>
              <w:spacing w:before="60" w:after="60" w:line="240" w:lineRule="auto"/>
              <w:rPr>
                <w:sz w:val="22"/>
                <w:szCs w:val="22"/>
              </w:rPr>
            </w:pPr>
            <w:r>
              <w:rPr>
                <w:sz w:val="22"/>
                <w:szCs w:val="22"/>
              </w:rPr>
              <w:t>Records relating to appeals made against a claim determination decision made by the agency and/or Board of Trustees that are significant</w:t>
            </w:r>
            <w:r w:rsidR="00563434">
              <w:rPr>
                <w:sz w:val="22"/>
                <w:szCs w:val="22"/>
              </w:rPr>
              <w:t>.</w:t>
            </w:r>
          </w:p>
          <w:p w14:paraId="63B1C7C5" w14:textId="01FB667B" w:rsidR="00EE1729" w:rsidRDefault="00EE1729" w:rsidP="00EE1729">
            <w:pPr>
              <w:pStyle w:val="Tabletext"/>
              <w:spacing w:before="60" w:after="60" w:line="240" w:lineRule="auto"/>
              <w:rPr>
                <w:sz w:val="22"/>
                <w:szCs w:val="22"/>
              </w:rPr>
            </w:pPr>
            <w:r>
              <w:rPr>
                <w:sz w:val="22"/>
                <w:szCs w:val="22"/>
              </w:rPr>
              <w:t>Significant appeals are those which:</w:t>
            </w:r>
          </w:p>
          <w:p w14:paraId="3649C694" w14:textId="77777777" w:rsidR="00EE1729" w:rsidRPr="00BE590A" w:rsidRDefault="00EE1729" w:rsidP="005E240A">
            <w:pPr>
              <w:pStyle w:val="Tabletext"/>
              <w:numPr>
                <w:ilvl w:val="0"/>
                <w:numId w:val="7"/>
              </w:numPr>
              <w:spacing w:before="60" w:after="60" w:line="240" w:lineRule="auto"/>
              <w:rPr>
                <w:b/>
                <w:i/>
                <w:sz w:val="22"/>
                <w:szCs w:val="22"/>
              </w:rPr>
            </w:pPr>
            <w:r w:rsidRPr="00D77BBE">
              <w:rPr>
                <w:sz w:val="22"/>
                <w:szCs w:val="22"/>
              </w:rPr>
              <w:t>result in changes and/or have major impact on the agency’s policies and standards</w:t>
            </w:r>
          </w:p>
          <w:p w14:paraId="4753F8D4" w14:textId="77777777" w:rsidR="00EE1729" w:rsidRPr="00BE590A" w:rsidRDefault="00EE1729" w:rsidP="005E240A">
            <w:pPr>
              <w:pStyle w:val="Tabletext"/>
              <w:numPr>
                <w:ilvl w:val="0"/>
                <w:numId w:val="7"/>
              </w:numPr>
              <w:spacing w:before="60" w:after="60" w:line="240" w:lineRule="auto"/>
              <w:rPr>
                <w:b/>
                <w:i/>
                <w:sz w:val="22"/>
                <w:szCs w:val="22"/>
              </w:rPr>
            </w:pPr>
            <w:r w:rsidRPr="00D77BBE">
              <w:rPr>
                <w:sz w:val="22"/>
                <w:szCs w:val="22"/>
              </w:rPr>
              <w:t>result in changes to legislation administered by the agency</w:t>
            </w:r>
          </w:p>
          <w:p w14:paraId="7B7DA76B" w14:textId="77777777" w:rsidR="00EE1729" w:rsidRPr="00BE590A" w:rsidRDefault="00EE1729" w:rsidP="005E240A">
            <w:pPr>
              <w:pStyle w:val="Tabletext"/>
              <w:numPr>
                <w:ilvl w:val="0"/>
                <w:numId w:val="7"/>
              </w:numPr>
              <w:spacing w:before="60" w:after="60" w:line="240" w:lineRule="auto"/>
              <w:rPr>
                <w:b/>
                <w:i/>
                <w:sz w:val="22"/>
                <w:szCs w:val="22"/>
              </w:rPr>
            </w:pPr>
            <w:r>
              <w:rPr>
                <w:sz w:val="22"/>
                <w:szCs w:val="22"/>
              </w:rPr>
              <w:lastRenderedPageBreak/>
              <w:t>result in major public interest or controversy</w:t>
            </w:r>
          </w:p>
          <w:p w14:paraId="1E8C9BE0" w14:textId="77777777" w:rsidR="00EE1729" w:rsidRPr="007F5844" w:rsidRDefault="00EE1729" w:rsidP="005E240A">
            <w:pPr>
              <w:pStyle w:val="Tabletext"/>
              <w:numPr>
                <w:ilvl w:val="0"/>
                <w:numId w:val="7"/>
              </w:numPr>
              <w:spacing w:before="60" w:after="60" w:line="240" w:lineRule="auto"/>
              <w:rPr>
                <w:b/>
                <w:i/>
                <w:sz w:val="22"/>
                <w:szCs w:val="22"/>
              </w:rPr>
            </w:pPr>
            <w:r>
              <w:rPr>
                <w:sz w:val="22"/>
                <w:szCs w:val="22"/>
              </w:rPr>
              <w:t>sets a precedent</w:t>
            </w:r>
          </w:p>
          <w:p w14:paraId="1FFE51F8" w14:textId="50D585CF" w:rsidR="00EE1729" w:rsidRPr="00EE1729" w:rsidRDefault="00EE1729" w:rsidP="00951C74">
            <w:pPr>
              <w:pStyle w:val="Heading30"/>
              <w:spacing w:before="60" w:after="60"/>
              <w:rPr>
                <w:b w:val="0"/>
                <w:i/>
              </w:rPr>
            </w:pPr>
            <w:r w:rsidRPr="00EE1729">
              <w:rPr>
                <w:b w:val="0"/>
                <w:i/>
              </w:rPr>
              <w:t xml:space="preserve">See </w:t>
            </w:r>
            <w:hyperlink w:anchor="ClaimsDetermination_1686" w:history="1">
              <w:r w:rsidR="00951C74" w:rsidRPr="00F3241A">
                <w:rPr>
                  <w:rStyle w:val="Hyperlink"/>
                  <w:b w:val="0"/>
                  <w:i/>
                </w:rPr>
                <w:t>1686</w:t>
              </w:r>
            </w:hyperlink>
            <w:r w:rsidRPr="00EE1729">
              <w:rPr>
                <w:b w:val="0"/>
                <w:i/>
              </w:rPr>
              <w:t xml:space="preserve"> for records relating to determination appeals that do set a precedent. </w:t>
            </w:r>
          </w:p>
        </w:tc>
        <w:tc>
          <w:tcPr>
            <w:tcW w:w="1087" w:type="pct"/>
            <w:gridSpan w:val="2"/>
            <w:shd w:val="clear" w:color="auto" w:fill="auto"/>
          </w:tcPr>
          <w:p w14:paraId="5FFFBAA5" w14:textId="77777777" w:rsidR="00EE1729" w:rsidRDefault="00EE1729" w:rsidP="00EE1729">
            <w:pPr>
              <w:pStyle w:val="Tabletext"/>
              <w:spacing w:before="60" w:after="60" w:line="240" w:lineRule="auto"/>
              <w:rPr>
                <w:sz w:val="22"/>
                <w:szCs w:val="22"/>
              </w:rPr>
            </w:pPr>
            <w:r>
              <w:rPr>
                <w:sz w:val="22"/>
                <w:szCs w:val="22"/>
              </w:rPr>
              <w:lastRenderedPageBreak/>
              <w:t>Permanent.</w:t>
            </w:r>
          </w:p>
          <w:p w14:paraId="70A828ED" w14:textId="77777777" w:rsidR="00EE1729" w:rsidRDefault="00EE1729" w:rsidP="00EE1729">
            <w:pPr>
              <w:pStyle w:val="Tabletext"/>
              <w:spacing w:before="60" w:after="60" w:line="240" w:lineRule="auto"/>
              <w:rPr>
                <w:sz w:val="22"/>
                <w:szCs w:val="22"/>
              </w:rPr>
            </w:pPr>
            <w:r>
              <w:rPr>
                <w:sz w:val="22"/>
                <w:szCs w:val="22"/>
              </w:rPr>
              <w:t>Transfer to QSA after business action completed.</w:t>
            </w:r>
          </w:p>
          <w:p w14:paraId="7A9B49E4" w14:textId="6090B336" w:rsidR="00EE1729" w:rsidRDefault="00EE1729" w:rsidP="00EE1729">
            <w:pPr>
              <w:pStyle w:val="Tabletext"/>
              <w:spacing w:before="60" w:after="60" w:line="240" w:lineRule="auto"/>
              <w:rPr>
                <w:sz w:val="22"/>
                <w:szCs w:val="22"/>
              </w:rPr>
            </w:pPr>
          </w:p>
        </w:tc>
      </w:tr>
    </w:tbl>
    <w:p w14:paraId="750087B5" w14:textId="4B0BFC53" w:rsidR="002C0D5F" w:rsidRDefault="002C0D5F" w:rsidP="00391CA2">
      <w:pPr>
        <w:rPr>
          <w:rStyle w:val="Heading2Char"/>
          <w:szCs w:val="36"/>
        </w:rPr>
      </w:pPr>
      <w:bookmarkStart w:id="20" w:name="_Toc336267894"/>
    </w:p>
    <w:p w14:paraId="30631CF2" w14:textId="55DB903C" w:rsidR="006A7BB9" w:rsidRPr="004977CE" w:rsidRDefault="002C0D5F" w:rsidP="00B32222">
      <w:pPr>
        <w:pStyle w:val="Heading1"/>
        <w:spacing w:before="60" w:after="60" w:line="240" w:lineRule="auto"/>
      </w:pPr>
      <w:r>
        <w:rPr>
          <w:rStyle w:val="Heading2Char"/>
          <w:szCs w:val="36"/>
        </w:rPr>
        <w:br w:type="page"/>
      </w:r>
      <w:bookmarkStart w:id="21" w:name="_Toc478544527"/>
      <w:r w:rsidR="006A7BB9" w:rsidRPr="00E225B5">
        <w:rPr>
          <w:rStyle w:val="Heading2Char"/>
          <w:szCs w:val="36"/>
        </w:rPr>
        <w:lastRenderedPageBreak/>
        <w:t>LEGACY RECORDS</w:t>
      </w:r>
      <w:bookmarkEnd w:id="20"/>
      <w:bookmarkEnd w:id="21"/>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8"/>
        <w:gridCol w:w="6557"/>
        <w:gridCol w:w="2524"/>
        <w:gridCol w:w="4784"/>
      </w:tblGrid>
      <w:tr w:rsidR="002C0D5F" w:rsidRPr="003147E4" w14:paraId="0189C652" w14:textId="77777777" w:rsidTr="002C0D5F">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55A42DC" w14:textId="77777777" w:rsidR="002C0D5F" w:rsidRPr="003147E4" w:rsidRDefault="002C0D5F" w:rsidP="003147E4">
            <w:pPr>
              <w:pStyle w:val="Tabletext"/>
              <w:spacing w:before="60" w:after="60" w:line="240" w:lineRule="auto"/>
              <w:jc w:val="center"/>
              <w:rPr>
                <w:b/>
              </w:rPr>
            </w:pPr>
            <w:r>
              <w:rPr>
                <w:b/>
              </w:rPr>
              <w:t>Disposal Authorisation</w:t>
            </w:r>
          </w:p>
        </w:tc>
        <w:tc>
          <w:tcPr>
            <w:tcW w:w="21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2C3CEAF" w14:textId="77777777" w:rsidR="002C0D5F" w:rsidRPr="003147E4" w:rsidRDefault="002C0D5F" w:rsidP="003147E4">
            <w:pPr>
              <w:pStyle w:val="Tabletext"/>
              <w:spacing w:before="60" w:after="60" w:line="240" w:lineRule="auto"/>
              <w:jc w:val="center"/>
              <w:rPr>
                <w:b/>
              </w:rPr>
            </w:pPr>
            <w:r w:rsidRPr="003147E4">
              <w:rPr>
                <w:b/>
              </w:rPr>
              <w:t>Description of records</w:t>
            </w:r>
          </w:p>
        </w:tc>
        <w:tc>
          <w:tcPr>
            <w:tcW w:w="82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CDCE478" w14:textId="77777777" w:rsidR="002C0D5F" w:rsidRPr="003147E4" w:rsidRDefault="002C0D5F" w:rsidP="003147E4">
            <w:pPr>
              <w:pStyle w:val="Tabletext"/>
              <w:spacing w:before="60" w:after="60" w:line="240" w:lineRule="auto"/>
              <w:jc w:val="center"/>
              <w:rPr>
                <w:b/>
              </w:rPr>
            </w:pPr>
            <w:r w:rsidRPr="003147E4">
              <w:rPr>
                <w:b/>
              </w:rPr>
              <w:t>Date range</w:t>
            </w:r>
          </w:p>
        </w:tc>
        <w:tc>
          <w:tcPr>
            <w:tcW w:w="155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135A1B8" w14:textId="77777777" w:rsidR="002C0D5F" w:rsidRPr="003147E4" w:rsidRDefault="002C0D5F" w:rsidP="003147E4">
            <w:pPr>
              <w:pStyle w:val="Tabletext"/>
              <w:spacing w:before="60" w:after="60" w:line="240" w:lineRule="auto"/>
              <w:jc w:val="center"/>
              <w:rPr>
                <w:b/>
              </w:rPr>
            </w:pPr>
            <w:r>
              <w:rPr>
                <w:b/>
              </w:rPr>
              <w:t>Retention period &amp; trigger</w:t>
            </w:r>
          </w:p>
        </w:tc>
      </w:tr>
      <w:tr w:rsidR="00740D69" w:rsidRPr="003147E4" w14:paraId="67B40F22" w14:textId="77777777" w:rsidTr="00740D69">
        <w:tblPrEx>
          <w:tblCellMar>
            <w:top w:w="57" w:type="dxa"/>
            <w:left w:w="119" w:type="dxa"/>
            <w:right w:w="119" w:type="dxa"/>
          </w:tblCellMar>
        </w:tblPrEx>
        <w:tc>
          <w:tcPr>
            <w:tcW w:w="5000" w:type="pct"/>
            <w:gridSpan w:val="4"/>
            <w:shd w:val="clear" w:color="auto" w:fill="E6E6E6"/>
          </w:tcPr>
          <w:p w14:paraId="4F610962" w14:textId="77777777" w:rsidR="00740D69" w:rsidRDefault="00740D69" w:rsidP="007B5746">
            <w:pPr>
              <w:keepLines/>
              <w:spacing w:before="0" w:after="0" w:line="240" w:lineRule="auto"/>
              <w:rPr>
                <w:b/>
                <w:szCs w:val="22"/>
              </w:rPr>
            </w:pPr>
            <w:r>
              <w:rPr>
                <w:b/>
                <w:szCs w:val="22"/>
              </w:rPr>
              <w:t>BUSINESS NAMES</w:t>
            </w:r>
          </w:p>
          <w:p w14:paraId="58B1C975" w14:textId="77777777" w:rsidR="00740D69" w:rsidRPr="00B200D2" w:rsidRDefault="00740D69" w:rsidP="00B200D2">
            <w:pPr>
              <w:keepLines/>
              <w:spacing w:before="0" w:after="0" w:line="240" w:lineRule="auto"/>
              <w:rPr>
                <w:i/>
                <w:szCs w:val="22"/>
              </w:rPr>
            </w:pPr>
            <w:r>
              <w:rPr>
                <w:i/>
                <w:szCs w:val="22"/>
              </w:rPr>
              <w:t>The registration of Business Names was transferred to the Australian Securities and Investments Commission (ASIC) on 28 May 2012.</w:t>
            </w:r>
            <w:r w:rsidRPr="00B200D2">
              <w:rPr>
                <w:i/>
                <w:szCs w:val="22"/>
              </w:rPr>
              <w:t xml:space="preserve"> </w:t>
            </w:r>
            <w:r>
              <w:rPr>
                <w:i/>
                <w:szCs w:val="22"/>
              </w:rPr>
              <w:t>The</w:t>
            </w:r>
            <w:r w:rsidRPr="00B200D2">
              <w:rPr>
                <w:i/>
                <w:szCs w:val="22"/>
              </w:rPr>
              <w:t xml:space="preserve"> Queensland Business Names (Commonwealth Powers) Act 2011 (the BNCP Act) is administered by the OFT, and was enacted to:</w:t>
            </w:r>
          </w:p>
          <w:p w14:paraId="378A6F5C" w14:textId="77777777" w:rsidR="00740D69" w:rsidRPr="00B200D2" w:rsidRDefault="00740D69" w:rsidP="00B200D2">
            <w:pPr>
              <w:keepLines/>
              <w:spacing w:before="0" w:after="0" w:line="240" w:lineRule="auto"/>
              <w:rPr>
                <w:i/>
                <w:szCs w:val="22"/>
              </w:rPr>
            </w:pPr>
          </w:p>
          <w:p w14:paraId="54DEFECD" w14:textId="77777777" w:rsidR="00740D69" w:rsidRPr="00B200D2" w:rsidRDefault="00740D69" w:rsidP="005E240A">
            <w:pPr>
              <w:keepLines/>
              <w:numPr>
                <w:ilvl w:val="1"/>
                <w:numId w:val="17"/>
              </w:numPr>
              <w:spacing w:before="0" w:after="0" w:line="240" w:lineRule="auto"/>
              <w:rPr>
                <w:i/>
                <w:szCs w:val="22"/>
              </w:rPr>
            </w:pPr>
            <w:r w:rsidRPr="00B200D2">
              <w:rPr>
                <w:i/>
                <w:szCs w:val="22"/>
              </w:rPr>
              <w:t xml:space="preserve">cease the existing Queensland business names register by </w:t>
            </w:r>
            <w:r>
              <w:rPr>
                <w:i/>
                <w:szCs w:val="22"/>
              </w:rPr>
              <w:t>repealing</w:t>
            </w:r>
            <w:r w:rsidRPr="00B200D2">
              <w:rPr>
                <w:i/>
                <w:szCs w:val="22"/>
              </w:rPr>
              <w:t xml:space="preserve"> the Business Names Act 1962;</w:t>
            </w:r>
          </w:p>
          <w:p w14:paraId="09E1EB46" w14:textId="77777777" w:rsidR="00740D69" w:rsidRPr="00B200D2" w:rsidRDefault="00740D69" w:rsidP="005E240A">
            <w:pPr>
              <w:keepLines/>
              <w:numPr>
                <w:ilvl w:val="1"/>
                <w:numId w:val="17"/>
              </w:numPr>
              <w:spacing w:before="0" w:after="0" w:line="240" w:lineRule="auto"/>
              <w:rPr>
                <w:i/>
                <w:szCs w:val="22"/>
              </w:rPr>
            </w:pPr>
            <w:r w:rsidRPr="00B200D2">
              <w:rPr>
                <w:i/>
                <w:szCs w:val="22"/>
              </w:rPr>
              <w:t>transfer data from the Queensland register to the new Commonwealth register; and</w:t>
            </w:r>
          </w:p>
          <w:p w14:paraId="3B0B8604" w14:textId="77777777" w:rsidR="00740D69" w:rsidRPr="00B200D2" w:rsidRDefault="00740D69" w:rsidP="005E240A">
            <w:pPr>
              <w:keepLines/>
              <w:numPr>
                <w:ilvl w:val="1"/>
                <w:numId w:val="17"/>
              </w:numPr>
              <w:spacing w:before="0" w:after="0" w:line="240" w:lineRule="auto"/>
              <w:rPr>
                <w:i/>
                <w:szCs w:val="22"/>
              </w:rPr>
            </w:pPr>
            <w:r w:rsidRPr="00B200D2">
              <w:rPr>
                <w:i/>
                <w:szCs w:val="22"/>
              </w:rPr>
              <w:t xml:space="preserve">provide transitional arrangements after the cessation of the </w:t>
            </w:r>
            <w:smartTag w:uri="urn:schemas-microsoft-com:office:smarttags" w:element="place">
              <w:smartTag w:uri="urn:schemas-microsoft-com:office:smarttags" w:element="State">
                <w:r w:rsidRPr="00B200D2">
                  <w:rPr>
                    <w:i/>
                    <w:szCs w:val="22"/>
                  </w:rPr>
                  <w:t>Queensland</w:t>
                </w:r>
              </w:smartTag>
            </w:smartTag>
            <w:r w:rsidRPr="00B200D2">
              <w:rPr>
                <w:i/>
                <w:szCs w:val="22"/>
              </w:rPr>
              <w:t xml:space="preserve"> register.</w:t>
            </w:r>
          </w:p>
          <w:p w14:paraId="44211A06" w14:textId="77777777" w:rsidR="00740D69" w:rsidRPr="00B200D2" w:rsidRDefault="00740D69" w:rsidP="00B200D2">
            <w:pPr>
              <w:keepLines/>
              <w:spacing w:before="0" w:after="0" w:line="240" w:lineRule="auto"/>
              <w:rPr>
                <w:i/>
                <w:szCs w:val="22"/>
              </w:rPr>
            </w:pPr>
          </w:p>
          <w:p w14:paraId="44F03876" w14:textId="77777777" w:rsidR="00740D69" w:rsidRDefault="00740D69" w:rsidP="00B200D2">
            <w:pPr>
              <w:keepLines/>
              <w:spacing w:before="0" w:after="0" w:line="240" w:lineRule="auto"/>
              <w:rPr>
                <w:i/>
                <w:szCs w:val="22"/>
              </w:rPr>
            </w:pPr>
            <w:r w:rsidRPr="00B200D2">
              <w:rPr>
                <w:i/>
                <w:szCs w:val="22"/>
              </w:rPr>
              <w:t xml:space="preserve">The BNCP Act provides for OFT to </w:t>
            </w:r>
            <w:r>
              <w:rPr>
                <w:i/>
                <w:szCs w:val="22"/>
              </w:rPr>
              <w:t>transfer</w:t>
            </w:r>
            <w:r w:rsidRPr="00B200D2">
              <w:rPr>
                <w:i/>
                <w:szCs w:val="22"/>
              </w:rPr>
              <w:t xml:space="preserve"> information to ASIC electronically or in an approved form but does not provide for the physical documents to be </w:t>
            </w:r>
            <w:r>
              <w:rPr>
                <w:i/>
                <w:szCs w:val="22"/>
              </w:rPr>
              <w:t>transferred</w:t>
            </w:r>
            <w:r w:rsidRPr="00B200D2">
              <w:rPr>
                <w:i/>
                <w:szCs w:val="22"/>
              </w:rPr>
              <w:t xml:space="preserve"> to ASIC.</w:t>
            </w:r>
            <w:r>
              <w:rPr>
                <w:i/>
                <w:szCs w:val="22"/>
              </w:rPr>
              <w:t xml:space="preserve"> Therefore, OFT will retain them as noted below. </w:t>
            </w:r>
          </w:p>
          <w:p w14:paraId="4EB2F05E" w14:textId="77777777" w:rsidR="00740D69" w:rsidRDefault="00740D69" w:rsidP="00B200D2">
            <w:pPr>
              <w:keepLines/>
              <w:spacing w:before="0" w:after="0" w:line="240" w:lineRule="auto"/>
              <w:rPr>
                <w:i/>
                <w:szCs w:val="22"/>
              </w:rPr>
            </w:pPr>
          </w:p>
          <w:p w14:paraId="41BC1666" w14:textId="77777777" w:rsidR="00740D69" w:rsidRPr="00E54181" w:rsidRDefault="00740D69" w:rsidP="007B5746">
            <w:pPr>
              <w:keepLines/>
              <w:spacing w:before="0" w:after="0" w:line="240" w:lineRule="auto"/>
              <w:rPr>
                <w:i/>
                <w:szCs w:val="22"/>
              </w:rPr>
            </w:pPr>
            <w:r>
              <w:rPr>
                <w:i/>
                <w:szCs w:val="22"/>
              </w:rPr>
              <w:t>OFT continued to deal with applications for renewal until 28 August 2012 and the information was provided to ASIC.</w:t>
            </w:r>
          </w:p>
        </w:tc>
      </w:tr>
      <w:tr w:rsidR="002C0D5F" w:rsidRPr="003147E4" w14:paraId="40CD1AB9" w14:textId="77777777" w:rsidTr="002C0D5F">
        <w:tblPrEx>
          <w:tblCellMar>
            <w:top w:w="57" w:type="dxa"/>
            <w:left w:w="119" w:type="dxa"/>
            <w:right w:w="119" w:type="dxa"/>
          </w:tblCellMar>
        </w:tblPrEx>
        <w:tc>
          <w:tcPr>
            <w:tcW w:w="496" w:type="pct"/>
            <w:shd w:val="clear" w:color="auto" w:fill="E6E6E6"/>
          </w:tcPr>
          <w:p w14:paraId="01B58185" w14:textId="70FFC774" w:rsidR="009907B6" w:rsidRPr="003147E4" w:rsidRDefault="009907B6" w:rsidP="003147E4">
            <w:pPr>
              <w:pStyle w:val="Tabletext"/>
              <w:spacing w:before="60" w:after="60" w:line="240" w:lineRule="auto"/>
              <w:rPr>
                <w:sz w:val="22"/>
                <w:szCs w:val="22"/>
              </w:rPr>
            </w:pPr>
            <w:r>
              <w:rPr>
                <w:sz w:val="22"/>
                <w:szCs w:val="22"/>
              </w:rPr>
              <w:t>1688</w:t>
            </w:r>
          </w:p>
        </w:tc>
        <w:tc>
          <w:tcPr>
            <w:tcW w:w="2130" w:type="pct"/>
            <w:shd w:val="clear" w:color="auto" w:fill="auto"/>
          </w:tcPr>
          <w:p w14:paraId="2B366997" w14:textId="77777777" w:rsidR="002C0D5F" w:rsidRPr="003147E4" w:rsidRDefault="002C0D5F" w:rsidP="003147E4">
            <w:pPr>
              <w:pStyle w:val="Heading30"/>
              <w:spacing w:before="60" w:after="60"/>
              <w:rPr>
                <w:i/>
              </w:rPr>
            </w:pPr>
            <w:r>
              <w:rPr>
                <w:i/>
              </w:rPr>
              <w:t>Business name registration</w:t>
            </w:r>
          </w:p>
          <w:p w14:paraId="617D8805" w14:textId="77777777" w:rsidR="002C0D5F" w:rsidRDefault="002C0D5F" w:rsidP="003147E4">
            <w:pPr>
              <w:pStyle w:val="Tabletext"/>
              <w:spacing w:before="60" w:after="60" w:line="240" w:lineRule="auto"/>
              <w:rPr>
                <w:sz w:val="22"/>
                <w:szCs w:val="22"/>
              </w:rPr>
            </w:pPr>
            <w:r>
              <w:rPr>
                <w:sz w:val="22"/>
                <w:szCs w:val="22"/>
              </w:rPr>
              <w:t>Records include:</w:t>
            </w:r>
          </w:p>
          <w:p w14:paraId="27D80135" w14:textId="77777777" w:rsidR="002C0D5F" w:rsidRDefault="002C0D5F" w:rsidP="005E240A">
            <w:pPr>
              <w:pStyle w:val="Tabletext"/>
              <w:numPr>
                <w:ilvl w:val="0"/>
                <w:numId w:val="19"/>
              </w:numPr>
              <w:spacing w:before="60" w:after="60" w:line="240" w:lineRule="auto"/>
              <w:rPr>
                <w:sz w:val="22"/>
                <w:szCs w:val="22"/>
              </w:rPr>
            </w:pPr>
            <w:r>
              <w:rPr>
                <w:sz w:val="22"/>
                <w:szCs w:val="22"/>
              </w:rPr>
              <w:t>applications</w:t>
            </w:r>
          </w:p>
          <w:p w14:paraId="24B31C7B" w14:textId="77777777" w:rsidR="002C0D5F" w:rsidRDefault="002C0D5F" w:rsidP="005E240A">
            <w:pPr>
              <w:pStyle w:val="Tabletext"/>
              <w:numPr>
                <w:ilvl w:val="0"/>
                <w:numId w:val="19"/>
              </w:numPr>
              <w:spacing w:before="60" w:after="60" w:line="240" w:lineRule="auto"/>
              <w:rPr>
                <w:sz w:val="22"/>
                <w:szCs w:val="22"/>
              </w:rPr>
            </w:pPr>
            <w:r>
              <w:rPr>
                <w:sz w:val="22"/>
                <w:szCs w:val="22"/>
              </w:rPr>
              <w:t>approvals</w:t>
            </w:r>
          </w:p>
          <w:p w14:paraId="06586671" w14:textId="77777777" w:rsidR="002C0D5F" w:rsidRDefault="002C0D5F" w:rsidP="005E240A">
            <w:pPr>
              <w:pStyle w:val="Tabletext"/>
              <w:numPr>
                <w:ilvl w:val="0"/>
                <w:numId w:val="19"/>
              </w:numPr>
              <w:spacing w:before="60" w:after="60" w:line="240" w:lineRule="auto"/>
              <w:rPr>
                <w:sz w:val="22"/>
                <w:szCs w:val="22"/>
              </w:rPr>
            </w:pPr>
            <w:r>
              <w:rPr>
                <w:sz w:val="22"/>
                <w:szCs w:val="22"/>
              </w:rPr>
              <w:t>certification</w:t>
            </w:r>
          </w:p>
          <w:p w14:paraId="085EA2AB" w14:textId="77777777" w:rsidR="002C0D5F" w:rsidRDefault="002C0D5F" w:rsidP="005E240A">
            <w:pPr>
              <w:pStyle w:val="Tabletext"/>
              <w:numPr>
                <w:ilvl w:val="0"/>
                <w:numId w:val="19"/>
              </w:numPr>
              <w:spacing w:before="60" w:after="60" w:line="240" w:lineRule="auto"/>
              <w:rPr>
                <w:sz w:val="22"/>
                <w:szCs w:val="22"/>
              </w:rPr>
            </w:pPr>
            <w:r>
              <w:rPr>
                <w:sz w:val="22"/>
                <w:szCs w:val="22"/>
              </w:rPr>
              <w:t xml:space="preserve">renewals </w:t>
            </w:r>
          </w:p>
          <w:p w14:paraId="319334A4" w14:textId="77777777" w:rsidR="002C0D5F" w:rsidRPr="00922748" w:rsidRDefault="002C0D5F" w:rsidP="005E240A">
            <w:pPr>
              <w:pStyle w:val="Tabletext"/>
              <w:numPr>
                <w:ilvl w:val="0"/>
                <w:numId w:val="19"/>
              </w:numPr>
              <w:spacing w:before="60" w:after="60" w:line="240" w:lineRule="auto"/>
              <w:rPr>
                <w:sz w:val="22"/>
                <w:szCs w:val="22"/>
              </w:rPr>
            </w:pPr>
            <w:r>
              <w:rPr>
                <w:sz w:val="22"/>
                <w:szCs w:val="22"/>
              </w:rPr>
              <w:t>rejections and revocations</w:t>
            </w:r>
          </w:p>
        </w:tc>
        <w:tc>
          <w:tcPr>
            <w:tcW w:w="820" w:type="pct"/>
            <w:shd w:val="clear" w:color="auto" w:fill="auto"/>
          </w:tcPr>
          <w:p w14:paraId="77574C18" w14:textId="77777777" w:rsidR="002C0D5F" w:rsidRPr="003147E4" w:rsidRDefault="002C0D5F" w:rsidP="00ED08F4">
            <w:pPr>
              <w:pStyle w:val="Tabletext"/>
              <w:spacing w:before="60" w:after="60" w:line="240" w:lineRule="auto"/>
              <w:rPr>
                <w:sz w:val="22"/>
                <w:szCs w:val="22"/>
              </w:rPr>
            </w:pPr>
            <w:r>
              <w:rPr>
                <w:sz w:val="22"/>
                <w:szCs w:val="22"/>
              </w:rPr>
              <w:t>Up to and including 28 August 2012</w:t>
            </w:r>
          </w:p>
        </w:tc>
        <w:tc>
          <w:tcPr>
            <w:tcW w:w="1554" w:type="pct"/>
            <w:shd w:val="clear" w:color="auto" w:fill="auto"/>
          </w:tcPr>
          <w:p w14:paraId="6B0F30B9" w14:textId="0A945D6D" w:rsidR="002C0D5F" w:rsidRPr="003147E4" w:rsidRDefault="002C0D5F" w:rsidP="00ED08F4">
            <w:pPr>
              <w:pStyle w:val="Tabletext"/>
              <w:spacing w:before="60" w:after="60" w:line="240" w:lineRule="auto"/>
              <w:rPr>
                <w:sz w:val="22"/>
                <w:szCs w:val="22"/>
              </w:rPr>
            </w:pPr>
            <w:r>
              <w:rPr>
                <w:sz w:val="22"/>
                <w:szCs w:val="22"/>
              </w:rPr>
              <w:t>7 years after business name information is transferred to ASIC (Destruction date September 2019)</w:t>
            </w:r>
          </w:p>
        </w:tc>
      </w:tr>
      <w:tr w:rsidR="00740D69" w:rsidRPr="003147E4" w14:paraId="3D43C84D" w14:textId="77777777" w:rsidTr="00740D69">
        <w:tblPrEx>
          <w:tblCellMar>
            <w:top w:w="57" w:type="dxa"/>
            <w:left w:w="119" w:type="dxa"/>
            <w:right w:w="119" w:type="dxa"/>
          </w:tblCellMar>
        </w:tblPrEx>
        <w:tc>
          <w:tcPr>
            <w:tcW w:w="5000" w:type="pct"/>
            <w:gridSpan w:val="4"/>
            <w:shd w:val="clear" w:color="auto" w:fill="E6E6E6"/>
          </w:tcPr>
          <w:p w14:paraId="32ED629E" w14:textId="77777777" w:rsidR="00740D69" w:rsidRDefault="00740D69" w:rsidP="003147E4">
            <w:pPr>
              <w:pStyle w:val="Tabletext"/>
              <w:spacing w:before="60" w:after="60" w:line="240" w:lineRule="auto"/>
              <w:rPr>
                <w:b/>
                <w:sz w:val="22"/>
                <w:szCs w:val="22"/>
              </w:rPr>
            </w:pPr>
            <w:r>
              <w:rPr>
                <w:b/>
                <w:sz w:val="22"/>
                <w:szCs w:val="22"/>
              </w:rPr>
              <w:t>PERSONAL PROPERTY SECURITIES</w:t>
            </w:r>
          </w:p>
          <w:p w14:paraId="57ED14CC" w14:textId="77777777" w:rsidR="00740D69" w:rsidRPr="00544F8C" w:rsidRDefault="00740D69" w:rsidP="00544F8C">
            <w:pPr>
              <w:widowControl w:val="0"/>
              <w:tabs>
                <w:tab w:val="left" w:pos="-1440"/>
              </w:tabs>
              <w:snapToGrid w:val="0"/>
              <w:spacing w:before="0" w:after="0" w:line="240" w:lineRule="auto"/>
              <w:jc w:val="both"/>
              <w:rPr>
                <w:rFonts w:ascii="Times New Roman" w:hAnsi="Times New Roman"/>
                <w:sz w:val="24"/>
              </w:rPr>
            </w:pPr>
            <w:r>
              <w:rPr>
                <w:i/>
                <w:szCs w:val="22"/>
              </w:rPr>
              <w:t>On 30 January 2012, P</w:t>
            </w:r>
            <w:r w:rsidRPr="009F1492">
              <w:rPr>
                <w:i/>
                <w:szCs w:val="22"/>
              </w:rPr>
              <w:t>ersonal Property</w:t>
            </w:r>
            <w:r>
              <w:rPr>
                <w:i/>
                <w:szCs w:val="22"/>
              </w:rPr>
              <w:t xml:space="preserve"> Securities</w:t>
            </w:r>
            <w:r w:rsidRPr="009F1492">
              <w:rPr>
                <w:i/>
                <w:szCs w:val="22"/>
              </w:rPr>
              <w:t xml:space="preserve"> (PPS) reform brought the different Commonwealth, State and Territory laws and registers regarding security interests in personal property under one national system. PPS reform introduced the Personal Property Securities Act 2009 (Cth) and a sing</w:t>
            </w:r>
            <w:r>
              <w:rPr>
                <w:i/>
                <w:szCs w:val="22"/>
              </w:rPr>
              <w:t xml:space="preserve">le national online PPS Register was created. </w:t>
            </w:r>
            <w:r w:rsidRPr="00DF420A">
              <w:rPr>
                <w:i/>
                <w:szCs w:val="22"/>
              </w:rPr>
              <w:t>The PPS (A</w:t>
            </w:r>
            <w:r>
              <w:rPr>
                <w:i/>
                <w:szCs w:val="22"/>
              </w:rPr>
              <w:t xml:space="preserve">ncillary </w:t>
            </w:r>
            <w:r w:rsidRPr="00DF420A">
              <w:rPr>
                <w:i/>
                <w:szCs w:val="22"/>
              </w:rPr>
              <w:t>P</w:t>
            </w:r>
            <w:r>
              <w:rPr>
                <w:i/>
                <w:szCs w:val="22"/>
              </w:rPr>
              <w:t>rovisions</w:t>
            </w:r>
            <w:r w:rsidRPr="00DF420A">
              <w:rPr>
                <w:i/>
                <w:szCs w:val="22"/>
              </w:rPr>
              <w:t>) Act</w:t>
            </w:r>
            <w:r>
              <w:rPr>
                <w:i/>
                <w:szCs w:val="22"/>
              </w:rPr>
              <w:t xml:space="preserve"> 2010</w:t>
            </w:r>
            <w:r w:rsidRPr="00DF420A">
              <w:rPr>
                <w:i/>
                <w:szCs w:val="22"/>
              </w:rPr>
              <w:t xml:space="preserve"> contains transitional provisions which </w:t>
            </w:r>
            <w:r>
              <w:rPr>
                <w:i/>
                <w:szCs w:val="22"/>
              </w:rPr>
              <w:t>require the Chief Executive under Queensland’s repealed Acts to keep a copy of the information contained in the former register, as it existed immediately before the repeals, for 7 years after the repeals.</w:t>
            </w:r>
            <w:r w:rsidRPr="00BB27CB">
              <w:rPr>
                <w:rFonts w:ascii="Times New Roman" w:hAnsi="Times New Roman"/>
                <w:sz w:val="24"/>
              </w:rPr>
              <w:t xml:space="preserve"> </w:t>
            </w:r>
          </w:p>
        </w:tc>
      </w:tr>
      <w:tr w:rsidR="002C0D5F" w:rsidRPr="003147E4" w14:paraId="6090A8F8" w14:textId="77777777" w:rsidTr="002C0D5F">
        <w:tblPrEx>
          <w:tblCellMar>
            <w:top w:w="57" w:type="dxa"/>
            <w:left w:w="119" w:type="dxa"/>
            <w:right w:w="119" w:type="dxa"/>
          </w:tblCellMar>
        </w:tblPrEx>
        <w:tc>
          <w:tcPr>
            <w:tcW w:w="496" w:type="pct"/>
            <w:shd w:val="clear" w:color="auto" w:fill="E6E6E6"/>
          </w:tcPr>
          <w:p w14:paraId="6C6804EA" w14:textId="798DF030" w:rsidR="009907B6" w:rsidRDefault="009907B6" w:rsidP="003147E4">
            <w:pPr>
              <w:pStyle w:val="Tabletext"/>
              <w:spacing w:before="60" w:after="60" w:line="240" w:lineRule="auto"/>
              <w:rPr>
                <w:sz w:val="22"/>
                <w:szCs w:val="22"/>
              </w:rPr>
            </w:pPr>
            <w:r>
              <w:rPr>
                <w:sz w:val="22"/>
                <w:szCs w:val="22"/>
              </w:rPr>
              <w:t>1689</w:t>
            </w:r>
          </w:p>
        </w:tc>
        <w:tc>
          <w:tcPr>
            <w:tcW w:w="2130" w:type="pct"/>
            <w:shd w:val="clear" w:color="auto" w:fill="auto"/>
          </w:tcPr>
          <w:p w14:paraId="6D918821" w14:textId="77777777" w:rsidR="002C0D5F" w:rsidRPr="009F1492" w:rsidRDefault="002C0D5F" w:rsidP="009F1492">
            <w:pPr>
              <w:pStyle w:val="Tabletext"/>
              <w:spacing w:before="60" w:after="60" w:line="240" w:lineRule="auto"/>
              <w:rPr>
                <w:b/>
                <w:i/>
                <w:sz w:val="22"/>
                <w:szCs w:val="22"/>
              </w:rPr>
            </w:pPr>
            <w:r>
              <w:rPr>
                <w:b/>
                <w:i/>
                <w:sz w:val="22"/>
                <w:szCs w:val="22"/>
              </w:rPr>
              <w:t>R</w:t>
            </w:r>
            <w:r w:rsidRPr="009F1492">
              <w:rPr>
                <w:b/>
                <w:i/>
                <w:sz w:val="22"/>
                <w:szCs w:val="22"/>
              </w:rPr>
              <w:t>egistration of encumbered vehicles</w:t>
            </w:r>
            <w:r>
              <w:rPr>
                <w:b/>
                <w:i/>
                <w:sz w:val="22"/>
                <w:szCs w:val="22"/>
              </w:rPr>
              <w:t xml:space="preserve"> and property securities</w:t>
            </w:r>
          </w:p>
          <w:p w14:paraId="03205566" w14:textId="77777777" w:rsidR="002C0D5F" w:rsidRDefault="002C0D5F" w:rsidP="003147E4">
            <w:pPr>
              <w:pStyle w:val="Heading30"/>
              <w:spacing w:before="60" w:after="60"/>
              <w:rPr>
                <w:b w:val="0"/>
              </w:rPr>
            </w:pPr>
            <w:r>
              <w:rPr>
                <w:b w:val="0"/>
              </w:rPr>
              <w:t>Records and registered details relating to:</w:t>
            </w:r>
          </w:p>
          <w:p w14:paraId="0A78E3D4" w14:textId="77777777" w:rsidR="002C0D5F" w:rsidRDefault="002C0D5F" w:rsidP="005E240A">
            <w:pPr>
              <w:pStyle w:val="Heading30"/>
              <w:numPr>
                <w:ilvl w:val="0"/>
                <w:numId w:val="20"/>
              </w:numPr>
              <w:spacing w:before="60" w:after="60"/>
              <w:rPr>
                <w:b w:val="0"/>
              </w:rPr>
            </w:pPr>
            <w:r>
              <w:rPr>
                <w:b w:val="0"/>
              </w:rPr>
              <w:t xml:space="preserve">encumbered vehicles, boat and outboard motors </w:t>
            </w:r>
            <w:r w:rsidRPr="009F1492">
              <w:rPr>
                <w:b w:val="0"/>
              </w:rPr>
              <w:t xml:space="preserve">under the </w:t>
            </w:r>
            <w:r w:rsidRPr="002F73C2">
              <w:rPr>
                <w:b w:val="0"/>
                <w:i/>
              </w:rPr>
              <w:t>Motor Vehicles and Boats Securities Act 1986</w:t>
            </w:r>
            <w:r>
              <w:rPr>
                <w:b w:val="0"/>
                <w:i/>
              </w:rPr>
              <w:t xml:space="preserve">. </w:t>
            </w:r>
            <w:r>
              <w:rPr>
                <w:b w:val="0"/>
              </w:rPr>
              <w:t>(Repealed on 30 January 2012)</w:t>
            </w:r>
          </w:p>
          <w:p w14:paraId="5AC8F137" w14:textId="77777777" w:rsidR="002C0D5F" w:rsidRPr="007F3AD0" w:rsidRDefault="002C0D5F" w:rsidP="005E240A">
            <w:pPr>
              <w:pStyle w:val="Heading30"/>
              <w:numPr>
                <w:ilvl w:val="0"/>
                <w:numId w:val="20"/>
              </w:numPr>
              <w:spacing w:before="60" w:after="60"/>
              <w:rPr>
                <w:b w:val="0"/>
              </w:rPr>
            </w:pPr>
            <w:r w:rsidRPr="007F3AD0">
              <w:rPr>
                <w:b w:val="0"/>
              </w:rPr>
              <w:t xml:space="preserve">security instruments, including bills of sale, stock mortgages, </w:t>
            </w:r>
            <w:r>
              <w:rPr>
                <w:b w:val="0"/>
              </w:rPr>
              <w:t xml:space="preserve">wool liens, </w:t>
            </w:r>
            <w:r w:rsidRPr="007F3AD0">
              <w:rPr>
                <w:b w:val="0"/>
              </w:rPr>
              <w:t xml:space="preserve">crop liens and sugar cane liens and state securities under the </w:t>
            </w:r>
            <w:r>
              <w:rPr>
                <w:b w:val="0"/>
                <w:i/>
              </w:rPr>
              <w:t>Bills of Sale and O</w:t>
            </w:r>
            <w:r w:rsidRPr="00294611">
              <w:rPr>
                <w:b w:val="0"/>
                <w:i/>
              </w:rPr>
              <w:t xml:space="preserve">ther Instruments Act 1955 </w:t>
            </w:r>
            <w:r w:rsidRPr="007F3AD0">
              <w:rPr>
                <w:b w:val="0"/>
              </w:rPr>
              <w:t xml:space="preserve">and the </w:t>
            </w:r>
            <w:r w:rsidRPr="00294611">
              <w:rPr>
                <w:b w:val="0"/>
                <w:i/>
              </w:rPr>
              <w:t xml:space="preserve">Liens on Crops </w:t>
            </w:r>
            <w:r>
              <w:rPr>
                <w:b w:val="0"/>
                <w:i/>
              </w:rPr>
              <w:t>of</w:t>
            </w:r>
            <w:r w:rsidRPr="00294611">
              <w:rPr>
                <w:b w:val="0"/>
                <w:i/>
              </w:rPr>
              <w:t xml:space="preserve"> Sugar Cane Act 1931</w:t>
            </w:r>
            <w:r w:rsidRPr="007F3AD0">
              <w:rPr>
                <w:b w:val="0"/>
              </w:rPr>
              <w:t xml:space="preserve">. </w:t>
            </w:r>
            <w:r>
              <w:rPr>
                <w:b w:val="0"/>
              </w:rPr>
              <w:t>(R</w:t>
            </w:r>
            <w:r w:rsidRPr="007F3AD0">
              <w:rPr>
                <w:b w:val="0"/>
              </w:rPr>
              <w:t>epealed on 30 January 2012</w:t>
            </w:r>
            <w:r>
              <w:rPr>
                <w:b w:val="0"/>
              </w:rPr>
              <w:t>)</w:t>
            </w:r>
            <w:r w:rsidRPr="007F3AD0">
              <w:rPr>
                <w:b w:val="0"/>
              </w:rPr>
              <w:t>.</w:t>
            </w:r>
          </w:p>
        </w:tc>
        <w:tc>
          <w:tcPr>
            <w:tcW w:w="820" w:type="pct"/>
            <w:shd w:val="clear" w:color="auto" w:fill="auto"/>
          </w:tcPr>
          <w:p w14:paraId="69DABA76" w14:textId="77777777" w:rsidR="002C0D5F" w:rsidRPr="003147E4" w:rsidRDefault="002C0D5F" w:rsidP="00F5785A">
            <w:pPr>
              <w:pStyle w:val="Tabletext"/>
              <w:spacing w:before="60" w:after="60" w:line="240" w:lineRule="auto"/>
              <w:rPr>
                <w:sz w:val="22"/>
                <w:szCs w:val="22"/>
              </w:rPr>
            </w:pPr>
            <w:r>
              <w:rPr>
                <w:sz w:val="22"/>
                <w:szCs w:val="22"/>
              </w:rPr>
              <w:t>Up to and including 30 January 2012</w:t>
            </w:r>
          </w:p>
        </w:tc>
        <w:tc>
          <w:tcPr>
            <w:tcW w:w="1554" w:type="pct"/>
            <w:shd w:val="clear" w:color="auto" w:fill="auto"/>
          </w:tcPr>
          <w:p w14:paraId="07303C94" w14:textId="3E89CF85" w:rsidR="002C0D5F" w:rsidRPr="003147E4" w:rsidRDefault="002C0D5F" w:rsidP="003147E4">
            <w:pPr>
              <w:pStyle w:val="Tabletext"/>
              <w:spacing w:before="60" w:after="60" w:line="240" w:lineRule="auto"/>
              <w:rPr>
                <w:sz w:val="22"/>
                <w:szCs w:val="22"/>
              </w:rPr>
            </w:pPr>
            <w:r>
              <w:rPr>
                <w:sz w:val="22"/>
                <w:szCs w:val="22"/>
              </w:rPr>
              <w:t>7 years after legislation repealed (Destruction date February 2019)</w:t>
            </w:r>
          </w:p>
        </w:tc>
      </w:tr>
      <w:tr w:rsidR="00740D69" w:rsidRPr="003147E4" w14:paraId="41C704E0" w14:textId="77777777" w:rsidTr="00740D69">
        <w:tblPrEx>
          <w:tblCellMar>
            <w:top w:w="57" w:type="dxa"/>
            <w:left w:w="119" w:type="dxa"/>
            <w:right w:w="119" w:type="dxa"/>
          </w:tblCellMar>
        </w:tblPrEx>
        <w:tc>
          <w:tcPr>
            <w:tcW w:w="5000" w:type="pct"/>
            <w:gridSpan w:val="4"/>
            <w:shd w:val="clear" w:color="auto" w:fill="E6E6E6"/>
          </w:tcPr>
          <w:p w14:paraId="60E7C4C9" w14:textId="77777777" w:rsidR="00740D69" w:rsidRPr="00C11699" w:rsidRDefault="00740D69" w:rsidP="003147E4">
            <w:pPr>
              <w:pStyle w:val="Tabletext"/>
              <w:spacing w:before="60" w:after="60" w:line="240" w:lineRule="auto"/>
              <w:rPr>
                <w:b/>
                <w:sz w:val="22"/>
                <w:szCs w:val="22"/>
              </w:rPr>
            </w:pPr>
            <w:r>
              <w:rPr>
                <w:b/>
                <w:sz w:val="22"/>
                <w:szCs w:val="22"/>
              </w:rPr>
              <w:t>LAND SALES</w:t>
            </w:r>
          </w:p>
          <w:p w14:paraId="36753241" w14:textId="77777777" w:rsidR="00740D69" w:rsidRPr="00B07E8B" w:rsidRDefault="00740D69" w:rsidP="00B07E8B">
            <w:pPr>
              <w:rPr>
                <w:i/>
                <w:szCs w:val="22"/>
              </w:rPr>
            </w:pPr>
            <w:r>
              <w:rPr>
                <w:i/>
                <w:szCs w:val="22"/>
              </w:rPr>
              <w:t>In September</w:t>
            </w:r>
            <w:r w:rsidRPr="00B07E8B">
              <w:rPr>
                <w:i/>
                <w:szCs w:val="22"/>
              </w:rPr>
              <w:t xml:space="preserve"> 2014, the Land Sales and Other Legislation Amendment Bill 2014 was passed by the Queensland Parliament.</w:t>
            </w:r>
            <w:r>
              <w:rPr>
                <w:i/>
                <w:szCs w:val="22"/>
              </w:rPr>
              <w:t xml:space="preserve"> </w:t>
            </w:r>
            <w:r w:rsidRPr="00B07E8B">
              <w:rPr>
                <w:rFonts w:cs="Arial"/>
                <w:i/>
                <w:szCs w:val="22"/>
              </w:rPr>
              <w:t xml:space="preserve">The Bill </w:t>
            </w:r>
            <w:r>
              <w:rPr>
                <w:rFonts w:cs="Arial"/>
                <w:i/>
                <w:szCs w:val="22"/>
              </w:rPr>
              <w:t>included</w:t>
            </w:r>
            <w:r w:rsidRPr="00B07E8B">
              <w:rPr>
                <w:rFonts w:cs="Arial"/>
                <w:i/>
                <w:szCs w:val="22"/>
              </w:rPr>
              <w:t xml:space="preserve"> the following two significant administrative changes for the Department:</w:t>
            </w:r>
          </w:p>
          <w:p w14:paraId="4915BC48" w14:textId="77777777" w:rsidR="00740D69" w:rsidRPr="00B07E8B" w:rsidRDefault="00740D69" w:rsidP="005E240A">
            <w:pPr>
              <w:pStyle w:val="ListParagraph"/>
              <w:numPr>
                <w:ilvl w:val="0"/>
                <w:numId w:val="21"/>
              </w:numPr>
              <w:spacing w:after="0" w:line="240" w:lineRule="auto"/>
              <w:rPr>
                <w:rFonts w:ascii="Arial" w:hAnsi="Arial" w:cs="Arial"/>
                <w:i/>
              </w:rPr>
            </w:pPr>
            <w:r w:rsidRPr="00B07E8B">
              <w:rPr>
                <w:rFonts w:ascii="Arial" w:hAnsi="Arial" w:cs="Arial"/>
                <w:i/>
              </w:rPr>
              <w:t xml:space="preserve">the chief executive will no longer be required to process applications for exemptions from the Land Sales Act 1984 for particular off the plan sales. The application process will be replaced by an automatic exemption.  </w:t>
            </w:r>
          </w:p>
          <w:p w14:paraId="61E4F9BC" w14:textId="77777777" w:rsidR="00740D69" w:rsidRDefault="00740D69" w:rsidP="005E240A">
            <w:pPr>
              <w:pStyle w:val="ListParagraph"/>
              <w:numPr>
                <w:ilvl w:val="0"/>
                <w:numId w:val="21"/>
              </w:numPr>
              <w:spacing w:after="0" w:line="240" w:lineRule="auto"/>
              <w:rPr>
                <w:rFonts w:ascii="Arial" w:hAnsi="Arial" w:cs="Arial"/>
                <w:i/>
              </w:rPr>
            </w:pPr>
            <w:r w:rsidRPr="00B07E8B">
              <w:rPr>
                <w:rFonts w:ascii="Arial" w:hAnsi="Arial" w:cs="Arial"/>
                <w:i/>
              </w:rPr>
              <w:t>a regulation will no longer be required to be made to extend the timeframe for when a seller of a proposed lot in a community titles scheme must give a buyer the title transfer. Instead, buyers and sellers of these proposed lots will be able to contractually agree to the timeframe (up to a maximum of 5 ½ years).</w:t>
            </w:r>
          </w:p>
          <w:p w14:paraId="284D8A7F" w14:textId="77777777" w:rsidR="00740D69" w:rsidRPr="00B07E8B" w:rsidRDefault="00740D69" w:rsidP="005E240A">
            <w:pPr>
              <w:pStyle w:val="ListParagraph"/>
              <w:numPr>
                <w:ilvl w:val="0"/>
                <w:numId w:val="21"/>
              </w:numPr>
              <w:spacing w:after="0" w:line="240" w:lineRule="auto"/>
              <w:rPr>
                <w:rFonts w:ascii="Arial" w:hAnsi="Arial" w:cs="Arial"/>
                <w:i/>
              </w:rPr>
            </w:pPr>
            <w:r>
              <w:rPr>
                <w:rFonts w:ascii="Arial" w:hAnsi="Arial" w:cs="Arial"/>
                <w:i/>
              </w:rPr>
              <w:t>The amendments to the Land Sales Act 1984 commenced on 1 December 2014.</w:t>
            </w:r>
          </w:p>
        </w:tc>
      </w:tr>
      <w:tr w:rsidR="002C0D5F" w:rsidRPr="003147E4" w14:paraId="59588D83" w14:textId="77777777" w:rsidTr="002C0D5F">
        <w:tblPrEx>
          <w:tblCellMar>
            <w:top w:w="57" w:type="dxa"/>
            <w:left w:w="119" w:type="dxa"/>
            <w:right w:w="119" w:type="dxa"/>
          </w:tblCellMar>
        </w:tblPrEx>
        <w:tc>
          <w:tcPr>
            <w:tcW w:w="496" w:type="pct"/>
            <w:shd w:val="clear" w:color="auto" w:fill="E6E6E6"/>
          </w:tcPr>
          <w:p w14:paraId="0B12DDF2" w14:textId="04D52007" w:rsidR="009907B6" w:rsidRDefault="009907B6" w:rsidP="00253AF9">
            <w:pPr>
              <w:pStyle w:val="Tabletext"/>
              <w:spacing w:before="60" w:after="60" w:line="240" w:lineRule="auto"/>
              <w:rPr>
                <w:sz w:val="22"/>
                <w:szCs w:val="22"/>
              </w:rPr>
            </w:pPr>
            <w:r>
              <w:rPr>
                <w:sz w:val="22"/>
                <w:szCs w:val="22"/>
              </w:rPr>
              <w:t>1690</w:t>
            </w:r>
          </w:p>
        </w:tc>
        <w:tc>
          <w:tcPr>
            <w:tcW w:w="2130" w:type="pct"/>
            <w:shd w:val="clear" w:color="auto" w:fill="auto"/>
          </w:tcPr>
          <w:p w14:paraId="6DD934D9" w14:textId="77777777" w:rsidR="002C0D5F" w:rsidRDefault="002C0D5F" w:rsidP="00253AF9">
            <w:pPr>
              <w:pStyle w:val="Tabletext"/>
              <w:spacing w:before="60" w:after="60" w:line="240" w:lineRule="auto"/>
              <w:rPr>
                <w:b/>
                <w:i/>
                <w:sz w:val="22"/>
                <w:szCs w:val="22"/>
              </w:rPr>
            </w:pPr>
            <w:r>
              <w:rPr>
                <w:b/>
                <w:i/>
                <w:sz w:val="22"/>
                <w:szCs w:val="22"/>
              </w:rPr>
              <w:t>Exemptions (approved applications)</w:t>
            </w:r>
          </w:p>
          <w:p w14:paraId="40CD61EB" w14:textId="77777777" w:rsidR="002C0D5F" w:rsidRPr="00EF7A1D" w:rsidRDefault="002C0D5F" w:rsidP="00EF7A1D">
            <w:pPr>
              <w:pStyle w:val="Tabletext"/>
              <w:spacing w:before="60" w:after="60" w:line="240" w:lineRule="auto"/>
              <w:rPr>
                <w:sz w:val="22"/>
                <w:szCs w:val="22"/>
              </w:rPr>
            </w:pPr>
            <w:r>
              <w:rPr>
                <w:sz w:val="22"/>
                <w:szCs w:val="22"/>
              </w:rPr>
              <w:t xml:space="preserve">Records relating to applications for exemption under former section 19 of the </w:t>
            </w:r>
            <w:r w:rsidRPr="00121BE8">
              <w:rPr>
                <w:i/>
                <w:sz w:val="22"/>
                <w:szCs w:val="22"/>
              </w:rPr>
              <w:t>Land Sales Act 1984</w:t>
            </w:r>
            <w:r>
              <w:rPr>
                <w:sz w:val="22"/>
                <w:szCs w:val="22"/>
              </w:rPr>
              <w:t xml:space="preserve"> relating to the subdivision and development of land.</w:t>
            </w:r>
          </w:p>
        </w:tc>
        <w:tc>
          <w:tcPr>
            <w:tcW w:w="820" w:type="pct"/>
            <w:shd w:val="clear" w:color="auto" w:fill="auto"/>
          </w:tcPr>
          <w:p w14:paraId="22323C3B" w14:textId="77777777" w:rsidR="002C0D5F" w:rsidRDefault="002C0D5F" w:rsidP="00121BE8">
            <w:pPr>
              <w:pStyle w:val="Tabletext"/>
              <w:spacing w:before="60" w:after="60" w:line="240" w:lineRule="auto"/>
              <w:rPr>
                <w:sz w:val="22"/>
                <w:szCs w:val="22"/>
              </w:rPr>
            </w:pPr>
            <w:r>
              <w:rPr>
                <w:sz w:val="22"/>
                <w:szCs w:val="22"/>
              </w:rPr>
              <w:t xml:space="preserve">Records up to and including November 2014 </w:t>
            </w:r>
          </w:p>
        </w:tc>
        <w:tc>
          <w:tcPr>
            <w:tcW w:w="1554" w:type="pct"/>
            <w:shd w:val="clear" w:color="auto" w:fill="auto"/>
          </w:tcPr>
          <w:p w14:paraId="7C3D5E53" w14:textId="77A2AF8C" w:rsidR="002C0D5F" w:rsidRDefault="00C01ABA" w:rsidP="00423395">
            <w:pPr>
              <w:pStyle w:val="Tabletext"/>
              <w:spacing w:before="60" w:after="60" w:line="240" w:lineRule="auto"/>
              <w:rPr>
                <w:sz w:val="22"/>
                <w:szCs w:val="22"/>
              </w:rPr>
            </w:pPr>
            <w:r>
              <w:rPr>
                <w:sz w:val="22"/>
                <w:szCs w:val="22"/>
              </w:rPr>
              <w:t>10</w:t>
            </w:r>
            <w:r w:rsidR="002C0D5F">
              <w:rPr>
                <w:sz w:val="22"/>
                <w:szCs w:val="22"/>
              </w:rPr>
              <w:t xml:space="preserve"> years after </w:t>
            </w:r>
            <w:r w:rsidR="00423395">
              <w:rPr>
                <w:sz w:val="22"/>
                <w:szCs w:val="22"/>
              </w:rPr>
              <w:t>business action completed.</w:t>
            </w:r>
          </w:p>
        </w:tc>
      </w:tr>
      <w:tr w:rsidR="002C0D5F" w:rsidRPr="003147E4" w14:paraId="0DC057D1" w14:textId="77777777" w:rsidTr="002C0D5F">
        <w:tblPrEx>
          <w:tblCellMar>
            <w:top w:w="57" w:type="dxa"/>
            <w:left w:w="119" w:type="dxa"/>
            <w:right w:w="119" w:type="dxa"/>
          </w:tblCellMar>
        </w:tblPrEx>
        <w:tc>
          <w:tcPr>
            <w:tcW w:w="496" w:type="pct"/>
            <w:shd w:val="clear" w:color="auto" w:fill="E6E6E6"/>
          </w:tcPr>
          <w:p w14:paraId="3539C211" w14:textId="7D5A334C" w:rsidR="009907B6" w:rsidRDefault="009907B6" w:rsidP="00253AF9">
            <w:pPr>
              <w:pStyle w:val="Tabletext"/>
              <w:spacing w:before="60" w:after="60" w:line="240" w:lineRule="auto"/>
              <w:rPr>
                <w:sz w:val="22"/>
                <w:szCs w:val="22"/>
              </w:rPr>
            </w:pPr>
            <w:r>
              <w:rPr>
                <w:sz w:val="22"/>
                <w:szCs w:val="22"/>
              </w:rPr>
              <w:t>1691</w:t>
            </w:r>
          </w:p>
        </w:tc>
        <w:tc>
          <w:tcPr>
            <w:tcW w:w="2130" w:type="pct"/>
            <w:shd w:val="clear" w:color="auto" w:fill="auto"/>
          </w:tcPr>
          <w:p w14:paraId="03D6DA19" w14:textId="77777777" w:rsidR="002C0D5F" w:rsidRPr="00EF7A1D" w:rsidRDefault="002C0D5F" w:rsidP="00253AF9">
            <w:pPr>
              <w:pStyle w:val="Tabletext"/>
              <w:spacing w:before="60" w:after="60" w:line="240" w:lineRule="auto"/>
              <w:rPr>
                <w:b/>
                <w:i/>
                <w:sz w:val="22"/>
                <w:szCs w:val="22"/>
              </w:rPr>
            </w:pPr>
            <w:r w:rsidRPr="00EF7A1D">
              <w:rPr>
                <w:b/>
                <w:i/>
                <w:sz w:val="22"/>
                <w:szCs w:val="22"/>
              </w:rPr>
              <w:t>Extension of time (approved applications)</w:t>
            </w:r>
          </w:p>
          <w:p w14:paraId="6479B557" w14:textId="77777777" w:rsidR="002C0D5F" w:rsidRDefault="002C0D5F" w:rsidP="00253AF9">
            <w:pPr>
              <w:pStyle w:val="Tabletext"/>
              <w:spacing w:before="60" w:after="60" w:line="240" w:lineRule="auto"/>
              <w:rPr>
                <w:b/>
                <w:i/>
                <w:sz w:val="22"/>
                <w:szCs w:val="22"/>
              </w:rPr>
            </w:pPr>
            <w:r>
              <w:rPr>
                <w:sz w:val="22"/>
                <w:szCs w:val="22"/>
              </w:rPr>
              <w:t xml:space="preserve">Records relating to applications for extension of time requests under former section 28 of the </w:t>
            </w:r>
            <w:r w:rsidRPr="00121BE8">
              <w:rPr>
                <w:i/>
                <w:sz w:val="22"/>
                <w:szCs w:val="22"/>
              </w:rPr>
              <w:t>Land Sales Act 1984</w:t>
            </w:r>
            <w:r>
              <w:rPr>
                <w:sz w:val="22"/>
                <w:szCs w:val="22"/>
              </w:rPr>
              <w:t xml:space="preserve"> to enable the land vendor to provide the purchaser with a registrable instrument.</w:t>
            </w:r>
          </w:p>
        </w:tc>
        <w:tc>
          <w:tcPr>
            <w:tcW w:w="820" w:type="pct"/>
            <w:shd w:val="clear" w:color="auto" w:fill="auto"/>
          </w:tcPr>
          <w:p w14:paraId="2C2EB6A7" w14:textId="77777777" w:rsidR="002C0D5F" w:rsidRDefault="002C0D5F" w:rsidP="00121BE8">
            <w:pPr>
              <w:pStyle w:val="Tabletext"/>
              <w:spacing w:before="60" w:after="60" w:line="240" w:lineRule="auto"/>
              <w:rPr>
                <w:sz w:val="22"/>
                <w:szCs w:val="22"/>
              </w:rPr>
            </w:pPr>
            <w:r>
              <w:rPr>
                <w:sz w:val="22"/>
                <w:szCs w:val="22"/>
              </w:rPr>
              <w:t>Records up to and including November 2014</w:t>
            </w:r>
          </w:p>
        </w:tc>
        <w:tc>
          <w:tcPr>
            <w:tcW w:w="1554" w:type="pct"/>
            <w:shd w:val="clear" w:color="auto" w:fill="auto"/>
          </w:tcPr>
          <w:p w14:paraId="1721FBAA" w14:textId="1345E2BA" w:rsidR="002C0D5F" w:rsidRDefault="00DC6CC3" w:rsidP="00EF7A1D">
            <w:pPr>
              <w:pStyle w:val="Tabletext"/>
              <w:spacing w:before="60" w:after="60" w:line="240" w:lineRule="auto"/>
              <w:rPr>
                <w:sz w:val="22"/>
                <w:szCs w:val="22"/>
              </w:rPr>
            </w:pPr>
            <w:r>
              <w:rPr>
                <w:sz w:val="22"/>
                <w:szCs w:val="22"/>
              </w:rPr>
              <w:t>7</w:t>
            </w:r>
            <w:r w:rsidR="002C0D5F">
              <w:rPr>
                <w:sz w:val="22"/>
                <w:szCs w:val="22"/>
              </w:rPr>
              <w:t xml:space="preserve"> years after expiry of the extension of time</w:t>
            </w:r>
          </w:p>
        </w:tc>
      </w:tr>
      <w:tr w:rsidR="002C0D5F" w:rsidRPr="003147E4" w14:paraId="2BF08112" w14:textId="77777777" w:rsidTr="002C0D5F">
        <w:tblPrEx>
          <w:tblCellMar>
            <w:top w:w="57" w:type="dxa"/>
            <w:left w:w="119" w:type="dxa"/>
            <w:right w:w="119" w:type="dxa"/>
          </w:tblCellMar>
        </w:tblPrEx>
        <w:tc>
          <w:tcPr>
            <w:tcW w:w="496" w:type="pct"/>
            <w:shd w:val="clear" w:color="auto" w:fill="E6E6E6"/>
          </w:tcPr>
          <w:p w14:paraId="26F5A31A" w14:textId="3CA8C09E" w:rsidR="009907B6" w:rsidRDefault="009907B6" w:rsidP="00253AF9">
            <w:pPr>
              <w:pStyle w:val="Tabletext"/>
              <w:spacing w:before="60" w:after="60" w:line="240" w:lineRule="auto"/>
              <w:rPr>
                <w:sz w:val="22"/>
                <w:szCs w:val="22"/>
              </w:rPr>
            </w:pPr>
            <w:r>
              <w:rPr>
                <w:sz w:val="22"/>
                <w:szCs w:val="22"/>
              </w:rPr>
              <w:t>1692</w:t>
            </w:r>
          </w:p>
        </w:tc>
        <w:tc>
          <w:tcPr>
            <w:tcW w:w="2130" w:type="pct"/>
            <w:shd w:val="clear" w:color="auto" w:fill="auto"/>
          </w:tcPr>
          <w:p w14:paraId="387EDC6F" w14:textId="0F736FD7" w:rsidR="002C0D5F" w:rsidRDefault="002C0D5F" w:rsidP="00253AF9">
            <w:pPr>
              <w:pStyle w:val="Tabletext"/>
              <w:spacing w:before="60" w:after="60" w:line="240" w:lineRule="auto"/>
              <w:rPr>
                <w:b/>
                <w:i/>
                <w:sz w:val="22"/>
                <w:szCs w:val="22"/>
              </w:rPr>
            </w:pPr>
            <w:r>
              <w:rPr>
                <w:b/>
                <w:i/>
                <w:sz w:val="22"/>
                <w:szCs w:val="22"/>
              </w:rPr>
              <w:t>Withdrawals</w:t>
            </w:r>
            <w:r w:rsidR="00797DCA">
              <w:rPr>
                <w:b/>
                <w:i/>
                <w:sz w:val="22"/>
                <w:szCs w:val="22"/>
              </w:rPr>
              <w:t xml:space="preserve"> (lapsed/removed applications)/r</w:t>
            </w:r>
            <w:r>
              <w:rPr>
                <w:b/>
                <w:i/>
                <w:sz w:val="22"/>
                <w:szCs w:val="22"/>
              </w:rPr>
              <w:t>ejections (refused applications)</w:t>
            </w:r>
          </w:p>
          <w:p w14:paraId="75DB6CCE" w14:textId="77777777" w:rsidR="002C0D5F" w:rsidRPr="00EF7A1D" w:rsidRDefault="002C0D5F" w:rsidP="00253AF9">
            <w:pPr>
              <w:pStyle w:val="Tabletext"/>
              <w:spacing w:before="60" w:after="60" w:line="240" w:lineRule="auto"/>
              <w:rPr>
                <w:sz w:val="22"/>
                <w:szCs w:val="22"/>
              </w:rPr>
            </w:pPr>
            <w:r>
              <w:rPr>
                <w:sz w:val="22"/>
                <w:szCs w:val="22"/>
              </w:rPr>
              <w:t xml:space="preserve">Records relating to withdrawn or rejected applications for exemptions and extensions of time under former sections 19 and 28 of the </w:t>
            </w:r>
            <w:r w:rsidRPr="00EF7A1D">
              <w:rPr>
                <w:i/>
                <w:sz w:val="22"/>
                <w:szCs w:val="22"/>
              </w:rPr>
              <w:t>Land Sales Act 1984</w:t>
            </w:r>
            <w:r>
              <w:rPr>
                <w:sz w:val="22"/>
                <w:szCs w:val="22"/>
              </w:rPr>
              <w:t>.</w:t>
            </w:r>
          </w:p>
        </w:tc>
        <w:tc>
          <w:tcPr>
            <w:tcW w:w="820" w:type="pct"/>
            <w:shd w:val="clear" w:color="auto" w:fill="auto"/>
          </w:tcPr>
          <w:p w14:paraId="7DEA1CE8" w14:textId="77777777" w:rsidR="002C0D5F" w:rsidRDefault="002C0D5F" w:rsidP="00121BE8">
            <w:pPr>
              <w:pStyle w:val="Tabletext"/>
              <w:spacing w:before="60" w:after="60" w:line="240" w:lineRule="auto"/>
              <w:rPr>
                <w:sz w:val="22"/>
                <w:szCs w:val="22"/>
              </w:rPr>
            </w:pPr>
            <w:r>
              <w:rPr>
                <w:sz w:val="22"/>
                <w:szCs w:val="22"/>
              </w:rPr>
              <w:t>Records up to and including November 2014</w:t>
            </w:r>
          </w:p>
        </w:tc>
        <w:tc>
          <w:tcPr>
            <w:tcW w:w="1554" w:type="pct"/>
            <w:shd w:val="clear" w:color="auto" w:fill="auto"/>
          </w:tcPr>
          <w:p w14:paraId="1963FD13" w14:textId="3C60CC24" w:rsidR="002C0D5F" w:rsidRDefault="002C0D5F" w:rsidP="00EF7A1D">
            <w:pPr>
              <w:pStyle w:val="Tabletext"/>
              <w:spacing w:before="60" w:after="60" w:line="240" w:lineRule="auto"/>
              <w:rPr>
                <w:sz w:val="22"/>
                <w:szCs w:val="22"/>
              </w:rPr>
            </w:pPr>
            <w:r>
              <w:rPr>
                <w:sz w:val="22"/>
                <w:szCs w:val="22"/>
              </w:rPr>
              <w:t xml:space="preserve">1 year after </w:t>
            </w:r>
            <w:r w:rsidR="00423395">
              <w:rPr>
                <w:sz w:val="22"/>
                <w:szCs w:val="22"/>
              </w:rPr>
              <w:t>business action completed.</w:t>
            </w:r>
          </w:p>
        </w:tc>
      </w:tr>
    </w:tbl>
    <w:p w14:paraId="449447BC" w14:textId="77777777" w:rsidR="00B742A2" w:rsidRPr="006A7BB9" w:rsidRDefault="00B742A2" w:rsidP="00391CA2"/>
    <w:sectPr w:rsidR="00B742A2" w:rsidRPr="006A7BB9" w:rsidSect="000366F3">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820"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D20DA" w14:textId="77777777" w:rsidR="003E28F9" w:rsidRDefault="003E28F9" w:rsidP="00084313">
      <w:r>
        <w:separator/>
      </w:r>
    </w:p>
  </w:endnote>
  <w:endnote w:type="continuationSeparator" w:id="0">
    <w:p w14:paraId="7B5B9E10" w14:textId="77777777" w:rsidR="003E28F9" w:rsidRDefault="003E28F9" w:rsidP="0008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BDCE" w14:textId="77777777" w:rsidR="006C3261" w:rsidRDefault="006C3261" w:rsidP="00DA18AF">
    <w:pPr>
      <w:pStyle w:val="Footer-landscape"/>
      <w:ind w:left="-480" w:right="-464" w:firstLine="480"/>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46F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46F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2D3D" w14:textId="77777777" w:rsidR="006C3261" w:rsidRPr="008B7B5F" w:rsidRDefault="006C3261" w:rsidP="005E49D0">
    <w:pPr>
      <w:pStyle w:val="Footer-landscape"/>
      <w:tabs>
        <w:tab w:val="clear" w:pos="14572"/>
        <w:tab w:val="right" w:pos="15120"/>
      </w:tabs>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1246F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246F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9FFB" w14:textId="1E31790F" w:rsidR="006C3261" w:rsidRPr="0039204E" w:rsidRDefault="001246FB" w:rsidP="0039204E">
    <w:pPr>
      <w:pStyle w:val="Footer"/>
      <w:rPr>
        <w:szCs w:val="22"/>
      </w:rPr>
    </w:pPr>
    <w:r>
      <w:rPr>
        <w:noProof/>
        <w:szCs w:val="22"/>
        <w:lang w:eastAsia="en-AU"/>
      </w:rPr>
      <w:drawing>
        <wp:anchor distT="0" distB="0" distL="114300" distR="114300" simplePos="0" relativeHeight="251658240" behindDoc="1" locked="0" layoutInCell="1" allowOverlap="1" wp14:anchorId="1B18EAFC" wp14:editId="0F392447">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426F" w14:textId="77777777" w:rsidR="003E28F9" w:rsidRDefault="003E28F9" w:rsidP="00084313">
      <w:r>
        <w:separator/>
      </w:r>
    </w:p>
  </w:footnote>
  <w:footnote w:type="continuationSeparator" w:id="0">
    <w:p w14:paraId="2A27B571" w14:textId="77777777" w:rsidR="003E28F9" w:rsidRDefault="003E28F9" w:rsidP="0008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1EC8" w14:textId="629F7CF5" w:rsidR="006C3261" w:rsidRPr="0039204E" w:rsidRDefault="006C3261" w:rsidP="00391CA2">
    <w:pPr>
      <w:pStyle w:val="Header-landscape"/>
      <w:ind w:left="-480" w:right="-464"/>
    </w:pPr>
    <w:r>
      <w:t>Department of Science, Information Technology and Innovation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7ACD" w14:textId="7FD93C9C" w:rsidR="006C3261" w:rsidRDefault="006C3261" w:rsidP="000F715F">
    <w:pPr>
      <w:pStyle w:val="Header-landscape"/>
      <w:tabs>
        <w:tab w:val="clear" w:pos="14572"/>
        <w:tab w:val="right" w:pos="15120"/>
      </w:tabs>
      <w:ind w:left="0"/>
    </w:pPr>
    <w:r>
      <w:tab/>
      <w:t>Fair Trading Retention and Disposal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6034" w14:textId="018F7090" w:rsidR="006C3261" w:rsidRDefault="001246FB" w:rsidP="00E97154">
    <w:pPr>
      <w:pStyle w:val="Header"/>
    </w:pPr>
    <w:r>
      <w:rPr>
        <w:noProof/>
        <w:lang w:eastAsia="en-AU"/>
      </w:rPr>
      <w:drawing>
        <wp:anchor distT="0" distB="0" distL="114300" distR="114300" simplePos="0" relativeHeight="251657216" behindDoc="1" locked="0" layoutInCell="1" allowOverlap="1" wp14:anchorId="0E3179C3" wp14:editId="6F9350CB">
          <wp:simplePos x="0" y="0"/>
          <wp:positionH relativeFrom="page">
            <wp:align>center</wp:align>
          </wp:positionH>
          <wp:positionV relativeFrom="page">
            <wp:posOffset>298450</wp:posOffset>
          </wp:positionV>
          <wp:extent cx="9952355" cy="903605"/>
          <wp:effectExtent l="0" t="0" r="0" b="0"/>
          <wp:wrapNone/>
          <wp:docPr id="93" name="Picture 9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451"/>
    <w:multiLevelType w:val="hybridMultilevel"/>
    <w:tmpl w:val="AA68F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1ED20EA"/>
    <w:multiLevelType w:val="hybridMultilevel"/>
    <w:tmpl w:val="DC3A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A2C71"/>
    <w:multiLevelType w:val="multilevel"/>
    <w:tmpl w:val="C778EB54"/>
    <w:numStyleLink w:val="StyleNumbered"/>
  </w:abstractNum>
  <w:abstractNum w:abstractNumId="4" w15:restartNumberingAfterBreak="0">
    <w:nsid w:val="05FD71C1"/>
    <w:multiLevelType w:val="hybridMultilevel"/>
    <w:tmpl w:val="A31870CC"/>
    <w:lvl w:ilvl="0" w:tplc="D0B07A4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745325"/>
    <w:multiLevelType w:val="hybridMultilevel"/>
    <w:tmpl w:val="F1807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CB6E9C"/>
    <w:multiLevelType w:val="hybridMultilevel"/>
    <w:tmpl w:val="2BBC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C7701"/>
    <w:multiLevelType w:val="hybridMultilevel"/>
    <w:tmpl w:val="5A8A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A3949"/>
    <w:multiLevelType w:val="hybridMultilevel"/>
    <w:tmpl w:val="A492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2CBF69E7"/>
    <w:multiLevelType w:val="hybridMultilevel"/>
    <w:tmpl w:val="2314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2A45F0"/>
    <w:multiLevelType w:val="hybridMultilevel"/>
    <w:tmpl w:val="86CEF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D3258"/>
    <w:multiLevelType w:val="hybridMultilevel"/>
    <w:tmpl w:val="39E0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8F01C5"/>
    <w:multiLevelType w:val="hybridMultilevel"/>
    <w:tmpl w:val="0642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0969CF"/>
    <w:multiLevelType w:val="hybridMultilevel"/>
    <w:tmpl w:val="FFD89366"/>
    <w:lvl w:ilvl="0" w:tplc="D0B07A40">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7096CD8"/>
    <w:multiLevelType w:val="hybridMultilevel"/>
    <w:tmpl w:val="E4482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E3F01C0"/>
    <w:multiLevelType w:val="hybridMultilevel"/>
    <w:tmpl w:val="830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41E69"/>
    <w:multiLevelType w:val="hybridMultilevel"/>
    <w:tmpl w:val="A408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4086D"/>
    <w:multiLevelType w:val="hybridMultilevel"/>
    <w:tmpl w:val="B5365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16727"/>
    <w:multiLevelType w:val="hybridMultilevel"/>
    <w:tmpl w:val="009C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739CC"/>
    <w:multiLevelType w:val="hybridMultilevel"/>
    <w:tmpl w:val="EE582D1E"/>
    <w:lvl w:ilvl="0" w:tplc="D0B07A4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6F738B3"/>
    <w:multiLevelType w:val="hybridMultilevel"/>
    <w:tmpl w:val="66C61BA6"/>
    <w:lvl w:ilvl="0" w:tplc="1390DE5C">
      <w:start w:val="1"/>
      <w:numFmt w:val="decimal"/>
      <w:lvlText w:val="%1."/>
      <w:lvlJc w:val="left"/>
      <w:pPr>
        <w:tabs>
          <w:tab w:val="num" w:pos="567"/>
        </w:tabs>
        <w:ind w:left="567" w:hanging="567"/>
      </w:pPr>
      <w:rPr>
        <w:rFonts w:hint="default"/>
        <w:i w:val="0"/>
      </w:rPr>
    </w:lvl>
    <w:lvl w:ilvl="1" w:tplc="2B2246AA">
      <w:start w:val="1"/>
      <w:numFmt w:val="bullet"/>
      <w:lvlText w:val=""/>
      <w:lvlJc w:val="left"/>
      <w:pPr>
        <w:tabs>
          <w:tab w:val="num" w:pos="567"/>
        </w:tabs>
        <w:ind w:left="567" w:hanging="567"/>
      </w:pPr>
      <w:rPr>
        <w:rFonts w:ascii="Symbol" w:hAnsi="Symbol" w:hint="default"/>
        <w:i w:val="0"/>
      </w:rPr>
    </w:lvl>
    <w:lvl w:ilvl="2" w:tplc="DCDEB958">
      <w:start w:val="1"/>
      <w:numFmt w:val="bullet"/>
      <w:lvlText w:val=""/>
      <w:lvlJc w:val="left"/>
      <w:pPr>
        <w:tabs>
          <w:tab w:val="num" w:pos="1134"/>
        </w:tabs>
        <w:ind w:left="1134" w:hanging="567"/>
      </w:pPr>
      <w:rPr>
        <w:rFonts w:ascii="Symbol" w:hAnsi="Symbol" w:hint="default"/>
        <w:i w:val="0"/>
        <w:sz w:val="32"/>
        <w:szCs w:val="3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84B1B87"/>
    <w:multiLevelType w:val="hybridMultilevel"/>
    <w:tmpl w:val="94AE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0"/>
  </w:num>
  <w:num w:numId="5">
    <w:abstractNumId w:val="5"/>
  </w:num>
  <w:num w:numId="6">
    <w:abstractNumId w:val="13"/>
  </w:num>
  <w:num w:numId="7">
    <w:abstractNumId w:val="19"/>
  </w:num>
  <w:num w:numId="8">
    <w:abstractNumId w:val="20"/>
  </w:num>
  <w:num w:numId="9">
    <w:abstractNumId w:val="17"/>
  </w:num>
  <w:num w:numId="10">
    <w:abstractNumId w:val="8"/>
  </w:num>
  <w:num w:numId="11">
    <w:abstractNumId w:val="14"/>
  </w:num>
  <w:num w:numId="12">
    <w:abstractNumId w:val="21"/>
  </w:num>
  <w:num w:numId="13">
    <w:abstractNumId w:val="11"/>
  </w:num>
  <w:num w:numId="14">
    <w:abstractNumId w:val="6"/>
  </w:num>
  <w:num w:numId="15">
    <w:abstractNumId w:val="12"/>
  </w:num>
  <w:num w:numId="16">
    <w:abstractNumId w:val="1"/>
  </w:num>
  <w:num w:numId="17">
    <w:abstractNumId w:val="22"/>
  </w:num>
  <w:num w:numId="18">
    <w:abstractNumId w:val="4"/>
  </w:num>
  <w:num w:numId="19">
    <w:abstractNumId w:val="18"/>
  </w:num>
  <w:num w:numId="20">
    <w:abstractNumId w:val="0"/>
  </w:num>
  <w:num w:numId="21">
    <w:abstractNumId w:val="2"/>
  </w:num>
  <w:num w:numId="22">
    <w:abstractNumId w:val="7"/>
  </w:num>
  <w:num w:numId="23">
    <w:abstractNumId w:val="23"/>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01367"/>
    <w:rsid w:val="000068F6"/>
    <w:rsid w:val="00011511"/>
    <w:rsid w:val="000132B2"/>
    <w:rsid w:val="000133C1"/>
    <w:rsid w:val="00015DE3"/>
    <w:rsid w:val="000166C6"/>
    <w:rsid w:val="000224BF"/>
    <w:rsid w:val="00023D0B"/>
    <w:rsid w:val="00024F21"/>
    <w:rsid w:val="00027D83"/>
    <w:rsid w:val="000366F3"/>
    <w:rsid w:val="000427EC"/>
    <w:rsid w:val="00042FEA"/>
    <w:rsid w:val="000517E4"/>
    <w:rsid w:val="00052CFB"/>
    <w:rsid w:val="00053722"/>
    <w:rsid w:val="0006006D"/>
    <w:rsid w:val="000609E0"/>
    <w:rsid w:val="00064267"/>
    <w:rsid w:val="00070A58"/>
    <w:rsid w:val="000727B5"/>
    <w:rsid w:val="00074516"/>
    <w:rsid w:val="0007642D"/>
    <w:rsid w:val="00084313"/>
    <w:rsid w:val="0008468E"/>
    <w:rsid w:val="0008617F"/>
    <w:rsid w:val="0008637A"/>
    <w:rsid w:val="000873AF"/>
    <w:rsid w:val="00087C0B"/>
    <w:rsid w:val="0009043A"/>
    <w:rsid w:val="00095A5D"/>
    <w:rsid w:val="000A123F"/>
    <w:rsid w:val="000A6679"/>
    <w:rsid w:val="000A7E2F"/>
    <w:rsid w:val="000B1771"/>
    <w:rsid w:val="000B2FBD"/>
    <w:rsid w:val="000B5931"/>
    <w:rsid w:val="000B66FD"/>
    <w:rsid w:val="000B6746"/>
    <w:rsid w:val="000B7767"/>
    <w:rsid w:val="000C436E"/>
    <w:rsid w:val="000C4508"/>
    <w:rsid w:val="000C5BFB"/>
    <w:rsid w:val="000C6FF2"/>
    <w:rsid w:val="000D285D"/>
    <w:rsid w:val="000E24CB"/>
    <w:rsid w:val="000E3E3C"/>
    <w:rsid w:val="000E5523"/>
    <w:rsid w:val="000E5AA2"/>
    <w:rsid w:val="000F3A03"/>
    <w:rsid w:val="000F47BA"/>
    <w:rsid w:val="000F64BE"/>
    <w:rsid w:val="000F715F"/>
    <w:rsid w:val="001033E9"/>
    <w:rsid w:val="00107B7E"/>
    <w:rsid w:val="00111A36"/>
    <w:rsid w:val="001174FD"/>
    <w:rsid w:val="00121BE8"/>
    <w:rsid w:val="00121F39"/>
    <w:rsid w:val="001246FB"/>
    <w:rsid w:val="0012530C"/>
    <w:rsid w:val="001261CC"/>
    <w:rsid w:val="00131A91"/>
    <w:rsid w:val="001369DC"/>
    <w:rsid w:val="0013739F"/>
    <w:rsid w:val="00142FA8"/>
    <w:rsid w:val="00143250"/>
    <w:rsid w:val="0014530E"/>
    <w:rsid w:val="0014767A"/>
    <w:rsid w:val="001513D9"/>
    <w:rsid w:val="0015350D"/>
    <w:rsid w:val="00156149"/>
    <w:rsid w:val="00157A89"/>
    <w:rsid w:val="001605C2"/>
    <w:rsid w:val="00161955"/>
    <w:rsid w:val="00161DA1"/>
    <w:rsid w:val="00162C79"/>
    <w:rsid w:val="001640EB"/>
    <w:rsid w:val="00165804"/>
    <w:rsid w:val="00167423"/>
    <w:rsid w:val="00170EE9"/>
    <w:rsid w:val="00172CF2"/>
    <w:rsid w:val="001750E1"/>
    <w:rsid w:val="00181756"/>
    <w:rsid w:val="0018414C"/>
    <w:rsid w:val="00195A81"/>
    <w:rsid w:val="001A0E4C"/>
    <w:rsid w:val="001A1B01"/>
    <w:rsid w:val="001A3EBC"/>
    <w:rsid w:val="001B0955"/>
    <w:rsid w:val="001B3701"/>
    <w:rsid w:val="001B56FC"/>
    <w:rsid w:val="001B69E4"/>
    <w:rsid w:val="001C7228"/>
    <w:rsid w:val="001C7D41"/>
    <w:rsid w:val="001D38AF"/>
    <w:rsid w:val="001D5519"/>
    <w:rsid w:val="001D5F61"/>
    <w:rsid w:val="001E106D"/>
    <w:rsid w:val="001E12D2"/>
    <w:rsid w:val="001E17E4"/>
    <w:rsid w:val="001E1BDA"/>
    <w:rsid w:val="001E28F8"/>
    <w:rsid w:val="001E363C"/>
    <w:rsid w:val="001E40C7"/>
    <w:rsid w:val="001E5E5F"/>
    <w:rsid w:val="001E773F"/>
    <w:rsid w:val="001F4BE7"/>
    <w:rsid w:val="001F662D"/>
    <w:rsid w:val="001F6C03"/>
    <w:rsid w:val="001F7E7A"/>
    <w:rsid w:val="00202E21"/>
    <w:rsid w:val="002034DE"/>
    <w:rsid w:val="00203770"/>
    <w:rsid w:val="00211CC2"/>
    <w:rsid w:val="0021287B"/>
    <w:rsid w:val="00214BB9"/>
    <w:rsid w:val="002211C6"/>
    <w:rsid w:val="00222BD5"/>
    <w:rsid w:val="002245BA"/>
    <w:rsid w:val="00226002"/>
    <w:rsid w:val="00227647"/>
    <w:rsid w:val="002277F8"/>
    <w:rsid w:val="00234211"/>
    <w:rsid w:val="00234A00"/>
    <w:rsid w:val="002379A1"/>
    <w:rsid w:val="00244CD3"/>
    <w:rsid w:val="0025178F"/>
    <w:rsid w:val="00253AF9"/>
    <w:rsid w:val="00255865"/>
    <w:rsid w:val="00263B48"/>
    <w:rsid w:val="00280A6E"/>
    <w:rsid w:val="002810D5"/>
    <w:rsid w:val="002816D1"/>
    <w:rsid w:val="00282A68"/>
    <w:rsid w:val="0029455F"/>
    <w:rsid w:val="00294611"/>
    <w:rsid w:val="00294A3E"/>
    <w:rsid w:val="002A1C1C"/>
    <w:rsid w:val="002A584B"/>
    <w:rsid w:val="002A58D5"/>
    <w:rsid w:val="002A5D19"/>
    <w:rsid w:val="002A7F33"/>
    <w:rsid w:val="002B09D7"/>
    <w:rsid w:val="002B0B5B"/>
    <w:rsid w:val="002B2189"/>
    <w:rsid w:val="002C0D5F"/>
    <w:rsid w:val="002C21D1"/>
    <w:rsid w:val="002C42CF"/>
    <w:rsid w:val="002C60DD"/>
    <w:rsid w:val="002C776A"/>
    <w:rsid w:val="002D2582"/>
    <w:rsid w:val="002D2CED"/>
    <w:rsid w:val="002D74F0"/>
    <w:rsid w:val="002E0A1A"/>
    <w:rsid w:val="002E2842"/>
    <w:rsid w:val="002E433D"/>
    <w:rsid w:val="002E636C"/>
    <w:rsid w:val="002F0EC0"/>
    <w:rsid w:val="002F73C2"/>
    <w:rsid w:val="0030243B"/>
    <w:rsid w:val="00305306"/>
    <w:rsid w:val="00305470"/>
    <w:rsid w:val="00310BB0"/>
    <w:rsid w:val="003147E4"/>
    <w:rsid w:val="003212AE"/>
    <w:rsid w:val="00322B12"/>
    <w:rsid w:val="00330267"/>
    <w:rsid w:val="00340F80"/>
    <w:rsid w:val="00346D9D"/>
    <w:rsid w:val="00356CD9"/>
    <w:rsid w:val="003656D6"/>
    <w:rsid w:val="0037454B"/>
    <w:rsid w:val="00374AA4"/>
    <w:rsid w:val="00375D25"/>
    <w:rsid w:val="0038149A"/>
    <w:rsid w:val="00383439"/>
    <w:rsid w:val="00384371"/>
    <w:rsid w:val="00385532"/>
    <w:rsid w:val="00391CA2"/>
    <w:rsid w:val="0039204E"/>
    <w:rsid w:val="003952A2"/>
    <w:rsid w:val="0039596D"/>
    <w:rsid w:val="003A3351"/>
    <w:rsid w:val="003B1DF0"/>
    <w:rsid w:val="003B2096"/>
    <w:rsid w:val="003B44E4"/>
    <w:rsid w:val="003C279D"/>
    <w:rsid w:val="003C7CED"/>
    <w:rsid w:val="003D0520"/>
    <w:rsid w:val="003D341E"/>
    <w:rsid w:val="003D4B55"/>
    <w:rsid w:val="003D4D02"/>
    <w:rsid w:val="003D642E"/>
    <w:rsid w:val="003D7A32"/>
    <w:rsid w:val="003D7DE5"/>
    <w:rsid w:val="003E03B3"/>
    <w:rsid w:val="003E04A4"/>
    <w:rsid w:val="003E073B"/>
    <w:rsid w:val="003E28F9"/>
    <w:rsid w:val="003E6BC0"/>
    <w:rsid w:val="003F7B81"/>
    <w:rsid w:val="004002EE"/>
    <w:rsid w:val="00406099"/>
    <w:rsid w:val="00407F62"/>
    <w:rsid w:val="004131C2"/>
    <w:rsid w:val="00420E39"/>
    <w:rsid w:val="004213B7"/>
    <w:rsid w:val="0042218D"/>
    <w:rsid w:val="00423395"/>
    <w:rsid w:val="00430E07"/>
    <w:rsid w:val="00432F7E"/>
    <w:rsid w:val="004334DA"/>
    <w:rsid w:val="00437E9A"/>
    <w:rsid w:val="00447634"/>
    <w:rsid w:val="00455D90"/>
    <w:rsid w:val="004618E3"/>
    <w:rsid w:val="00461A0D"/>
    <w:rsid w:val="00461D6E"/>
    <w:rsid w:val="00466BFE"/>
    <w:rsid w:val="004672E8"/>
    <w:rsid w:val="004722E0"/>
    <w:rsid w:val="00473BB7"/>
    <w:rsid w:val="004964CA"/>
    <w:rsid w:val="004A32D5"/>
    <w:rsid w:val="004B20CA"/>
    <w:rsid w:val="004B38F7"/>
    <w:rsid w:val="004B50DE"/>
    <w:rsid w:val="004B77B0"/>
    <w:rsid w:val="004B7BAD"/>
    <w:rsid w:val="004C0647"/>
    <w:rsid w:val="004C43AE"/>
    <w:rsid w:val="004C4E2D"/>
    <w:rsid w:val="004C4E4C"/>
    <w:rsid w:val="004C4F7F"/>
    <w:rsid w:val="004D00EE"/>
    <w:rsid w:val="004D1230"/>
    <w:rsid w:val="004D4722"/>
    <w:rsid w:val="004E095B"/>
    <w:rsid w:val="004E23E4"/>
    <w:rsid w:val="004F22D5"/>
    <w:rsid w:val="004F4A56"/>
    <w:rsid w:val="00502992"/>
    <w:rsid w:val="005030AE"/>
    <w:rsid w:val="00504037"/>
    <w:rsid w:val="0051013A"/>
    <w:rsid w:val="00510D8E"/>
    <w:rsid w:val="00514848"/>
    <w:rsid w:val="00516F5E"/>
    <w:rsid w:val="00517FB5"/>
    <w:rsid w:val="005237F5"/>
    <w:rsid w:val="00530235"/>
    <w:rsid w:val="00540440"/>
    <w:rsid w:val="00544F8C"/>
    <w:rsid w:val="005460F4"/>
    <w:rsid w:val="00556529"/>
    <w:rsid w:val="00557C10"/>
    <w:rsid w:val="00563434"/>
    <w:rsid w:val="00563DC3"/>
    <w:rsid w:val="005646DC"/>
    <w:rsid w:val="00566DFE"/>
    <w:rsid w:val="005779A1"/>
    <w:rsid w:val="0058096D"/>
    <w:rsid w:val="00582A01"/>
    <w:rsid w:val="0059376B"/>
    <w:rsid w:val="005A3C5A"/>
    <w:rsid w:val="005A49BC"/>
    <w:rsid w:val="005C73DE"/>
    <w:rsid w:val="005D10FF"/>
    <w:rsid w:val="005E240A"/>
    <w:rsid w:val="005E49D0"/>
    <w:rsid w:val="005E627F"/>
    <w:rsid w:val="005E700E"/>
    <w:rsid w:val="005F3D68"/>
    <w:rsid w:val="005F3EDD"/>
    <w:rsid w:val="00601732"/>
    <w:rsid w:val="00605AA8"/>
    <w:rsid w:val="00606CA7"/>
    <w:rsid w:val="00606E60"/>
    <w:rsid w:val="00607F27"/>
    <w:rsid w:val="00614309"/>
    <w:rsid w:val="0062054A"/>
    <w:rsid w:val="0063269E"/>
    <w:rsid w:val="00634E46"/>
    <w:rsid w:val="006411EF"/>
    <w:rsid w:val="00653C4D"/>
    <w:rsid w:val="00654701"/>
    <w:rsid w:val="00657861"/>
    <w:rsid w:val="00661B6B"/>
    <w:rsid w:val="00662A4A"/>
    <w:rsid w:val="00664526"/>
    <w:rsid w:val="006663AA"/>
    <w:rsid w:val="006772A7"/>
    <w:rsid w:val="006862D2"/>
    <w:rsid w:val="00687CD6"/>
    <w:rsid w:val="0069417B"/>
    <w:rsid w:val="00695C51"/>
    <w:rsid w:val="006A5D9C"/>
    <w:rsid w:val="006A7BB9"/>
    <w:rsid w:val="006B39EF"/>
    <w:rsid w:val="006B5E1E"/>
    <w:rsid w:val="006B6BB3"/>
    <w:rsid w:val="006C3261"/>
    <w:rsid w:val="006D0523"/>
    <w:rsid w:val="006D1DEF"/>
    <w:rsid w:val="006D7905"/>
    <w:rsid w:val="006E1269"/>
    <w:rsid w:val="006F2F2B"/>
    <w:rsid w:val="006F570D"/>
    <w:rsid w:val="006F6BCC"/>
    <w:rsid w:val="00700B3B"/>
    <w:rsid w:val="00700EE4"/>
    <w:rsid w:val="00716064"/>
    <w:rsid w:val="00731830"/>
    <w:rsid w:val="007324DE"/>
    <w:rsid w:val="007334E3"/>
    <w:rsid w:val="007336A1"/>
    <w:rsid w:val="00734AEA"/>
    <w:rsid w:val="00735ACF"/>
    <w:rsid w:val="00736F8A"/>
    <w:rsid w:val="00740D69"/>
    <w:rsid w:val="00741D6C"/>
    <w:rsid w:val="0074355C"/>
    <w:rsid w:val="00747C54"/>
    <w:rsid w:val="00757EC1"/>
    <w:rsid w:val="00762091"/>
    <w:rsid w:val="00770D0D"/>
    <w:rsid w:val="007731CE"/>
    <w:rsid w:val="0077329A"/>
    <w:rsid w:val="0078468B"/>
    <w:rsid w:val="00787569"/>
    <w:rsid w:val="00787EA6"/>
    <w:rsid w:val="007912F9"/>
    <w:rsid w:val="007925F1"/>
    <w:rsid w:val="007935B7"/>
    <w:rsid w:val="007940F6"/>
    <w:rsid w:val="00797913"/>
    <w:rsid w:val="00797DCA"/>
    <w:rsid w:val="007A2C92"/>
    <w:rsid w:val="007A6B23"/>
    <w:rsid w:val="007A7A6C"/>
    <w:rsid w:val="007B08BF"/>
    <w:rsid w:val="007B5746"/>
    <w:rsid w:val="007C00ED"/>
    <w:rsid w:val="007C79D3"/>
    <w:rsid w:val="007D02CF"/>
    <w:rsid w:val="007D03E6"/>
    <w:rsid w:val="007E0811"/>
    <w:rsid w:val="007E3160"/>
    <w:rsid w:val="007E4F29"/>
    <w:rsid w:val="007F3AD0"/>
    <w:rsid w:val="007F5844"/>
    <w:rsid w:val="00800DDF"/>
    <w:rsid w:val="00804370"/>
    <w:rsid w:val="00804F4D"/>
    <w:rsid w:val="00805CB5"/>
    <w:rsid w:val="00810F1E"/>
    <w:rsid w:val="0081101B"/>
    <w:rsid w:val="00812AA1"/>
    <w:rsid w:val="00812E0A"/>
    <w:rsid w:val="00813EE3"/>
    <w:rsid w:val="00814FDF"/>
    <w:rsid w:val="008162C4"/>
    <w:rsid w:val="00820BB2"/>
    <w:rsid w:val="008260FF"/>
    <w:rsid w:val="00844346"/>
    <w:rsid w:val="00850D75"/>
    <w:rsid w:val="00854B73"/>
    <w:rsid w:val="008559AF"/>
    <w:rsid w:val="008578A2"/>
    <w:rsid w:val="008608D3"/>
    <w:rsid w:val="008714D3"/>
    <w:rsid w:val="00873453"/>
    <w:rsid w:val="00876125"/>
    <w:rsid w:val="00876605"/>
    <w:rsid w:val="00880DAD"/>
    <w:rsid w:val="00880F10"/>
    <w:rsid w:val="00887623"/>
    <w:rsid w:val="00895481"/>
    <w:rsid w:val="008963FA"/>
    <w:rsid w:val="008979F9"/>
    <w:rsid w:val="008A62F1"/>
    <w:rsid w:val="008B2196"/>
    <w:rsid w:val="008B6FB5"/>
    <w:rsid w:val="008C5647"/>
    <w:rsid w:val="008D0500"/>
    <w:rsid w:val="008E067F"/>
    <w:rsid w:val="008E0A6B"/>
    <w:rsid w:val="008E5CC6"/>
    <w:rsid w:val="008E69C0"/>
    <w:rsid w:val="008F225B"/>
    <w:rsid w:val="008F461F"/>
    <w:rsid w:val="008F61B4"/>
    <w:rsid w:val="009108D5"/>
    <w:rsid w:val="00910F28"/>
    <w:rsid w:val="00913C51"/>
    <w:rsid w:val="00915B2B"/>
    <w:rsid w:val="00921C51"/>
    <w:rsid w:val="00922748"/>
    <w:rsid w:val="00923915"/>
    <w:rsid w:val="00924574"/>
    <w:rsid w:val="00924579"/>
    <w:rsid w:val="009252F0"/>
    <w:rsid w:val="00926D6B"/>
    <w:rsid w:val="00927CB3"/>
    <w:rsid w:val="00930BBD"/>
    <w:rsid w:val="00931B1E"/>
    <w:rsid w:val="009329B2"/>
    <w:rsid w:val="00933915"/>
    <w:rsid w:val="009344C7"/>
    <w:rsid w:val="00936394"/>
    <w:rsid w:val="009377B7"/>
    <w:rsid w:val="009401E2"/>
    <w:rsid w:val="00940D65"/>
    <w:rsid w:val="00940F63"/>
    <w:rsid w:val="00943AC7"/>
    <w:rsid w:val="009443C0"/>
    <w:rsid w:val="00951C74"/>
    <w:rsid w:val="00954E21"/>
    <w:rsid w:val="00962593"/>
    <w:rsid w:val="0096327E"/>
    <w:rsid w:val="009666F9"/>
    <w:rsid w:val="00967DD1"/>
    <w:rsid w:val="00972217"/>
    <w:rsid w:val="00973429"/>
    <w:rsid w:val="00974040"/>
    <w:rsid w:val="00981ED3"/>
    <w:rsid w:val="009907B6"/>
    <w:rsid w:val="0099288F"/>
    <w:rsid w:val="0099463B"/>
    <w:rsid w:val="00994F84"/>
    <w:rsid w:val="00995C23"/>
    <w:rsid w:val="00997E27"/>
    <w:rsid w:val="009A4E58"/>
    <w:rsid w:val="009B162E"/>
    <w:rsid w:val="009B2F3F"/>
    <w:rsid w:val="009B75F8"/>
    <w:rsid w:val="009C0559"/>
    <w:rsid w:val="009C07EB"/>
    <w:rsid w:val="009D3F2A"/>
    <w:rsid w:val="009D5433"/>
    <w:rsid w:val="009D71DE"/>
    <w:rsid w:val="009F1492"/>
    <w:rsid w:val="009F2A06"/>
    <w:rsid w:val="009F50D9"/>
    <w:rsid w:val="00A05CD6"/>
    <w:rsid w:val="00A11B43"/>
    <w:rsid w:val="00A13465"/>
    <w:rsid w:val="00A13DD7"/>
    <w:rsid w:val="00A170C9"/>
    <w:rsid w:val="00A20B90"/>
    <w:rsid w:val="00A245D5"/>
    <w:rsid w:val="00A24AE5"/>
    <w:rsid w:val="00A2709C"/>
    <w:rsid w:val="00A3077D"/>
    <w:rsid w:val="00A426AE"/>
    <w:rsid w:val="00A43709"/>
    <w:rsid w:val="00A454ED"/>
    <w:rsid w:val="00A45809"/>
    <w:rsid w:val="00A46257"/>
    <w:rsid w:val="00A475F4"/>
    <w:rsid w:val="00A53993"/>
    <w:rsid w:val="00A60E14"/>
    <w:rsid w:val="00A67529"/>
    <w:rsid w:val="00A67B0E"/>
    <w:rsid w:val="00A70D21"/>
    <w:rsid w:val="00A82EA5"/>
    <w:rsid w:val="00A8532E"/>
    <w:rsid w:val="00A96B41"/>
    <w:rsid w:val="00AA316E"/>
    <w:rsid w:val="00AA32C0"/>
    <w:rsid w:val="00AB0562"/>
    <w:rsid w:val="00AB4BCC"/>
    <w:rsid w:val="00AB4F02"/>
    <w:rsid w:val="00AB779D"/>
    <w:rsid w:val="00AC1D6F"/>
    <w:rsid w:val="00AC2BBB"/>
    <w:rsid w:val="00AC46B0"/>
    <w:rsid w:val="00AD466C"/>
    <w:rsid w:val="00AD7CB2"/>
    <w:rsid w:val="00AE0F56"/>
    <w:rsid w:val="00AE3516"/>
    <w:rsid w:val="00AE3D9D"/>
    <w:rsid w:val="00AE5197"/>
    <w:rsid w:val="00AE6EF5"/>
    <w:rsid w:val="00AF1C26"/>
    <w:rsid w:val="00AF7A85"/>
    <w:rsid w:val="00B01825"/>
    <w:rsid w:val="00B01EC8"/>
    <w:rsid w:val="00B0361C"/>
    <w:rsid w:val="00B07365"/>
    <w:rsid w:val="00B07936"/>
    <w:rsid w:val="00B07E8B"/>
    <w:rsid w:val="00B1179B"/>
    <w:rsid w:val="00B12D2F"/>
    <w:rsid w:val="00B14637"/>
    <w:rsid w:val="00B200D2"/>
    <w:rsid w:val="00B2188E"/>
    <w:rsid w:val="00B22C7C"/>
    <w:rsid w:val="00B234B3"/>
    <w:rsid w:val="00B23709"/>
    <w:rsid w:val="00B266AC"/>
    <w:rsid w:val="00B32222"/>
    <w:rsid w:val="00B349B9"/>
    <w:rsid w:val="00B37337"/>
    <w:rsid w:val="00B37372"/>
    <w:rsid w:val="00B45680"/>
    <w:rsid w:val="00B575C9"/>
    <w:rsid w:val="00B647B3"/>
    <w:rsid w:val="00B727D1"/>
    <w:rsid w:val="00B742A2"/>
    <w:rsid w:val="00B74808"/>
    <w:rsid w:val="00B75811"/>
    <w:rsid w:val="00B76226"/>
    <w:rsid w:val="00B8148E"/>
    <w:rsid w:val="00B90F2C"/>
    <w:rsid w:val="00B97517"/>
    <w:rsid w:val="00B97A6D"/>
    <w:rsid w:val="00B97E0B"/>
    <w:rsid w:val="00BA428E"/>
    <w:rsid w:val="00BA6B2D"/>
    <w:rsid w:val="00BA760E"/>
    <w:rsid w:val="00BB1BC5"/>
    <w:rsid w:val="00BB27CB"/>
    <w:rsid w:val="00BB58FC"/>
    <w:rsid w:val="00BC2BB2"/>
    <w:rsid w:val="00BC35AE"/>
    <w:rsid w:val="00BC6242"/>
    <w:rsid w:val="00BC7031"/>
    <w:rsid w:val="00BD25B9"/>
    <w:rsid w:val="00BD3584"/>
    <w:rsid w:val="00BD5530"/>
    <w:rsid w:val="00BE1841"/>
    <w:rsid w:val="00BE590A"/>
    <w:rsid w:val="00BF513B"/>
    <w:rsid w:val="00C011EC"/>
    <w:rsid w:val="00C019B0"/>
    <w:rsid w:val="00C01ABA"/>
    <w:rsid w:val="00C05091"/>
    <w:rsid w:val="00C10992"/>
    <w:rsid w:val="00C11699"/>
    <w:rsid w:val="00C12E6C"/>
    <w:rsid w:val="00C13A71"/>
    <w:rsid w:val="00C142FC"/>
    <w:rsid w:val="00C17C8D"/>
    <w:rsid w:val="00C20C06"/>
    <w:rsid w:val="00C222DA"/>
    <w:rsid w:val="00C2469F"/>
    <w:rsid w:val="00C27230"/>
    <w:rsid w:val="00C2783A"/>
    <w:rsid w:val="00C34FB2"/>
    <w:rsid w:val="00C36524"/>
    <w:rsid w:val="00C3765E"/>
    <w:rsid w:val="00C41C5D"/>
    <w:rsid w:val="00C42A64"/>
    <w:rsid w:val="00C44145"/>
    <w:rsid w:val="00C4619A"/>
    <w:rsid w:val="00C47E30"/>
    <w:rsid w:val="00C52ABB"/>
    <w:rsid w:val="00C579DA"/>
    <w:rsid w:val="00C7247B"/>
    <w:rsid w:val="00C72FBB"/>
    <w:rsid w:val="00C734DB"/>
    <w:rsid w:val="00C73FA4"/>
    <w:rsid w:val="00C76D53"/>
    <w:rsid w:val="00C84E11"/>
    <w:rsid w:val="00C8564E"/>
    <w:rsid w:val="00C94590"/>
    <w:rsid w:val="00C948DB"/>
    <w:rsid w:val="00C95AF3"/>
    <w:rsid w:val="00CA3767"/>
    <w:rsid w:val="00CA6D7A"/>
    <w:rsid w:val="00CA6FB9"/>
    <w:rsid w:val="00CB109D"/>
    <w:rsid w:val="00CB1553"/>
    <w:rsid w:val="00CB346F"/>
    <w:rsid w:val="00CB537F"/>
    <w:rsid w:val="00CC2397"/>
    <w:rsid w:val="00CC4552"/>
    <w:rsid w:val="00CC69BD"/>
    <w:rsid w:val="00CD17C7"/>
    <w:rsid w:val="00CD60EC"/>
    <w:rsid w:val="00CD74DB"/>
    <w:rsid w:val="00CE0DD4"/>
    <w:rsid w:val="00CE0F71"/>
    <w:rsid w:val="00CE499F"/>
    <w:rsid w:val="00CE679E"/>
    <w:rsid w:val="00CF3A8B"/>
    <w:rsid w:val="00D04656"/>
    <w:rsid w:val="00D04AB3"/>
    <w:rsid w:val="00D06957"/>
    <w:rsid w:val="00D132F6"/>
    <w:rsid w:val="00D139C3"/>
    <w:rsid w:val="00D15A87"/>
    <w:rsid w:val="00D17317"/>
    <w:rsid w:val="00D2069E"/>
    <w:rsid w:val="00D236DF"/>
    <w:rsid w:val="00D23FC5"/>
    <w:rsid w:val="00D308CC"/>
    <w:rsid w:val="00D36691"/>
    <w:rsid w:val="00D36B61"/>
    <w:rsid w:val="00D36ED2"/>
    <w:rsid w:val="00D43927"/>
    <w:rsid w:val="00D473A4"/>
    <w:rsid w:val="00D47574"/>
    <w:rsid w:val="00D4762C"/>
    <w:rsid w:val="00D505FD"/>
    <w:rsid w:val="00D51343"/>
    <w:rsid w:val="00D52A69"/>
    <w:rsid w:val="00D5402A"/>
    <w:rsid w:val="00D540E3"/>
    <w:rsid w:val="00D573F3"/>
    <w:rsid w:val="00D57905"/>
    <w:rsid w:val="00D64E25"/>
    <w:rsid w:val="00D72A69"/>
    <w:rsid w:val="00D77BBE"/>
    <w:rsid w:val="00D846F4"/>
    <w:rsid w:val="00D84882"/>
    <w:rsid w:val="00D947C8"/>
    <w:rsid w:val="00DA08E1"/>
    <w:rsid w:val="00DA1316"/>
    <w:rsid w:val="00DA18AF"/>
    <w:rsid w:val="00DA7308"/>
    <w:rsid w:val="00DA7F46"/>
    <w:rsid w:val="00DC23EE"/>
    <w:rsid w:val="00DC34E8"/>
    <w:rsid w:val="00DC56E3"/>
    <w:rsid w:val="00DC5835"/>
    <w:rsid w:val="00DC6CC3"/>
    <w:rsid w:val="00DC6EE5"/>
    <w:rsid w:val="00DD2B47"/>
    <w:rsid w:val="00DD4E78"/>
    <w:rsid w:val="00DE507D"/>
    <w:rsid w:val="00DE5152"/>
    <w:rsid w:val="00DE7E37"/>
    <w:rsid w:val="00DF3777"/>
    <w:rsid w:val="00DF420A"/>
    <w:rsid w:val="00E00B4C"/>
    <w:rsid w:val="00E013E5"/>
    <w:rsid w:val="00E04773"/>
    <w:rsid w:val="00E160EF"/>
    <w:rsid w:val="00E2103B"/>
    <w:rsid w:val="00E21B62"/>
    <w:rsid w:val="00E26FBD"/>
    <w:rsid w:val="00E30613"/>
    <w:rsid w:val="00E312C6"/>
    <w:rsid w:val="00E35534"/>
    <w:rsid w:val="00E35585"/>
    <w:rsid w:val="00E365B1"/>
    <w:rsid w:val="00E416EE"/>
    <w:rsid w:val="00E41C47"/>
    <w:rsid w:val="00E536CE"/>
    <w:rsid w:val="00E54181"/>
    <w:rsid w:val="00E5625B"/>
    <w:rsid w:val="00E564F0"/>
    <w:rsid w:val="00E73254"/>
    <w:rsid w:val="00E75722"/>
    <w:rsid w:val="00E8523B"/>
    <w:rsid w:val="00E87F9E"/>
    <w:rsid w:val="00E94BAB"/>
    <w:rsid w:val="00E94C34"/>
    <w:rsid w:val="00E97154"/>
    <w:rsid w:val="00E9727B"/>
    <w:rsid w:val="00EA0CAA"/>
    <w:rsid w:val="00EB1CBB"/>
    <w:rsid w:val="00EC6B9E"/>
    <w:rsid w:val="00ED08F4"/>
    <w:rsid w:val="00ED0CD4"/>
    <w:rsid w:val="00ED3A3A"/>
    <w:rsid w:val="00EE1729"/>
    <w:rsid w:val="00EE1A14"/>
    <w:rsid w:val="00EF02AF"/>
    <w:rsid w:val="00EF1225"/>
    <w:rsid w:val="00EF423E"/>
    <w:rsid w:val="00EF6374"/>
    <w:rsid w:val="00EF7A1D"/>
    <w:rsid w:val="00F01010"/>
    <w:rsid w:val="00F05A2B"/>
    <w:rsid w:val="00F1150E"/>
    <w:rsid w:val="00F119F9"/>
    <w:rsid w:val="00F129B6"/>
    <w:rsid w:val="00F253CE"/>
    <w:rsid w:val="00F2636B"/>
    <w:rsid w:val="00F279C1"/>
    <w:rsid w:val="00F3241A"/>
    <w:rsid w:val="00F33D76"/>
    <w:rsid w:val="00F3759F"/>
    <w:rsid w:val="00F43142"/>
    <w:rsid w:val="00F54798"/>
    <w:rsid w:val="00F5785A"/>
    <w:rsid w:val="00F666A0"/>
    <w:rsid w:val="00F66784"/>
    <w:rsid w:val="00F700F8"/>
    <w:rsid w:val="00F72531"/>
    <w:rsid w:val="00F7256E"/>
    <w:rsid w:val="00F72B04"/>
    <w:rsid w:val="00F82FF1"/>
    <w:rsid w:val="00F84E57"/>
    <w:rsid w:val="00F87E2D"/>
    <w:rsid w:val="00F91F7D"/>
    <w:rsid w:val="00F93B57"/>
    <w:rsid w:val="00F94831"/>
    <w:rsid w:val="00F95930"/>
    <w:rsid w:val="00F95CBC"/>
    <w:rsid w:val="00FB025D"/>
    <w:rsid w:val="00FB5F3A"/>
    <w:rsid w:val="00FC1B35"/>
    <w:rsid w:val="00FC2550"/>
    <w:rsid w:val="00FC69FE"/>
    <w:rsid w:val="00FD2A60"/>
    <w:rsid w:val="00FD74E6"/>
    <w:rsid w:val="00FE014E"/>
    <w:rsid w:val="00FE05E0"/>
    <w:rsid w:val="00FE4F2E"/>
    <w:rsid w:val="00FE7FE4"/>
    <w:rsid w:val="00FF0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8E85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character" w:styleId="FollowedHyperlink">
    <w:name w:val="FollowedHyperlink"/>
    <w:rsid w:val="00530235"/>
    <w:rPr>
      <w:color w:val="954F72"/>
      <w:u w:val="single"/>
    </w:rPr>
  </w:style>
  <w:style w:type="character" w:styleId="CommentReference">
    <w:name w:val="annotation reference"/>
    <w:rsid w:val="00A475F4"/>
    <w:rPr>
      <w:sz w:val="16"/>
      <w:szCs w:val="16"/>
    </w:rPr>
  </w:style>
  <w:style w:type="paragraph" w:styleId="CommentText">
    <w:name w:val="annotation text"/>
    <w:basedOn w:val="Normal"/>
    <w:link w:val="CommentTextChar"/>
    <w:rsid w:val="00A475F4"/>
    <w:rPr>
      <w:sz w:val="20"/>
      <w:szCs w:val="20"/>
    </w:rPr>
  </w:style>
  <w:style w:type="character" w:customStyle="1" w:styleId="CommentTextChar">
    <w:name w:val="Comment Text Char"/>
    <w:link w:val="CommentText"/>
    <w:rsid w:val="00A475F4"/>
    <w:rPr>
      <w:rFonts w:ascii="Arial" w:hAnsi="Arial"/>
      <w:lang w:eastAsia="en-US"/>
    </w:rPr>
  </w:style>
  <w:style w:type="paragraph" w:styleId="CommentSubject">
    <w:name w:val="annotation subject"/>
    <w:basedOn w:val="CommentText"/>
    <w:next w:val="CommentText"/>
    <w:link w:val="CommentSubjectChar"/>
    <w:rsid w:val="00A475F4"/>
    <w:rPr>
      <w:b/>
      <w:bCs/>
    </w:rPr>
  </w:style>
  <w:style w:type="character" w:customStyle="1" w:styleId="CommentSubjectChar">
    <w:name w:val="Comment Subject Char"/>
    <w:link w:val="CommentSubject"/>
    <w:rsid w:val="00A475F4"/>
    <w:rPr>
      <w:rFonts w:ascii="Arial" w:hAnsi="Arial"/>
      <w:b/>
      <w:bCs/>
      <w:lang w:eastAsia="en-US"/>
    </w:rPr>
  </w:style>
  <w:style w:type="paragraph" w:styleId="BalloonText">
    <w:name w:val="Balloon Text"/>
    <w:basedOn w:val="Normal"/>
    <w:link w:val="BalloonTextChar"/>
    <w:rsid w:val="00A475F4"/>
    <w:pPr>
      <w:spacing w:before="0" w:after="0" w:line="240" w:lineRule="auto"/>
    </w:pPr>
    <w:rPr>
      <w:rFonts w:ascii="Segoe UI" w:hAnsi="Segoe UI" w:cs="Segoe UI"/>
      <w:sz w:val="18"/>
      <w:szCs w:val="18"/>
    </w:rPr>
  </w:style>
  <w:style w:type="character" w:customStyle="1" w:styleId="BalloonTextChar">
    <w:name w:val="Balloon Text Char"/>
    <w:link w:val="BalloonText"/>
    <w:rsid w:val="00A475F4"/>
    <w:rPr>
      <w:rFonts w:ascii="Segoe UI" w:hAnsi="Segoe UI" w:cs="Segoe UI"/>
      <w:sz w:val="18"/>
      <w:szCs w:val="18"/>
      <w:lang w:eastAsia="en-US"/>
    </w:rPr>
  </w:style>
  <w:style w:type="paragraph" w:customStyle="1" w:styleId="PortfolioBullet">
    <w:name w:val="Portfolio_Bullet"/>
    <w:basedOn w:val="Normal"/>
    <w:rsid w:val="00473BB7"/>
    <w:pPr>
      <w:keepLines/>
      <w:numPr>
        <w:numId w:val="16"/>
      </w:numPr>
      <w:spacing w:before="0" w:after="240" w:line="240" w:lineRule="auto"/>
      <w:jc w:val="both"/>
    </w:pPr>
    <w:rPr>
      <w:szCs w:val="20"/>
    </w:rPr>
  </w:style>
  <w:style w:type="paragraph" w:customStyle="1" w:styleId="PortfolioBullet2">
    <w:name w:val="Portfolio_Bullet2"/>
    <w:basedOn w:val="Normal"/>
    <w:rsid w:val="00473BB7"/>
    <w:pPr>
      <w:keepLines/>
      <w:numPr>
        <w:ilvl w:val="1"/>
        <w:numId w:val="16"/>
      </w:numPr>
      <w:spacing w:before="0" w:after="240" w:line="240" w:lineRule="auto"/>
      <w:jc w:val="both"/>
    </w:pPr>
    <w:rPr>
      <w:szCs w:val="20"/>
    </w:rPr>
  </w:style>
  <w:style w:type="paragraph" w:customStyle="1" w:styleId="PortfolioBullet3">
    <w:name w:val="Portfolio_Bullet3"/>
    <w:basedOn w:val="Normal"/>
    <w:rsid w:val="00473BB7"/>
    <w:pPr>
      <w:keepLines/>
      <w:numPr>
        <w:ilvl w:val="2"/>
        <w:numId w:val="16"/>
      </w:numPr>
      <w:spacing w:before="0" w:after="240" w:line="240" w:lineRule="auto"/>
      <w:jc w:val="both"/>
    </w:pPr>
    <w:rPr>
      <w:szCs w:val="20"/>
    </w:rPr>
  </w:style>
  <w:style w:type="paragraph" w:customStyle="1" w:styleId="Default">
    <w:name w:val="Default"/>
    <w:rsid w:val="00001367"/>
    <w:pPr>
      <w:autoSpaceDE w:val="0"/>
      <w:autoSpaceDN w:val="0"/>
      <w:adjustRightInd w:val="0"/>
    </w:pPr>
    <w:rPr>
      <w:color w:val="000000"/>
      <w:sz w:val="24"/>
      <w:szCs w:val="24"/>
    </w:rPr>
  </w:style>
  <w:style w:type="paragraph" w:customStyle="1" w:styleId="Tablesub-heading">
    <w:name w:val="Table sub-heading"/>
    <w:basedOn w:val="Normal"/>
    <w:rsid w:val="00C27230"/>
    <w:pPr>
      <w:spacing w:before="120" w:after="120" w:line="240" w:lineRule="auto"/>
    </w:pPr>
    <w:rPr>
      <w:rFonts w:eastAsia="Calibri" w:cs="Arial"/>
      <w:b/>
      <w:bCs/>
      <w:szCs w:val="22"/>
      <w:lang w:eastAsia="en-AU"/>
    </w:rPr>
  </w:style>
  <w:style w:type="paragraph" w:styleId="TOC1">
    <w:name w:val="toc 1"/>
    <w:basedOn w:val="Normal"/>
    <w:next w:val="Normal"/>
    <w:autoRedefine/>
    <w:rsid w:val="00407F62"/>
  </w:style>
  <w:style w:type="paragraph" w:styleId="ListParagraph">
    <w:name w:val="List Paragraph"/>
    <w:basedOn w:val="Normal"/>
    <w:uiPriority w:val="34"/>
    <w:qFormat/>
    <w:rsid w:val="00B07E8B"/>
    <w:pPr>
      <w:spacing w:before="0" w:after="160" w:line="252" w:lineRule="auto"/>
      <w:ind w:left="720"/>
      <w:contextualSpacing/>
    </w:pPr>
    <w:rPr>
      <w:rFonts w:ascii="Calibri" w:eastAsia="Calibri" w:hAnsi="Calibri"/>
      <w:szCs w:val="22"/>
    </w:rPr>
  </w:style>
  <w:style w:type="paragraph" w:customStyle="1" w:styleId="Documenttitle">
    <w:name w:val="Document title"/>
    <w:basedOn w:val="Heading1"/>
    <w:next w:val="Documentsubtitle"/>
    <w:rsid w:val="00FE7FE4"/>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E7FE4"/>
    <w:pPr>
      <w:spacing w:before="0" w:after="320" w:line="300" w:lineRule="atLeast"/>
    </w:pPr>
    <w:rPr>
      <w:color w:val="808080"/>
      <w:sz w:val="28"/>
      <w:lang w:eastAsia="en-AU"/>
    </w:rPr>
  </w:style>
  <w:style w:type="paragraph" w:styleId="Revision">
    <w:name w:val="Revision"/>
    <w:hidden/>
    <w:uiPriority w:val="99"/>
    <w:semiHidden/>
    <w:rsid w:val="00D84882"/>
    <w:rPr>
      <w:rFonts w:ascii="Arial" w:hAnsi="Arial"/>
      <w:sz w:val="22"/>
      <w:szCs w:val="24"/>
      <w:lang w:eastAsia="en-US"/>
    </w:rPr>
  </w:style>
  <w:style w:type="character" w:customStyle="1" w:styleId="TabletextChar">
    <w:name w:val="Table text Char"/>
    <w:link w:val="Tabletext"/>
    <w:rsid w:val="009443C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118">
      <w:bodyDiv w:val="1"/>
      <w:marLeft w:val="0"/>
      <w:marRight w:val="0"/>
      <w:marTop w:val="0"/>
      <w:marBottom w:val="0"/>
      <w:divBdr>
        <w:top w:val="none" w:sz="0" w:space="0" w:color="auto"/>
        <w:left w:val="none" w:sz="0" w:space="0" w:color="auto"/>
        <w:bottom w:val="none" w:sz="0" w:space="0" w:color="auto"/>
        <w:right w:val="none" w:sz="0" w:space="0" w:color="auto"/>
      </w:divBdr>
    </w:div>
    <w:div w:id="733968331">
      <w:bodyDiv w:val="1"/>
      <w:marLeft w:val="0"/>
      <w:marRight w:val="0"/>
      <w:marTop w:val="0"/>
      <w:marBottom w:val="0"/>
      <w:divBdr>
        <w:top w:val="none" w:sz="0" w:space="0" w:color="auto"/>
        <w:left w:val="none" w:sz="0" w:space="0" w:color="auto"/>
        <w:bottom w:val="none" w:sz="0" w:space="0" w:color="auto"/>
        <w:right w:val="none" w:sz="0" w:space="0" w:color="auto"/>
      </w:divBdr>
    </w:div>
    <w:div w:id="16881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ld.gov.au/gov/recordkeeping" TargetMode="External"/><Relationship Id="rId18" Type="http://schemas.openxmlformats.org/officeDocument/2006/relationships/hyperlink" Target="http://www.qld.gov.au/gov/recordkeepin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qld.gov.au/gov/recordkeeping" TargetMode="External"/><Relationship Id="rId17" Type="http://schemas.openxmlformats.org/officeDocument/2006/relationships/hyperlink" Target="http://www.qld.gov.au/gov/recordkeep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ld.gov.au/gov/recordkeep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gov.au/gov/recordkeepin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qld.gov.au/gov/recordkeeping" TargetMode="External"/><Relationship Id="rId23" Type="http://schemas.openxmlformats.org/officeDocument/2006/relationships/header" Target="header3.xml"/><Relationship Id="rId10" Type="http://schemas.openxmlformats.org/officeDocument/2006/relationships/hyperlink" Target="https://www.qld.gov.au/gov/search-retention-and-disposal-schedul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qld.gov.au/gov/recordkeeping" TargetMode="External"/><Relationship Id="rId14" Type="http://schemas.openxmlformats.org/officeDocument/2006/relationships/hyperlink" Target="https://www.qld.gov.au/gov/recordkeeping"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C825-EB3F-406B-B6AA-C80FDF06EABA}">
  <ds:schemaRefs>
    <ds:schemaRef ds:uri="http://schemas.microsoft.com/office/2006/metadata/longProperties"/>
  </ds:schemaRefs>
</ds:datastoreItem>
</file>

<file path=customXml/itemProps2.xml><?xml version="1.0" encoding="utf-8"?>
<ds:datastoreItem xmlns:ds="http://schemas.openxmlformats.org/officeDocument/2006/customXml" ds:itemID="{83DA79C4-535B-435C-B99E-6C783777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26663</CharactersWithSpaces>
  <SharedDoc>false</SharedDoc>
  <HLinks>
    <vt:vector size="54" baseType="variant">
      <vt:variant>
        <vt:i4>4718713</vt:i4>
      </vt:variant>
      <vt:variant>
        <vt:i4>39</vt:i4>
      </vt:variant>
      <vt:variant>
        <vt:i4>0</vt:i4>
      </vt:variant>
      <vt:variant>
        <vt:i4>5</vt:i4>
      </vt:variant>
      <vt:variant>
        <vt:lpwstr>mailto:rkqueries@archives.qld.gov.au</vt:lpwstr>
      </vt:variant>
      <vt:variant>
        <vt:lpwstr/>
      </vt:variant>
      <vt:variant>
        <vt:i4>3735608</vt:i4>
      </vt:variant>
      <vt:variant>
        <vt:i4>36</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33</vt:i4>
      </vt:variant>
      <vt:variant>
        <vt:i4>0</vt:i4>
      </vt:variant>
      <vt:variant>
        <vt:i4>5</vt:i4>
      </vt:variant>
      <vt:variant>
        <vt:lpwstr>http://www.archives.qld.gov.au/Recordkeeping/GRKDownloads/Documents/Pre-1950s_Public_Records.pdf</vt:lpwstr>
      </vt:variant>
      <vt:variant>
        <vt:lpwstr/>
      </vt:variant>
      <vt:variant>
        <vt:i4>4718713</vt:i4>
      </vt:variant>
      <vt:variant>
        <vt:i4>27</vt:i4>
      </vt:variant>
      <vt:variant>
        <vt:i4>0</vt:i4>
      </vt:variant>
      <vt:variant>
        <vt:i4>5</vt:i4>
      </vt:variant>
      <vt:variant>
        <vt:lpwstr>mailto:rkqueries@archives.qld.gov.au</vt:lpwstr>
      </vt:variant>
      <vt:variant>
        <vt:lpwstr/>
      </vt:variant>
      <vt:variant>
        <vt:i4>3276832</vt:i4>
      </vt:variant>
      <vt:variant>
        <vt:i4>24</vt:i4>
      </vt:variant>
      <vt:variant>
        <vt:i4>0</vt:i4>
      </vt:variant>
      <vt:variant>
        <vt:i4>5</vt:i4>
      </vt:variant>
      <vt:variant>
        <vt:lpwstr>http://www.archives.qld.gov.au/Recordkeeping/GRKDownloads/Documents/GeneralDisposalSchedule.pdf</vt:lpwstr>
      </vt:variant>
      <vt:variant>
        <vt:lpwstr/>
      </vt:variant>
      <vt:variant>
        <vt:i4>3276832</vt:i4>
      </vt:variant>
      <vt:variant>
        <vt:i4>21</vt:i4>
      </vt:variant>
      <vt:variant>
        <vt:i4>0</vt:i4>
      </vt:variant>
      <vt:variant>
        <vt:i4>5</vt:i4>
      </vt:variant>
      <vt:variant>
        <vt:lpwstr>http://www.archives.qld.gov.au/Recordkeeping/GRKDownloads/Documents/GeneralDisposalSchedule.pdf</vt:lpwstr>
      </vt:variant>
      <vt:variant>
        <vt:lpwstr/>
      </vt:variant>
      <vt:variant>
        <vt:i4>4718713</vt:i4>
      </vt:variant>
      <vt:variant>
        <vt:i4>18</vt:i4>
      </vt:variant>
      <vt:variant>
        <vt:i4>0</vt:i4>
      </vt:variant>
      <vt:variant>
        <vt:i4>5</vt:i4>
      </vt:variant>
      <vt:variant>
        <vt:lpwstr>mailto:rkqueries@archives.qld.gov.au</vt:lpwstr>
      </vt:variant>
      <vt:variant>
        <vt:lpwstr/>
      </vt:variant>
      <vt:variant>
        <vt:i4>4718713</vt:i4>
      </vt:variant>
      <vt:variant>
        <vt:i4>15</vt:i4>
      </vt:variant>
      <vt:variant>
        <vt:i4>0</vt:i4>
      </vt:variant>
      <vt:variant>
        <vt:i4>5</vt:i4>
      </vt:variant>
      <vt:variant>
        <vt:lpwstr>mailto:rkqueries@archives.qld.gov.au</vt:lpwstr>
      </vt:variant>
      <vt:variant>
        <vt:lpwstr/>
      </vt:variant>
      <vt:variant>
        <vt:i4>3276832</vt:i4>
      </vt:variant>
      <vt:variant>
        <vt:i4>12</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Fair Trading Retention and Disposal Schedule</dc:title>
  <dc:subject/>
  <dc:creator/>
  <cp:keywords>Retention and disposal schedule, disposal authorisation, destruction, Fair Trading, Office of, Fair Trade, sentencing, RDS, Department of Justice and Attorney-General, JAG, </cp:keywords>
  <dc:description>Authorises the disposal of records relating to delivering a fair and safe marketplace for Queensland consumers and businesses including compliance, enforcement and investigation activities, industry licensing and registration, claims and recoveries created by Department of Justice and Attorney-General.</dc:description>
  <cp:lastModifiedBy/>
  <cp:revision>1</cp:revision>
  <dcterms:created xsi:type="dcterms:W3CDTF">2017-03-29T00:25:00Z</dcterms:created>
  <dcterms:modified xsi:type="dcterms:W3CDTF">2017-03-29T00:26:00Z</dcterms:modified>
</cp:coreProperties>
</file>