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113D4" w14:textId="140621F0" w:rsidR="0053030A" w:rsidRPr="00AB5E8F" w:rsidRDefault="00702DBC" w:rsidP="0053030A">
      <w:pPr>
        <w:widowControl w:val="0"/>
        <w:rPr>
          <w:rFonts w:cs="Arial"/>
          <w:bCs/>
          <w:sz w:val="28"/>
          <w:szCs w:val="28"/>
        </w:rPr>
      </w:pPr>
      <w:r w:rsidRPr="00F5054D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AF8E675" wp14:editId="175EE16D">
                <wp:simplePos x="0" y="0"/>
                <wp:positionH relativeFrom="margin">
                  <wp:align>left</wp:align>
                </wp:positionH>
                <wp:positionV relativeFrom="paragraph">
                  <wp:posOffset>614680</wp:posOffset>
                </wp:positionV>
                <wp:extent cx="6170930" cy="936625"/>
                <wp:effectExtent l="0" t="0" r="20320" b="158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0930" cy="9367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010519" w14:textId="17CB5748" w:rsidR="0050417B" w:rsidRPr="009C716A" w:rsidRDefault="0050417B" w:rsidP="00702DBC">
                            <w:pPr>
                              <w:widowControl w:val="0"/>
                              <w:rPr>
                                <w:rFonts w:cs="Arial"/>
                                <w:i/>
                              </w:rPr>
                            </w:pPr>
                            <w:r w:rsidRPr="009C716A">
                              <w:rPr>
                                <w:rFonts w:cs="Arial"/>
                                <w:i/>
                                <w:shd w:val="clear" w:color="auto" w:fill="BFBFBF"/>
                              </w:rPr>
                              <w:t xml:space="preserve">The purpose of this </w:t>
                            </w:r>
                            <w:r w:rsidR="00BA5126">
                              <w:rPr>
                                <w:rFonts w:cs="Arial"/>
                                <w:i/>
                                <w:shd w:val="clear" w:color="auto" w:fill="BFBFBF"/>
                              </w:rPr>
                              <w:t xml:space="preserve">template </w:t>
                            </w:r>
                            <w:r w:rsidRPr="009C716A">
                              <w:rPr>
                                <w:rFonts w:cs="Arial"/>
                                <w:i/>
                                <w:shd w:val="clear" w:color="auto" w:fill="BFBFBF"/>
                              </w:rPr>
                              <w:t>letter is to respond to a notice given by a</w:t>
                            </w:r>
                            <w:r w:rsidR="006534AF">
                              <w:rPr>
                                <w:rFonts w:cs="Arial"/>
                                <w:i/>
                                <w:shd w:val="clear" w:color="auto" w:fill="BFBFBF"/>
                              </w:rPr>
                              <w:t>n</w:t>
                            </w:r>
                            <w:r w:rsidRPr="009C716A">
                              <w:rPr>
                                <w:rFonts w:cs="Arial"/>
                                <w:i/>
                                <w:shd w:val="clear" w:color="auto" w:fill="BFBFBF"/>
                              </w:rPr>
                              <w:t xml:space="preserve"> employee </w:t>
                            </w:r>
                            <w:r w:rsidR="006534AF">
                              <w:rPr>
                                <w:rFonts w:cs="Arial"/>
                                <w:i/>
                                <w:shd w:val="clear" w:color="auto" w:fill="BFBFBF"/>
                              </w:rPr>
                              <w:t xml:space="preserve">acting </w:t>
                            </w:r>
                            <w:r w:rsidR="00DA4F05">
                              <w:rPr>
                                <w:rFonts w:cs="Arial"/>
                                <w:i/>
                                <w:shd w:val="clear" w:color="auto" w:fill="BFBFBF"/>
                              </w:rPr>
                              <w:t xml:space="preserve">at or seconded to </w:t>
                            </w:r>
                            <w:r w:rsidR="006534AF">
                              <w:rPr>
                                <w:rFonts w:cs="Arial"/>
                                <w:i/>
                                <w:shd w:val="clear" w:color="auto" w:fill="BFBFBF"/>
                              </w:rPr>
                              <w:t xml:space="preserve">a higher classification </w:t>
                            </w:r>
                            <w:r w:rsidR="002B3E44">
                              <w:rPr>
                                <w:rFonts w:cs="Arial"/>
                                <w:i/>
                                <w:shd w:val="clear" w:color="auto" w:fill="BFBFBF"/>
                              </w:rPr>
                              <w:t>level</w:t>
                            </w:r>
                            <w:r w:rsidR="006534AF">
                              <w:rPr>
                                <w:rFonts w:cs="Arial"/>
                                <w:i/>
                                <w:shd w:val="clear" w:color="auto" w:fill="BFBFBF"/>
                              </w:rPr>
                              <w:t xml:space="preserve">, </w:t>
                            </w:r>
                            <w:r w:rsidRPr="009C716A">
                              <w:rPr>
                                <w:rFonts w:cs="Arial"/>
                                <w:i/>
                                <w:shd w:val="clear" w:color="auto" w:fill="BFBFBF"/>
                              </w:rPr>
                              <w:t xml:space="preserve">about their eligibility for a conversion review under section </w:t>
                            </w:r>
                            <w:r>
                              <w:rPr>
                                <w:rFonts w:cs="Arial"/>
                                <w:i/>
                                <w:shd w:val="clear" w:color="auto" w:fill="BFBFBF"/>
                              </w:rPr>
                              <w:t>120</w:t>
                            </w:r>
                            <w:r w:rsidRPr="009C716A">
                              <w:rPr>
                                <w:rFonts w:cs="Arial"/>
                                <w:i/>
                                <w:shd w:val="clear" w:color="auto" w:fill="BFBFBF"/>
                              </w:rPr>
                              <w:t xml:space="preserve"> or </w:t>
                            </w:r>
                            <w:r>
                              <w:rPr>
                                <w:rFonts w:cs="Arial"/>
                                <w:i/>
                                <w:shd w:val="clear" w:color="auto" w:fill="BFBFBF"/>
                              </w:rPr>
                              <w:t>121</w:t>
                            </w:r>
                            <w:r w:rsidRPr="009C716A">
                              <w:rPr>
                                <w:rFonts w:cs="Arial"/>
                                <w:i/>
                                <w:shd w:val="clear" w:color="auto" w:fill="BFBFBF"/>
                              </w:rPr>
                              <w:t xml:space="preserve"> of the Public Sector Act 2022. It is essential to provide employees with fairness, including adequate time to make submissions about their conversion.</w:t>
                            </w:r>
                            <w:r w:rsidRPr="009C716A">
                              <w:rPr>
                                <w:rFonts w:cs="Arial"/>
                                <w:i/>
                              </w:rPr>
                              <w:t xml:space="preserve"> </w:t>
                            </w:r>
                            <w:r w:rsidRPr="00EF58A0">
                              <w:rPr>
                                <w:rFonts w:cs="Arial"/>
                                <w:iCs/>
                                <w:highlight w:val="yellow"/>
                              </w:rPr>
                              <w:t>[Delete before sending letter]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F8E6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8.4pt;width:485.9pt;height:73.75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">
                <v:textbox>
                  <w:txbxContent>
                    <w:p w14:paraId="05010519" w14:textId="17CB5748" w:rsidR="0050417B" w:rsidRPr="009C716A" w:rsidRDefault="0050417B" w:rsidP="00702DBC">
                      <w:pPr>
                        <w:widowControl w:val="0"/>
                        <w:rPr>
                          <w:rFonts w:cs="Arial"/>
                          <w:i/>
                        </w:rPr>
                      </w:pPr>
                      <w:r w:rsidRPr="009C716A">
                        <w:rPr>
                          <w:rFonts w:cs="Arial"/>
                          <w:i/>
                          <w:shd w:val="clear" w:color="auto" w:fill="BFBFBF"/>
                        </w:rPr>
                        <w:t xml:space="preserve">The purpose of this </w:t>
                      </w:r>
                      <w:r w:rsidR="00BA5126">
                        <w:rPr>
                          <w:rFonts w:cs="Arial"/>
                          <w:i/>
                          <w:shd w:val="clear" w:color="auto" w:fill="BFBFBF"/>
                        </w:rPr>
                        <w:t xml:space="preserve">template </w:t>
                      </w:r>
                      <w:r w:rsidRPr="009C716A">
                        <w:rPr>
                          <w:rFonts w:cs="Arial"/>
                          <w:i/>
                          <w:shd w:val="clear" w:color="auto" w:fill="BFBFBF"/>
                        </w:rPr>
                        <w:t>letter is to respond to a notice given by a</w:t>
                      </w:r>
                      <w:r w:rsidR="006534AF">
                        <w:rPr>
                          <w:rFonts w:cs="Arial"/>
                          <w:i/>
                          <w:shd w:val="clear" w:color="auto" w:fill="BFBFBF"/>
                        </w:rPr>
                        <w:t>n</w:t>
                      </w:r>
                      <w:r w:rsidRPr="009C716A">
                        <w:rPr>
                          <w:rFonts w:cs="Arial"/>
                          <w:i/>
                          <w:shd w:val="clear" w:color="auto" w:fill="BFBFBF"/>
                        </w:rPr>
                        <w:t xml:space="preserve"> employee </w:t>
                      </w:r>
                      <w:r w:rsidR="006534AF">
                        <w:rPr>
                          <w:rFonts w:cs="Arial"/>
                          <w:i/>
                          <w:shd w:val="clear" w:color="auto" w:fill="BFBFBF"/>
                        </w:rPr>
                        <w:t xml:space="preserve">acting </w:t>
                      </w:r>
                      <w:r w:rsidR="00DA4F05">
                        <w:rPr>
                          <w:rFonts w:cs="Arial"/>
                          <w:i/>
                          <w:shd w:val="clear" w:color="auto" w:fill="BFBFBF"/>
                        </w:rPr>
                        <w:t xml:space="preserve">at or seconded to </w:t>
                      </w:r>
                      <w:r w:rsidR="006534AF">
                        <w:rPr>
                          <w:rFonts w:cs="Arial"/>
                          <w:i/>
                          <w:shd w:val="clear" w:color="auto" w:fill="BFBFBF"/>
                        </w:rPr>
                        <w:t xml:space="preserve">a higher classification </w:t>
                      </w:r>
                      <w:r w:rsidR="002B3E44">
                        <w:rPr>
                          <w:rFonts w:cs="Arial"/>
                          <w:i/>
                          <w:shd w:val="clear" w:color="auto" w:fill="BFBFBF"/>
                        </w:rPr>
                        <w:t>level</w:t>
                      </w:r>
                      <w:r w:rsidR="006534AF">
                        <w:rPr>
                          <w:rFonts w:cs="Arial"/>
                          <w:i/>
                          <w:shd w:val="clear" w:color="auto" w:fill="BFBFBF"/>
                        </w:rPr>
                        <w:t xml:space="preserve">, </w:t>
                      </w:r>
                      <w:r w:rsidRPr="009C716A">
                        <w:rPr>
                          <w:rFonts w:cs="Arial"/>
                          <w:i/>
                          <w:shd w:val="clear" w:color="auto" w:fill="BFBFBF"/>
                        </w:rPr>
                        <w:t xml:space="preserve">about their eligibility for a conversion review under section </w:t>
                      </w:r>
                      <w:r>
                        <w:rPr>
                          <w:rFonts w:cs="Arial"/>
                          <w:i/>
                          <w:shd w:val="clear" w:color="auto" w:fill="BFBFBF"/>
                        </w:rPr>
                        <w:t>120</w:t>
                      </w:r>
                      <w:r w:rsidRPr="009C716A">
                        <w:rPr>
                          <w:rFonts w:cs="Arial"/>
                          <w:i/>
                          <w:shd w:val="clear" w:color="auto" w:fill="BFBFBF"/>
                        </w:rPr>
                        <w:t xml:space="preserve"> or </w:t>
                      </w:r>
                      <w:r>
                        <w:rPr>
                          <w:rFonts w:cs="Arial"/>
                          <w:i/>
                          <w:shd w:val="clear" w:color="auto" w:fill="BFBFBF"/>
                        </w:rPr>
                        <w:t>121</w:t>
                      </w:r>
                      <w:r w:rsidRPr="009C716A">
                        <w:rPr>
                          <w:rFonts w:cs="Arial"/>
                          <w:i/>
                          <w:shd w:val="clear" w:color="auto" w:fill="BFBFBF"/>
                        </w:rPr>
                        <w:t xml:space="preserve"> of the Public Sector Act 2022. It is essential to provide employees with fairness, including adequate time to make submissions about their conversion.</w:t>
                      </w:r>
                      <w:r w:rsidRPr="009C716A">
                        <w:rPr>
                          <w:rFonts w:cs="Arial"/>
                          <w:i/>
                        </w:rPr>
                        <w:t xml:space="preserve"> </w:t>
                      </w:r>
                      <w:r w:rsidRPr="00EF58A0">
                        <w:rPr>
                          <w:rFonts w:cs="Arial"/>
                          <w:iCs/>
                          <w:highlight w:val="yellow"/>
                        </w:rPr>
                        <w:t>[Delete before sending letter]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4130B" w:rsidRPr="001F322A">
        <w:rPr>
          <w:rFonts w:cs="Arial"/>
          <w:bCs/>
          <w:sz w:val="28"/>
          <w:szCs w:val="28"/>
        </w:rPr>
        <w:t>T</w:t>
      </w:r>
      <w:r w:rsidR="00C1050F" w:rsidRPr="001F322A">
        <w:rPr>
          <w:rFonts w:cs="Arial"/>
          <w:bCs/>
          <w:sz w:val="28"/>
          <w:szCs w:val="28"/>
        </w:rPr>
        <w:t xml:space="preserve">emplate </w:t>
      </w:r>
      <w:r w:rsidR="0053030A">
        <w:rPr>
          <w:rFonts w:cs="Arial"/>
          <w:bCs/>
          <w:sz w:val="28"/>
          <w:szCs w:val="28"/>
        </w:rPr>
        <w:t xml:space="preserve">letter: </w:t>
      </w:r>
      <w:r w:rsidR="00B234C6">
        <w:rPr>
          <w:rFonts w:cs="Arial"/>
          <w:bCs/>
          <w:sz w:val="28"/>
          <w:szCs w:val="28"/>
        </w:rPr>
        <w:t>Acknowledgement for request of acting or secondment at higher level</w:t>
      </w:r>
      <w:r w:rsidR="001C41DA" w:rsidRPr="7F71E448">
        <w:rPr>
          <w:rFonts w:cs="Arial"/>
          <w:sz w:val="28"/>
          <w:szCs w:val="28"/>
        </w:rPr>
        <w:t xml:space="preserve"> </w:t>
      </w:r>
    </w:p>
    <w:p w14:paraId="4C4390B4" w14:textId="1F830D07" w:rsidR="0050417B" w:rsidRPr="001F322A" w:rsidRDefault="0050417B" w:rsidP="00C1050F">
      <w:pPr>
        <w:widowControl w:val="0"/>
        <w:rPr>
          <w:rFonts w:cs="Arial"/>
          <w:noProof/>
          <w:szCs w:val="22"/>
          <w:highlight w:val="yellow"/>
        </w:rPr>
      </w:pPr>
      <w:bookmarkStart w:id="0" w:name="_Hlk128419370"/>
    </w:p>
    <w:p w14:paraId="21D8C1CE" w14:textId="77777777" w:rsidR="0050417B" w:rsidRDefault="0050417B" w:rsidP="00DF0177">
      <w:pPr>
        <w:rPr>
          <w:rFonts w:cs="Arial"/>
          <w:szCs w:val="22"/>
          <w:highlight w:val="lightGray"/>
        </w:rPr>
      </w:pPr>
    </w:p>
    <w:p w14:paraId="79560D6D" w14:textId="6D0988FA" w:rsidR="00DF0177" w:rsidRDefault="00DF0177" w:rsidP="00DF0177">
      <w:pPr>
        <w:rPr>
          <w:rFonts w:cs="Arial"/>
          <w:szCs w:val="22"/>
          <w:highlight w:val="lightGray"/>
        </w:rPr>
      </w:pPr>
      <w:r w:rsidRPr="00B66E1F">
        <w:rPr>
          <w:rFonts w:cs="Arial"/>
          <w:szCs w:val="22"/>
          <w:highlight w:val="lightGray"/>
        </w:rPr>
        <w:t>[Address]</w:t>
      </w:r>
    </w:p>
    <w:p w14:paraId="31055CB3" w14:textId="77777777" w:rsidR="00A95B6A" w:rsidRPr="00F5054D" w:rsidRDefault="00A95B6A" w:rsidP="00A95B6A">
      <w:pPr>
        <w:widowControl w:val="0"/>
      </w:pPr>
      <w:r w:rsidRPr="00FE6AB2">
        <w:rPr>
          <w:rFonts w:cs="Arial"/>
          <w:highlight w:val="lightGray"/>
        </w:rPr>
        <w:t>[Employee email address]</w:t>
      </w:r>
    </w:p>
    <w:bookmarkEnd w:id="0"/>
    <w:p w14:paraId="2591EDD3" w14:textId="77777777" w:rsidR="00C1050F" w:rsidRPr="001F322A" w:rsidRDefault="00C1050F" w:rsidP="00C1050F">
      <w:pPr>
        <w:widowControl w:val="0"/>
        <w:rPr>
          <w:rFonts w:cs="Arial"/>
          <w:szCs w:val="22"/>
        </w:rPr>
      </w:pPr>
    </w:p>
    <w:p w14:paraId="74266E86" w14:textId="77777777" w:rsidR="00083D24" w:rsidRPr="00B66E1F" w:rsidRDefault="00083D24" w:rsidP="00083D24">
      <w:pPr>
        <w:spacing w:line="26" w:lineRule="atLeast"/>
        <w:rPr>
          <w:rFonts w:cs="Arial"/>
          <w:szCs w:val="22"/>
        </w:rPr>
      </w:pPr>
      <w:r w:rsidRPr="00B66E1F">
        <w:rPr>
          <w:rFonts w:cs="Arial"/>
          <w:szCs w:val="22"/>
        </w:rPr>
        <w:t xml:space="preserve">Dear </w:t>
      </w:r>
      <w:r w:rsidRPr="00B66E1F">
        <w:rPr>
          <w:rFonts w:cs="Arial"/>
          <w:szCs w:val="22"/>
          <w:highlight w:val="lightGray"/>
        </w:rPr>
        <w:t>[insert name]</w:t>
      </w:r>
      <w:r w:rsidRPr="00B66E1F">
        <w:rPr>
          <w:rFonts w:cs="Arial"/>
          <w:szCs w:val="22"/>
        </w:rPr>
        <w:t>,</w:t>
      </w:r>
    </w:p>
    <w:p w14:paraId="219AEC58" w14:textId="0DD31CBF" w:rsidR="00C1050F" w:rsidRPr="001F322A" w:rsidRDefault="00C1050F" w:rsidP="00BC20F2">
      <w:pPr>
        <w:widowControl w:val="0"/>
        <w:tabs>
          <w:tab w:val="left" w:pos="6740"/>
        </w:tabs>
        <w:rPr>
          <w:rFonts w:cs="Arial"/>
          <w:iCs/>
          <w:szCs w:val="22"/>
          <w:highlight w:val="yellow"/>
        </w:rPr>
      </w:pPr>
    </w:p>
    <w:p w14:paraId="27E92D31" w14:textId="42D588B5" w:rsidR="005B467C" w:rsidRDefault="00F15D88" w:rsidP="00F529CD">
      <w:pPr>
        <w:widowControl w:val="0"/>
        <w:tabs>
          <w:tab w:val="left" w:pos="4536"/>
        </w:tabs>
        <w:rPr>
          <w:rFonts w:cs="Arial"/>
          <w:iCs/>
          <w:szCs w:val="22"/>
        </w:rPr>
      </w:pPr>
      <w:r w:rsidRPr="001F322A">
        <w:rPr>
          <w:rFonts w:cs="Arial"/>
          <w:iCs/>
          <w:szCs w:val="22"/>
        </w:rPr>
        <w:t xml:space="preserve">I </w:t>
      </w:r>
      <w:r w:rsidR="00E2263F" w:rsidRPr="001F322A">
        <w:rPr>
          <w:rFonts w:cs="Arial"/>
          <w:iCs/>
          <w:szCs w:val="22"/>
        </w:rPr>
        <w:t xml:space="preserve">am </w:t>
      </w:r>
      <w:r w:rsidRPr="001F322A">
        <w:rPr>
          <w:rFonts w:cs="Arial"/>
          <w:iCs/>
          <w:szCs w:val="22"/>
        </w:rPr>
        <w:t>writ</w:t>
      </w:r>
      <w:r w:rsidR="00E2263F" w:rsidRPr="001F322A">
        <w:rPr>
          <w:rFonts w:cs="Arial"/>
          <w:iCs/>
          <w:szCs w:val="22"/>
        </w:rPr>
        <w:t>ing</w:t>
      </w:r>
      <w:r w:rsidRPr="001F322A">
        <w:rPr>
          <w:rFonts w:cs="Arial"/>
          <w:iCs/>
          <w:szCs w:val="22"/>
        </w:rPr>
        <w:t xml:space="preserve"> in response to your </w:t>
      </w:r>
      <w:r w:rsidR="0029610B" w:rsidRPr="001F322A">
        <w:rPr>
          <w:rFonts w:cs="Arial"/>
          <w:iCs/>
          <w:szCs w:val="22"/>
        </w:rPr>
        <w:t xml:space="preserve">request </w:t>
      </w:r>
      <w:r w:rsidR="00E2263F" w:rsidRPr="001F322A">
        <w:rPr>
          <w:rFonts w:cs="Arial"/>
          <w:iCs/>
          <w:szCs w:val="22"/>
        </w:rPr>
        <w:t>to</w:t>
      </w:r>
      <w:r w:rsidR="00F262C9" w:rsidRPr="001F322A">
        <w:rPr>
          <w:rFonts w:cs="Arial"/>
          <w:iCs/>
          <w:szCs w:val="22"/>
        </w:rPr>
        <w:t xml:space="preserve"> </w:t>
      </w:r>
      <w:r w:rsidR="0088063E">
        <w:rPr>
          <w:rFonts w:cs="Arial"/>
          <w:iCs/>
          <w:szCs w:val="22"/>
        </w:rPr>
        <w:t xml:space="preserve">be </w:t>
      </w:r>
      <w:r w:rsidR="001845FE">
        <w:rPr>
          <w:rFonts w:cs="Arial"/>
          <w:iCs/>
          <w:szCs w:val="22"/>
        </w:rPr>
        <w:t xml:space="preserve">permanently </w:t>
      </w:r>
      <w:r w:rsidR="00204AA1" w:rsidRPr="001F322A">
        <w:rPr>
          <w:rFonts w:cs="Arial"/>
          <w:iCs/>
          <w:szCs w:val="22"/>
        </w:rPr>
        <w:t>employ</w:t>
      </w:r>
      <w:r w:rsidR="0088063E">
        <w:rPr>
          <w:rFonts w:cs="Arial"/>
          <w:iCs/>
          <w:szCs w:val="22"/>
        </w:rPr>
        <w:t>ed</w:t>
      </w:r>
      <w:r w:rsidR="00EA5750">
        <w:rPr>
          <w:rFonts w:cs="Arial"/>
          <w:iCs/>
          <w:szCs w:val="22"/>
        </w:rPr>
        <w:t xml:space="preserve"> </w:t>
      </w:r>
      <w:r w:rsidR="00204AA1" w:rsidRPr="001F322A">
        <w:rPr>
          <w:rFonts w:cs="Arial"/>
          <w:iCs/>
          <w:szCs w:val="22"/>
        </w:rPr>
        <w:t xml:space="preserve">at the higher classification level </w:t>
      </w:r>
      <w:r w:rsidR="006B1B60">
        <w:rPr>
          <w:rFonts w:cs="Arial"/>
          <w:iCs/>
          <w:szCs w:val="22"/>
        </w:rPr>
        <w:t>in</w:t>
      </w:r>
      <w:r w:rsidR="006B1B60" w:rsidRPr="001F322A">
        <w:rPr>
          <w:rFonts w:cs="Arial"/>
          <w:iCs/>
          <w:szCs w:val="22"/>
        </w:rPr>
        <w:t xml:space="preserve"> </w:t>
      </w:r>
      <w:r w:rsidR="00204AA1" w:rsidRPr="001F322A">
        <w:rPr>
          <w:rFonts w:cs="Arial"/>
          <w:iCs/>
          <w:szCs w:val="22"/>
        </w:rPr>
        <w:t>the role you are currently</w:t>
      </w:r>
      <w:r w:rsidR="007374BF" w:rsidRPr="001F322A">
        <w:rPr>
          <w:rFonts w:cs="Arial"/>
          <w:iCs/>
          <w:szCs w:val="22"/>
        </w:rPr>
        <w:t xml:space="preserve"> performing. </w:t>
      </w:r>
    </w:p>
    <w:p w14:paraId="2FA3F4E5" w14:textId="77777777" w:rsidR="005B467C" w:rsidRDefault="005B467C" w:rsidP="005B467C">
      <w:pPr>
        <w:widowControl w:val="0"/>
        <w:tabs>
          <w:tab w:val="left" w:pos="4536"/>
        </w:tabs>
        <w:jc w:val="both"/>
        <w:rPr>
          <w:rFonts w:cs="Arial"/>
        </w:rPr>
      </w:pPr>
    </w:p>
    <w:p w14:paraId="641405D0" w14:textId="6FAF357D" w:rsidR="005B467C" w:rsidRDefault="005B467C" w:rsidP="005B467C">
      <w:pPr>
        <w:widowControl w:val="0"/>
        <w:tabs>
          <w:tab w:val="left" w:pos="4536"/>
        </w:tabs>
        <w:jc w:val="both"/>
        <w:rPr>
          <w:rFonts w:cs="Arial"/>
        </w:rPr>
      </w:pPr>
      <w:r w:rsidRPr="6F82A278">
        <w:rPr>
          <w:rFonts w:cs="Arial"/>
        </w:rPr>
        <w:t xml:space="preserve">Firstly, I would like to acknowledge your </w:t>
      </w:r>
      <w:proofErr w:type="gramStart"/>
      <w:r w:rsidRPr="6F82A278">
        <w:rPr>
          <w:rFonts w:cs="Arial"/>
        </w:rPr>
        <w:t>service, and</w:t>
      </w:r>
      <w:proofErr w:type="gramEnd"/>
      <w:r w:rsidRPr="6F82A278">
        <w:rPr>
          <w:rFonts w:cs="Arial"/>
        </w:rPr>
        <w:t xml:space="preserve"> recognise the role you have performed in the </w:t>
      </w:r>
      <w:r w:rsidRPr="00884F50">
        <w:rPr>
          <w:rFonts w:cs="Arial"/>
          <w:highlight w:val="lightGray"/>
        </w:rPr>
        <w:t xml:space="preserve">[insert department, </w:t>
      </w:r>
      <w:r w:rsidRPr="6654E235">
        <w:rPr>
          <w:rFonts w:cs="Arial"/>
          <w:highlight w:val="lightGray"/>
        </w:rPr>
        <w:t>agency</w:t>
      </w:r>
      <w:r w:rsidRPr="00884F50">
        <w:rPr>
          <w:rFonts w:cs="Arial"/>
          <w:highlight w:val="lightGray"/>
        </w:rPr>
        <w:t xml:space="preserve"> or entity’s name]</w:t>
      </w:r>
      <w:r w:rsidRPr="6654E235">
        <w:rPr>
          <w:rFonts w:cs="Arial"/>
        </w:rPr>
        <w:t xml:space="preserve"> </w:t>
      </w:r>
      <w:r w:rsidRPr="6F82A278">
        <w:rPr>
          <w:rFonts w:cs="Arial"/>
        </w:rPr>
        <w:t>over this period.</w:t>
      </w:r>
    </w:p>
    <w:p w14:paraId="7718C280" w14:textId="77777777" w:rsidR="007374BF" w:rsidRPr="00A16BA5" w:rsidRDefault="007374BF" w:rsidP="00F529CD">
      <w:pPr>
        <w:widowControl w:val="0"/>
        <w:tabs>
          <w:tab w:val="left" w:pos="4536"/>
        </w:tabs>
        <w:rPr>
          <w:rFonts w:cs="Arial"/>
          <w:iCs/>
          <w:szCs w:val="22"/>
        </w:rPr>
      </w:pPr>
    </w:p>
    <w:p w14:paraId="68C8348B" w14:textId="73999E24" w:rsidR="002A4EE7" w:rsidRPr="00A16BA5" w:rsidRDefault="002A4EE7" w:rsidP="00324F5D">
      <w:pPr>
        <w:widowControl w:val="0"/>
        <w:tabs>
          <w:tab w:val="left" w:pos="4536"/>
        </w:tabs>
        <w:rPr>
          <w:rFonts w:cs="Arial"/>
        </w:rPr>
      </w:pPr>
      <w:r w:rsidRPr="7F71E448">
        <w:rPr>
          <w:rFonts w:cs="Arial"/>
        </w:rPr>
        <w:t>I will consider y</w:t>
      </w:r>
      <w:r w:rsidR="00A63929" w:rsidRPr="7F71E448">
        <w:rPr>
          <w:rFonts w:cs="Arial"/>
        </w:rPr>
        <w:t xml:space="preserve">our </w:t>
      </w:r>
      <w:r w:rsidR="00E2263F" w:rsidRPr="7F71E448">
        <w:rPr>
          <w:rFonts w:cs="Arial"/>
        </w:rPr>
        <w:t>request</w:t>
      </w:r>
      <w:r w:rsidR="0088063E">
        <w:rPr>
          <w:rFonts w:cs="Arial"/>
        </w:rPr>
        <w:t>,</w:t>
      </w:r>
      <w:r w:rsidR="00E2263F" w:rsidRPr="7F71E448">
        <w:rPr>
          <w:rFonts w:cs="Arial"/>
        </w:rPr>
        <w:t xml:space="preserve"> </w:t>
      </w:r>
      <w:r w:rsidRPr="7F71E448">
        <w:rPr>
          <w:rFonts w:cs="Arial"/>
        </w:rPr>
        <w:t>taking into account</w:t>
      </w:r>
      <w:r w:rsidR="00D13A9D" w:rsidRPr="7F71E448">
        <w:rPr>
          <w:rFonts w:cs="Arial"/>
        </w:rPr>
        <w:t xml:space="preserve"> </w:t>
      </w:r>
      <w:r w:rsidR="008C2551" w:rsidRPr="7F71E448">
        <w:rPr>
          <w:rFonts w:cs="Arial"/>
          <w:highlight w:val="lightGray"/>
        </w:rPr>
        <w:t>[</w:t>
      </w:r>
      <w:hyperlink r:id="rId9" w:anchor="sec.120" w:history="1">
        <w:r w:rsidR="00F476EB" w:rsidRPr="00D5404F">
          <w:rPr>
            <w:rStyle w:val="Hyperlink"/>
            <w:rFonts w:cs="Arial"/>
            <w:highlight w:val="lightGray"/>
          </w:rPr>
          <w:t xml:space="preserve">section </w:t>
        </w:r>
        <w:r w:rsidR="008C2551" w:rsidRPr="00D5404F">
          <w:rPr>
            <w:rStyle w:val="Hyperlink"/>
            <w:rFonts w:cs="Arial"/>
            <w:highlight w:val="lightGray"/>
          </w:rPr>
          <w:t>1</w:t>
        </w:r>
        <w:r w:rsidR="0088313F" w:rsidRPr="00D5404F">
          <w:rPr>
            <w:rStyle w:val="Hyperlink"/>
            <w:rFonts w:cs="Arial"/>
            <w:highlight w:val="lightGray"/>
          </w:rPr>
          <w:t>20</w:t>
        </w:r>
      </w:hyperlink>
      <w:r w:rsidR="008C2551" w:rsidRPr="00EF7F19">
        <w:rPr>
          <w:rFonts w:cs="Arial"/>
          <w:highlight w:val="lightGray"/>
        </w:rPr>
        <w:t xml:space="preserve"> or </w:t>
      </w:r>
      <w:hyperlink r:id="rId10" w:anchor="sec.121" w:history="1">
        <w:r w:rsidR="00F476EB" w:rsidRPr="00F476EB">
          <w:rPr>
            <w:rStyle w:val="Hyperlink"/>
            <w:rFonts w:cs="Arial"/>
            <w:highlight w:val="lightGray"/>
          </w:rPr>
          <w:t xml:space="preserve">section </w:t>
        </w:r>
        <w:r w:rsidR="008C2551" w:rsidRPr="00F476EB">
          <w:rPr>
            <w:rStyle w:val="Hyperlink"/>
            <w:rFonts w:cs="Arial"/>
            <w:highlight w:val="lightGray"/>
          </w:rPr>
          <w:t>1</w:t>
        </w:r>
        <w:r w:rsidR="0088313F" w:rsidRPr="00F476EB">
          <w:rPr>
            <w:rStyle w:val="Hyperlink"/>
            <w:rFonts w:cs="Arial"/>
            <w:highlight w:val="lightGray"/>
          </w:rPr>
          <w:t>21</w:t>
        </w:r>
      </w:hyperlink>
      <w:r w:rsidR="008C2551" w:rsidRPr="7F71E448">
        <w:rPr>
          <w:rFonts w:cs="Arial"/>
          <w:highlight w:val="lightGray"/>
        </w:rPr>
        <w:t>]</w:t>
      </w:r>
      <w:r w:rsidR="008C2551" w:rsidRPr="7F71E448">
        <w:rPr>
          <w:rFonts w:cs="Arial"/>
        </w:rPr>
        <w:t xml:space="preserve"> of </w:t>
      </w:r>
      <w:r w:rsidR="00D13A9D" w:rsidRPr="7F71E448">
        <w:rPr>
          <w:rFonts w:cs="Arial"/>
        </w:rPr>
        <w:t xml:space="preserve">the </w:t>
      </w:r>
      <w:r w:rsidR="00D13A9D" w:rsidRPr="7F71E448">
        <w:rPr>
          <w:rFonts w:cs="Arial"/>
          <w:i/>
        </w:rPr>
        <w:t xml:space="preserve">Public </w:t>
      </w:r>
      <w:r w:rsidR="00204AA1" w:rsidRPr="7F71E448">
        <w:rPr>
          <w:rFonts w:cs="Arial"/>
          <w:i/>
        </w:rPr>
        <w:t>Sector Act 2022</w:t>
      </w:r>
      <w:r w:rsidR="00D13A9D" w:rsidRPr="7F71E448">
        <w:rPr>
          <w:rFonts w:cs="Arial"/>
          <w:i/>
        </w:rPr>
        <w:t xml:space="preserve"> </w:t>
      </w:r>
      <w:r w:rsidR="00E2263F" w:rsidRPr="7F71E448">
        <w:rPr>
          <w:rFonts w:cs="Arial"/>
        </w:rPr>
        <w:t>(</w:t>
      </w:r>
      <w:r w:rsidR="00083D24" w:rsidRPr="7F71E448">
        <w:rPr>
          <w:rFonts w:cs="Arial"/>
        </w:rPr>
        <w:t xml:space="preserve">the </w:t>
      </w:r>
      <w:r w:rsidR="00E2263F" w:rsidRPr="7F71E448">
        <w:rPr>
          <w:rFonts w:cs="Arial"/>
        </w:rPr>
        <w:t xml:space="preserve">Act) </w:t>
      </w:r>
      <w:r w:rsidRPr="7F71E448">
        <w:rPr>
          <w:rFonts w:cs="Arial"/>
        </w:rPr>
        <w:t xml:space="preserve">requirements </w:t>
      </w:r>
      <w:r w:rsidR="00D13A9D" w:rsidRPr="7F71E448">
        <w:rPr>
          <w:rFonts w:cs="Arial"/>
        </w:rPr>
        <w:t>and</w:t>
      </w:r>
      <w:r w:rsidR="0088063E">
        <w:rPr>
          <w:rFonts w:cs="Arial"/>
        </w:rPr>
        <w:t xml:space="preserve"> the</w:t>
      </w:r>
      <w:r w:rsidR="00D13A9D" w:rsidRPr="7F71E448">
        <w:rPr>
          <w:rFonts w:cs="Arial"/>
        </w:rPr>
        <w:t xml:space="preserve"> </w:t>
      </w:r>
      <w:hyperlink r:id="rId11" w:history="1">
        <w:r w:rsidR="00C56D72" w:rsidRPr="00F476EB">
          <w:rPr>
            <w:rStyle w:val="Hyperlink"/>
            <w:rFonts w:cs="Arial"/>
          </w:rPr>
          <w:t>R</w:t>
        </w:r>
        <w:r w:rsidR="00204AA1" w:rsidRPr="00F476EB">
          <w:rPr>
            <w:rStyle w:val="Hyperlink"/>
            <w:rFonts w:cs="Arial"/>
          </w:rPr>
          <w:t xml:space="preserve">eview of acting or secondment </w:t>
        </w:r>
        <w:r w:rsidR="00C00930">
          <w:rPr>
            <w:rStyle w:val="Hyperlink"/>
            <w:rFonts w:cs="Arial"/>
          </w:rPr>
          <w:t>at</w:t>
        </w:r>
        <w:r w:rsidR="00204AA1" w:rsidRPr="00F476EB">
          <w:rPr>
            <w:rStyle w:val="Hyperlink"/>
            <w:rFonts w:cs="Arial"/>
          </w:rPr>
          <w:t xml:space="preserve"> higher classification level </w:t>
        </w:r>
        <w:r w:rsidR="007127DB">
          <w:rPr>
            <w:rStyle w:val="Hyperlink"/>
            <w:rFonts w:cs="Arial"/>
          </w:rPr>
          <w:t>(D</w:t>
        </w:r>
        <w:r w:rsidR="009379B3" w:rsidRPr="00F476EB">
          <w:rPr>
            <w:rStyle w:val="Hyperlink"/>
            <w:rFonts w:cs="Arial"/>
          </w:rPr>
          <w:t>irective 03/</w:t>
        </w:r>
        <w:r w:rsidR="008C2551" w:rsidRPr="00F476EB">
          <w:rPr>
            <w:rStyle w:val="Hyperlink"/>
            <w:rFonts w:cs="Arial"/>
          </w:rPr>
          <w:t>23</w:t>
        </w:r>
      </w:hyperlink>
      <w:r w:rsidR="007127DB">
        <w:rPr>
          <w:rStyle w:val="Hyperlink"/>
          <w:rFonts w:cs="Arial"/>
        </w:rPr>
        <w:t>)</w:t>
      </w:r>
      <w:r w:rsidR="00FF78CE">
        <w:rPr>
          <w:rStyle w:val="Hyperlink"/>
          <w:rFonts w:cs="Arial"/>
        </w:rPr>
        <w:t xml:space="preserve"> (the directive)</w:t>
      </w:r>
      <w:r w:rsidR="00204AA1" w:rsidRPr="7F71E448">
        <w:rPr>
          <w:rFonts w:cs="Arial"/>
        </w:rPr>
        <w:t>.</w:t>
      </w:r>
      <w:r w:rsidR="00A67B2F" w:rsidRPr="7F71E448">
        <w:rPr>
          <w:rFonts w:cs="Arial"/>
        </w:rPr>
        <w:t xml:space="preserve"> </w:t>
      </w:r>
    </w:p>
    <w:p w14:paraId="4428D535" w14:textId="77777777" w:rsidR="007374BF" w:rsidRPr="00A16BA5" w:rsidRDefault="007374BF" w:rsidP="00F529CD">
      <w:pPr>
        <w:widowControl w:val="0"/>
        <w:spacing w:after="60"/>
        <w:rPr>
          <w:rFonts w:cs="Arial"/>
          <w:szCs w:val="22"/>
        </w:rPr>
      </w:pPr>
    </w:p>
    <w:p w14:paraId="25DA0E6E" w14:textId="7682C872" w:rsidR="00A82111" w:rsidRDefault="41277123" w:rsidP="00462213">
      <w:pPr>
        <w:ind w:right="284"/>
        <w:rPr>
          <w:rFonts w:cs="Arial"/>
          <w:lang w:eastAsia="en-AU"/>
        </w:rPr>
      </w:pPr>
      <w:r w:rsidRPr="7F71E448">
        <w:rPr>
          <w:rFonts w:cs="Arial"/>
        </w:rPr>
        <w:t>T</w:t>
      </w:r>
      <w:r w:rsidR="3500C250" w:rsidRPr="7F71E448">
        <w:rPr>
          <w:rFonts w:cs="Arial"/>
        </w:rPr>
        <w:t xml:space="preserve">o </w:t>
      </w:r>
      <w:r w:rsidR="007374BF" w:rsidRPr="7F71E448">
        <w:rPr>
          <w:rFonts w:cs="Arial"/>
        </w:rPr>
        <w:t>be eligible for this review,</w:t>
      </w:r>
      <w:r w:rsidR="1AC421D8" w:rsidRPr="7F71E448">
        <w:rPr>
          <w:rFonts w:cs="Arial"/>
        </w:rPr>
        <w:t xml:space="preserve"> </w:t>
      </w:r>
      <w:r w:rsidR="001B46A5" w:rsidRPr="7F71E448">
        <w:rPr>
          <w:rFonts w:cs="Arial"/>
          <w:lang w:eastAsia="en-AU"/>
        </w:rPr>
        <w:t>y</w:t>
      </w:r>
      <w:r w:rsidR="09DF095C" w:rsidRPr="7F71E448">
        <w:rPr>
          <w:rFonts w:cs="Arial"/>
          <w:lang w:eastAsia="en-AU"/>
        </w:rPr>
        <w:t>ou</w:t>
      </w:r>
      <w:r w:rsidR="00CB69CC" w:rsidRPr="7F71E448">
        <w:rPr>
          <w:rFonts w:cs="Arial"/>
          <w:lang w:eastAsia="en-AU"/>
        </w:rPr>
        <w:t xml:space="preserve"> must have </w:t>
      </w:r>
      <w:r w:rsidR="00204AA1" w:rsidRPr="7F71E448">
        <w:rPr>
          <w:rFonts w:cs="Arial"/>
          <w:lang w:eastAsia="en-AU"/>
        </w:rPr>
        <w:t>been acting at, or seconded to</w:t>
      </w:r>
      <w:r w:rsidR="00924E68" w:rsidRPr="7F71E448">
        <w:rPr>
          <w:rFonts w:cs="Arial"/>
          <w:lang w:eastAsia="en-AU"/>
        </w:rPr>
        <w:t>,</w:t>
      </w:r>
      <w:r w:rsidR="00204AA1" w:rsidRPr="7F71E448">
        <w:rPr>
          <w:rFonts w:cs="Arial"/>
          <w:lang w:eastAsia="en-AU"/>
        </w:rPr>
        <w:t xml:space="preserve"> the </w:t>
      </w:r>
      <w:r w:rsidR="004B7AB8" w:rsidRPr="7F71E448">
        <w:rPr>
          <w:rFonts w:cs="Arial"/>
          <w:lang w:eastAsia="en-AU"/>
        </w:rPr>
        <w:t>higher classification</w:t>
      </w:r>
      <w:r w:rsidR="00657386" w:rsidRPr="7F71E448">
        <w:rPr>
          <w:rFonts w:cs="Arial"/>
          <w:lang w:eastAsia="en-AU"/>
        </w:rPr>
        <w:t xml:space="preserve"> level in the same</w:t>
      </w:r>
      <w:r w:rsidR="004B7AB8" w:rsidRPr="7F71E448">
        <w:rPr>
          <w:rFonts w:cs="Arial"/>
          <w:lang w:eastAsia="en-AU"/>
        </w:rPr>
        <w:t xml:space="preserve"> </w:t>
      </w:r>
      <w:r w:rsidR="00875B04" w:rsidRPr="7F71E448">
        <w:rPr>
          <w:rFonts w:cs="Arial"/>
          <w:lang w:eastAsia="en-AU"/>
        </w:rPr>
        <w:t xml:space="preserve">role </w:t>
      </w:r>
      <w:r w:rsidR="0066038F" w:rsidRPr="7F71E448">
        <w:rPr>
          <w:rFonts w:cs="Arial"/>
          <w:lang w:eastAsia="en-AU"/>
        </w:rPr>
        <w:t xml:space="preserve">for </w:t>
      </w:r>
      <w:r w:rsidR="00E84727" w:rsidRPr="7F71E448">
        <w:rPr>
          <w:rFonts w:cs="Arial"/>
          <w:lang w:eastAsia="en-AU"/>
        </w:rPr>
        <w:t xml:space="preserve">a continuous period of at least </w:t>
      </w:r>
      <w:r w:rsidR="4C07554D" w:rsidRPr="7F71E448">
        <w:rPr>
          <w:rFonts w:cs="Arial"/>
          <w:lang w:eastAsia="en-AU"/>
        </w:rPr>
        <w:t>one year</w:t>
      </w:r>
      <w:r w:rsidR="00B5353F" w:rsidRPr="7F71E448">
        <w:rPr>
          <w:rFonts w:cs="Arial"/>
          <w:lang w:eastAsia="en-AU"/>
        </w:rPr>
        <w:t>.</w:t>
      </w:r>
      <w:r w:rsidR="00C47032" w:rsidRPr="7F71E448">
        <w:rPr>
          <w:rFonts w:cs="Arial"/>
          <w:lang w:eastAsia="en-AU"/>
        </w:rPr>
        <w:t xml:space="preserve"> </w:t>
      </w:r>
    </w:p>
    <w:p w14:paraId="0866B3A2" w14:textId="77777777" w:rsidR="00A82111" w:rsidRDefault="00A82111" w:rsidP="00462213">
      <w:pPr>
        <w:ind w:right="284"/>
        <w:rPr>
          <w:rFonts w:cs="Arial"/>
          <w:szCs w:val="22"/>
          <w:lang w:eastAsia="en-AU"/>
        </w:rPr>
      </w:pPr>
    </w:p>
    <w:p w14:paraId="661D39B5" w14:textId="002E3405" w:rsidR="00C01280" w:rsidRPr="001F322A" w:rsidRDefault="007374BF" w:rsidP="00462213">
      <w:pPr>
        <w:ind w:right="284"/>
        <w:rPr>
          <w:rFonts w:cs="Arial"/>
          <w:szCs w:val="22"/>
        </w:rPr>
      </w:pPr>
      <w:r w:rsidRPr="001F322A">
        <w:rPr>
          <w:rFonts w:cs="Arial"/>
          <w:szCs w:val="22"/>
          <w:lang w:eastAsia="en-AU"/>
        </w:rPr>
        <w:t xml:space="preserve">Where </w:t>
      </w:r>
      <w:r w:rsidR="00B541FF" w:rsidRPr="001F322A">
        <w:rPr>
          <w:rFonts w:cs="Arial"/>
          <w:szCs w:val="22"/>
          <w:lang w:eastAsia="en-AU"/>
        </w:rPr>
        <w:t>th</w:t>
      </w:r>
      <w:r w:rsidR="00204AA1" w:rsidRPr="001F322A">
        <w:rPr>
          <w:rFonts w:cs="Arial"/>
          <w:szCs w:val="22"/>
          <w:lang w:eastAsia="en-AU"/>
        </w:rPr>
        <w:t>is</w:t>
      </w:r>
      <w:r w:rsidR="00B541FF" w:rsidRPr="001F322A">
        <w:rPr>
          <w:rFonts w:cs="Arial"/>
          <w:szCs w:val="22"/>
          <w:lang w:eastAsia="en-AU"/>
        </w:rPr>
        <w:t xml:space="preserve"> </w:t>
      </w:r>
      <w:r w:rsidRPr="001F322A">
        <w:rPr>
          <w:rFonts w:cs="Arial"/>
          <w:szCs w:val="22"/>
          <w:lang w:eastAsia="en-AU"/>
        </w:rPr>
        <w:t>requirement</w:t>
      </w:r>
      <w:r w:rsidR="00204AA1" w:rsidRPr="001F322A">
        <w:rPr>
          <w:rFonts w:cs="Arial"/>
          <w:szCs w:val="22"/>
          <w:lang w:eastAsia="en-AU"/>
        </w:rPr>
        <w:t xml:space="preserve"> </w:t>
      </w:r>
      <w:proofErr w:type="gramStart"/>
      <w:r w:rsidR="00204AA1" w:rsidRPr="001F322A">
        <w:rPr>
          <w:rFonts w:cs="Arial"/>
          <w:szCs w:val="22"/>
          <w:lang w:eastAsia="en-AU"/>
        </w:rPr>
        <w:t>is met</w:t>
      </w:r>
      <w:proofErr w:type="gramEnd"/>
      <w:r w:rsidR="00204AA1" w:rsidRPr="001F322A">
        <w:rPr>
          <w:rFonts w:cs="Arial"/>
          <w:szCs w:val="22"/>
          <w:lang w:eastAsia="en-AU"/>
        </w:rPr>
        <w:t xml:space="preserve">, </w:t>
      </w:r>
      <w:r w:rsidR="00A82111">
        <w:rPr>
          <w:rFonts w:cs="Arial"/>
          <w:szCs w:val="22"/>
          <w:lang w:eastAsia="en-AU"/>
        </w:rPr>
        <w:t>I will consider if</w:t>
      </w:r>
      <w:r w:rsidR="00204AA1" w:rsidRPr="001F322A">
        <w:rPr>
          <w:rFonts w:cs="Arial"/>
          <w:szCs w:val="22"/>
          <w:lang w:eastAsia="en-AU"/>
        </w:rPr>
        <w:t xml:space="preserve"> you are suitable to perform the role</w:t>
      </w:r>
      <w:r w:rsidR="004267DF">
        <w:rPr>
          <w:rFonts w:cs="Arial"/>
          <w:szCs w:val="22"/>
          <w:lang w:eastAsia="en-AU"/>
        </w:rPr>
        <w:t xml:space="preserve"> (</w:t>
      </w:r>
      <w:r w:rsidR="00204AA1" w:rsidRPr="001F322A">
        <w:rPr>
          <w:rFonts w:cs="Arial"/>
          <w:szCs w:val="22"/>
          <w:lang w:eastAsia="en-AU"/>
        </w:rPr>
        <w:t>as provided for in the directive</w:t>
      </w:r>
      <w:r w:rsidR="004267DF">
        <w:rPr>
          <w:rFonts w:cs="Arial"/>
          <w:szCs w:val="22"/>
          <w:lang w:eastAsia="en-AU"/>
        </w:rPr>
        <w:t>)</w:t>
      </w:r>
      <w:r w:rsidR="00204AA1" w:rsidRPr="001F322A">
        <w:rPr>
          <w:rFonts w:cs="Arial"/>
          <w:szCs w:val="22"/>
          <w:lang w:eastAsia="en-AU"/>
        </w:rPr>
        <w:t>,</w:t>
      </w:r>
      <w:r w:rsidR="00462213" w:rsidRPr="001F322A">
        <w:rPr>
          <w:rFonts w:cs="Arial"/>
          <w:szCs w:val="22"/>
          <w:lang w:eastAsia="en-AU"/>
        </w:rPr>
        <w:t xml:space="preserve"> </w:t>
      </w:r>
      <w:r w:rsidR="00462213" w:rsidRPr="001F322A">
        <w:rPr>
          <w:rFonts w:cs="Arial"/>
          <w:szCs w:val="22"/>
        </w:rPr>
        <w:t xml:space="preserve">the </w:t>
      </w:r>
      <w:r w:rsidR="00F106AB" w:rsidRPr="001F322A">
        <w:rPr>
          <w:rFonts w:cs="Arial"/>
          <w:szCs w:val="22"/>
        </w:rPr>
        <w:t>genuine operational requirements</w:t>
      </w:r>
      <w:r w:rsidR="00C01280" w:rsidRPr="001F322A">
        <w:rPr>
          <w:rFonts w:cs="Arial"/>
          <w:szCs w:val="22"/>
        </w:rPr>
        <w:t xml:space="preserve"> of the </w:t>
      </w:r>
      <w:r w:rsidR="004267DF" w:rsidRPr="00884F50">
        <w:rPr>
          <w:rFonts w:cs="Arial"/>
          <w:highlight w:val="lightGray"/>
        </w:rPr>
        <w:t xml:space="preserve">[insert department, </w:t>
      </w:r>
      <w:r w:rsidR="004267DF" w:rsidRPr="6654E235">
        <w:rPr>
          <w:rFonts w:cs="Arial"/>
          <w:highlight w:val="lightGray"/>
        </w:rPr>
        <w:t>agency</w:t>
      </w:r>
      <w:r w:rsidR="004267DF" w:rsidRPr="00884F50">
        <w:rPr>
          <w:rFonts w:cs="Arial"/>
          <w:highlight w:val="lightGray"/>
        </w:rPr>
        <w:t xml:space="preserve"> or entity’s name</w:t>
      </w:r>
      <w:r w:rsidR="006D00D4" w:rsidRPr="007B49A5">
        <w:rPr>
          <w:rFonts w:cs="Arial"/>
          <w:highlight w:val="lightGray"/>
        </w:rPr>
        <w:t>]</w:t>
      </w:r>
      <w:r w:rsidR="004267DF">
        <w:rPr>
          <w:rFonts w:cs="Arial"/>
          <w:szCs w:val="22"/>
        </w:rPr>
        <w:t>,</w:t>
      </w:r>
      <w:r w:rsidR="00502EEA" w:rsidRPr="001F322A">
        <w:rPr>
          <w:rFonts w:cs="Arial"/>
          <w:szCs w:val="22"/>
        </w:rPr>
        <w:t xml:space="preserve"> and any </w:t>
      </w:r>
      <w:r w:rsidR="001B0F24" w:rsidRPr="001F322A">
        <w:rPr>
          <w:rFonts w:cs="Arial"/>
          <w:szCs w:val="22"/>
        </w:rPr>
        <w:t>r</w:t>
      </w:r>
      <w:r w:rsidR="005E7185" w:rsidRPr="001F322A">
        <w:rPr>
          <w:rFonts w:cs="Arial"/>
          <w:szCs w:val="22"/>
        </w:rPr>
        <w:t xml:space="preserve">easons </w:t>
      </w:r>
      <w:r w:rsidR="00EC38D2" w:rsidRPr="001F322A">
        <w:rPr>
          <w:rFonts w:cs="Arial"/>
          <w:szCs w:val="22"/>
        </w:rPr>
        <w:t xml:space="preserve">for </w:t>
      </w:r>
      <w:r w:rsidR="00502EEA" w:rsidRPr="001F322A">
        <w:rPr>
          <w:rFonts w:cs="Arial"/>
          <w:szCs w:val="22"/>
        </w:rPr>
        <w:t xml:space="preserve">previous </w:t>
      </w:r>
      <w:r w:rsidR="00E010A3" w:rsidRPr="001F322A">
        <w:rPr>
          <w:rFonts w:cs="Arial"/>
          <w:szCs w:val="22"/>
        </w:rPr>
        <w:t>decision</w:t>
      </w:r>
      <w:r w:rsidR="00502EEA" w:rsidRPr="001F322A">
        <w:rPr>
          <w:rFonts w:cs="Arial"/>
          <w:szCs w:val="22"/>
        </w:rPr>
        <w:t>s</w:t>
      </w:r>
      <w:r w:rsidR="00E010A3" w:rsidRPr="001F322A">
        <w:rPr>
          <w:rFonts w:cs="Arial"/>
          <w:szCs w:val="22"/>
        </w:rPr>
        <w:t xml:space="preserve"> </w:t>
      </w:r>
      <w:r w:rsidR="00502EEA" w:rsidRPr="001F322A">
        <w:rPr>
          <w:rFonts w:cs="Arial"/>
          <w:szCs w:val="22"/>
        </w:rPr>
        <w:t xml:space="preserve">made </w:t>
      </w:r>
      <w:r w:rsidR="00E010A3" w:rsidRPr="001F322A">
        <w:rPr>
          <w:rFonts w:cs="Arial"/>
          <w:szCs w:val="22"/>
        </w:rPr>
        <w:t xml:space="preserve">during </w:t>
      </w:r>
      <w:r w:rsidR="00364085" w:rsidRPr="001F322A">
        <w:rPr>
          <w:rFonts w:cs="Arial"/>
          <w:szCs w:val="22"/>
        </w:rPr>
        <w:t xml:space="preserve">your </w:t>
      </w:r>
      <w:r w:rsidR="00B541FF" w:rsidRPr="001F322A">
        <w:rPr>
          <w:rFonts w:cs="Arial"/>
          <w:szCs w:val="22"/>
        </w:rPr>
        <w:t>engagement</w:t>
      </w:r>
      <w:r w:rsidR="00EC74C5" w:rsidRPr="001F322A">
        <w:rPr>
          <w:rFonts w:cs="Arial"/>
          <w:szCs w:val="22"/>
        </w:rPr>
        <w:t xml:space="preserve"> </w:t>
      </w:r>
      <w:r w:rsidR="00875B04" w:rsidRPr="001F322A">
        <w:rPr>
          <w:rFonts w:cs="Arial"/>
          <w:szCs w:val="22"/>
        </w:rPr>
        <w:t>in th</w:t>
      </w:r>
      <w:r w:rsidR="00B541FF" w:rsidRPr="001F322A">
        <w:rPr>
          <w:rFonts w:cs="Arial"/>
          <w:szCs w:val="22"/>
        </w:rPr>
        <w:t>e</w:t>
      </w:r>
      <w:r w:rsidR="00875B04" w:rsidRPr="001F322A">
        <w:rPr>
          <w:rFonts w:cs="Arial"/>
          <w:szCs w:val="22"/>
        </w:rPr>
        <w:t xml:space="preserve"> role</w:t>
      </w:r>
      <w:r w:rsidR="00EC74C5" w:rsidRPr="001F322A">
        <w:rPr>
          <w:rFonts w:cs="Arial"/>
          <w:szCs w:val="22"/>
        </w:rPr>
        <w:t>.</w:t>
      </w:r>
    </w:p>
    <w:p w14:paraId="69FA9C91" w14:textId="3B9E2B3B" w:rsidR="726431CA" w:rsidRPr="001F322A" w:rsidRDefault="726431CA" w:rsidP="00F529CD">
      <w:pPr>
        <w:rPr>
          <w:rFonts w:cs="Arial"/>
          <w:szCs w:val="22"/>
        </w:rPr>
      </w:pPr>
    </w:p>
    <w:p w14:paraId="364ABD15" w14:textId="0A8BF68A" w:rsidR="00525288" w:rsidRDefault="002F6DDC" w:rsidP="00525288">
      <w:pPr>
        <w:widowControl w:val="0"/>
        <w:spacing w:after="60"/>
        <w:rPr>
          <w:rFonts w:cs="Arial"/>
          <w:bCs/>
          <w:iCs/>
        </w:rPr>
      </w:pPr>
      <w:r w:rsidRPr="00F5054D">
        <w:rPr>
          <w:rFonts w:cs="Arial"/>
          <w:bCs/>
          <w:iCs/>
        </w:rPr>
        <w:t xml:space="preserve">Under the Act, a decision needs to </w:t>
      </w:r>
      <w:proofErr w:type="gramStart"/>
      <w:r w:rsidRPr="00F5054D">
        <w:rPr>
          <w:rFonts w:cs="Arial"/>
          <w:bCs/>
          <w:iCs/>
        </w:rPr>
        <w:t>be made</w:t>
      </w:r>
      <w:proofErr w:type="gramEnd"/>
      <w:r w:rsidRPr="00F5054D">
        <w:rPr>
          <w:rFonts w:cs="Arial"/>
          <w:bCs/>
          <w:iCs/>
        </w:rPr>
        <w:t xml:space="preserve"> within 28 days of your</w:t>
      </w:r>
      <w:r>
        <w:rPr>
          <w:rFonts w:cs="Arial"/>
          <w:bCs/>
          <w:iCs/>
        </w:rPr>
        <w:t xml:space="preserve"> request</w:t>
      </w:r>
      <w:r w:rsidRPr="00F5054D">
        <w:rPr>
          <w:rFonts w:cs="Arial"/>
          <w:bCs/>
          <w:iCs/>
        </w:rPr>
        <w:t xml:space="preserve"> date. I expect to </w:t>
      </w:r>
      <w:proofErr w:type="gramStart"/>
      <w:r w:rsidRPr="00F5054D">
        <w:rPr>
          <w:rFonts w:cs="Arial"/>
          <w:bCs/>
          <w:iCs/>
        </w:rPr>
        <w:t>make a decision</w:t>
      </w:r>
      <w:proofErr w:type="gramEnd"/>
      <w:r w:rsidRPr="00F5054D">
        <w:rPr>
          <w:rFonts w:cs="Arial"/>
          <w:bCs/>
          <w:iCs/>
        </w:rPr>
        <w:t xml:space="preserve"> within this timeframe</w:t>
      </w:r>
      <w:r>
        <w:rPr>
          <w:rFonts w:cs="Arial"/>
          <w:bCs/>
          <w:iCs/>
        </w:rPr>
        <w:t>.</w:t>
      </w:r>
    </w:p>
    <w:p w14:paraId="20649C40" w14:textId="77777777" w:rsidR="00525288" w:rsidRDefault="00525288" w:rsidP="00525288">
      <w:pPr>
        <w:widowControl w:val="0"/>
        <w:spacing w:after="60"/>
        <w:rPr>
          <w:rFonts w:cs="Arial"/>
          <w:bCs/>
          <w:iCs/>
        </w:rPr>
      </w:pPr>
    </w:p>
    <w:p w14:paraId="6FFCCB80" w14:textId="77777777" w:rsidR="00EE3017" w:rsidRDefault="002F6DDC" w:rsidP="002F6DDC">
      <w:pPr>
        <w:rPr>
          <w:rFonts w:cs="Arial"/>
          <w:iCs/>
        </w:rPr>
      </w:pPr>
      <w:r w:rsidRPr="6654E235">
        <w:rPr>
          <w:rFonts w:cs="Arial"/>
        </w:rPr>
        <w:t>However</w:t>
      </w:r>
      <w:r w:rsidR="003A5604">
        <w:rPr>
          <w:rFonts w:cs="Arial"/>
        </w:rPr>
        <w:t>,</w:t>
      </w:r>
      <w:r w:rsidRPr="6654E235">
        <w:rPr>
          <w:rFonts w:cs="Arial"/>
        </w:rPr>
        <w:t xml:space="preserve"> if </w:t>
      </w:r>
      <w:r w:rsidRPr="00F5054D">
        <w:rPr>
          <w:rFonts w:cs="Arial"/>
          <w:bCs/>
          <w:iCs/>
        </w:rPr>
        <w:t xml:space="preserve">a decision </w:t>
      </w:r>
      <w:r w:rsidRPr="6654E235">
        <w:rPr>
          <w:rFonts w:cs="Arial"/>
        </w:rPr>
        <w:t>is not made</w:t>
      </w:r>
      <w:r w:rsidR="00F43C18">
        <w:rPr>
          <w:rFonts w:cs="Arial"/>
        </w:rPr>
        <w:t xml:space="preserve"> within this </w:t>
      </w:r>
      <w:proofErr w:type="gramStart"/>
      <w:r w:rsidR="00F43C18">
        <w:rPr>
          <w:rFonts w:cs="Arial"/>
        </w:rPr>
        <w:t>timeframe</w:t>
      </w:r>
      <w:proofErr w:type="gramEnd"/>
      <w:r w:rsidRPr="6654E235">
        <w:rPr>
          <w:rFonts w:cs="Arial"/>
        </w:rPr>
        <w:t>, it</w:t>
      </w:r>
      <w:r w:rsidRPr="00F5054D">
        <w:rPr>
          <w:rFonts w:cs="Arial"/>
          <w:iCs/>
        </w:rPr>
        <w:t xml:space="preserve"> will be taken that </w:t>
      </w:r>
      <w:r w:rsidR="004B3AEF">
        <w:rPr>
          <w:rFonts w:cs="Arial"/>
          <w:iCs/>
          <w:szCs w:val="22"/>
          <w:lang w:bidi="ar-SA"/>
        </w:rPr>
        <w:t xml:space="preserve">you </w:t>
      </w:r>
      <w:r w:rsidR="007374BF" w:rsidRPr="001F322A">
        <w:rPr>
          <w:rFonts w:cs="Arial"/>
          <w:iCs/>
          <w:szCs w:val="22"/>
          <w:lang w:bidi="ar-SA"/>
        </w:rPr>
        <w:t xml:space="preserve">will not be permanently </w:t>
      </w:r>
      <w:r w:rsidR="00204AA1" w:rsidRPr="001F322A">
        <w:rPr>
          <w:rFonts w:cs="Arial"/>
          <w:iCs/>
          <w:szCs w:val="22"/>
          <w:lang w:bidi="ar-SA"/>
        </w:rPr>
        <w:t>employed in the position at the higher classification level on a permanent basis</w:t>
      </w:r>
      <w:r w:rsidR="00D50AFD">
        <w:rPr>
          <w:rFonts w:cs="Arial"/>
          <w:iCs/>
          <w:szCs w:val="22"/>
          <w:lang w:bidi="ar-SA"/>
        </w:rPr>
        <w:t xml:space="preserve"> </w:t>
      </w:r>
      <w:r w:rsidR="002D53D8">
        <w:rPr>
          <w:rFonts w:cs="Arial"/>
          <w:iCs/>
          <w:szCs w:val="22"/>
          <w:lang w:bidi="ar-SA"/>
        </w:rPr>
        <w:t xml:space="preserve">and </w:t>
      </w:r>
      <w:r w:rsidR="002D53D8">
        <w:rPr>
          <w:rFonts w:cs="Arial"/>
          <w:iCs/>
        </w:rPr>
        <w:t xml:space="preserve">that you will continue your existing </w:t>
      </w:r>
      <w:r w:rsidR="002D53D8" w:rsidRPr="00F8327C">
        <w:rPr>
          <w:rFonts w:cs="Arial"/>
          <w:highlight w:val="lightGray"/>
        </w:rPr>
        <w:t>[acting or secondment]</w:t>
      </w:r>
      <w:r w:rsidR="002D53D8">
        <w:rPr>
          <w:rFonts w:cs="Arial"/>
          <w:iCs/>
        </w:rPr>
        <w:t xml:space="preserve"> employment arrangements</w:t>
      </w:r>
      <w:r w:rsidR="007374BF" w:rsidRPr="001F322A">
        <w:rPr>
          <w:rFonts w:cs="Arial"/>
          <w:iCs/>
          <w:szCs w:val="22"/>
          <w:lang w:bidi="ar-SA"/>
        </w:rPr>
        <w:t>.</w:t>
      </w:r>
      <w:r w:rsidR="003A5604">
        <w:rPr>
          <w:rFonts w:cs="Arial"/>
          <w:iCs/>
        </w:rPr>
        <w:t xml:space="preserve"> </w:t>
      </w:r>
    </w:p>
    <w:p w14:paraId="02793A04" w14:textId="77777777" w:rsidR="00EE3017" w:rsidRDefault="00EE3017" w:rsidP="002F6DDC">
      <w:pPr>
        <w:rPr>
          <w:rFonts w:cs="Arial"/>
          <w:iCs/>
        </w:rPr>
      </w:pPr>
    </w:p>
    <w:p w14:paraId="2E3A5F87" w14:textId="502A512E" w:rsidR="003A5604" w:rsidRDefault="000653D1" w:rsidP="002F6DDC">
      <w:pPr>
        <w:rPr>
          <w:rStyle w:val="CommentSubjectChar"/>
          <w:rFonts w:cs="Arial"/>
          <w:szCs w:val="22"/>
        </w:rPr>
      </w:pPr>
      <w:r w:rsidRPr="00F5054D">
        <w:rPr>
          <w:rFonts w:cs="Arial"/>
          <w:iCs/>
        </w:rPr>
        <w:t xml:space="preserve">You will </w:t>
      </w:r>
      <w:proofErr w:type="gramStart"/>
      <w:r w:rsidRPr="00F5054D">
        <w:rPr>
          <w:rFonts w:cs="Arial"/>
          <w:iCs/>
        </w:rPr>
        <w:t>be advised</w:t>
      </w:r>
      <w:proofErr w:type="gramEnd"/>
      <w:r w:rsidRPr="00F5054D">
        <w:rPr>
          <w:rFonts w:cs="Arial"/>
          <w:iCs/>
        </w:rPr>
        <w:t xml:space="preserve"> in writing of the outcome of your request</w:t>
      </w:r>
      <w:r>
        <w:rPr>
          <w:rStyle w:val="CommentSubjectChar"/>
          <w:rFonts w:cs="Arial"/>
          <w:szCs w:val="22"/>
        </w:rPr>
        <w:t xml:space="preserve">. </w:t>
      </w:r>
    </w:p>
    <w:p w14:paraId="796590BF" w14:textId="77777777" w:rsidR="003A5604" w:rsidRDefault="003A5604" w:rsidP="002F6DDC">
      <w:pPr>
        <w:rPr>
          <w:rStyle w:val="CommentSubjectChar"/>
          <w:rFonts w:cs="Arial"/>
          <w:szCs w:val="22"/>
        </w:rPr>
      </w:pPr>
    </w:p>
    <w:p w14:paraId="77B22645" w14:textId="1E32C2A7" w:rsidR="005A45DF" w:rsidRPr="001F322A" w:rsidRDefault="005A45DF" w:rsidP="002F6DDC">
      <w:pPr>
        <w:rPr>
          <w:rStyle w:val="eop"/>
          <w:rFonts w:cs="Arial"/>
          <w:iCs/>
          <w:szCs w:val="22"/>
          <w:lang w:bidi="ar-SA"/>
        </w:rPr>
      </w:pPr>
      <w:r w:rsidRPr="001F322A">
        <w:rPr>
          <w:rStyle w:val="eop"/>
          <w:rFonts w:cs="Arial"/>
          <w:szCs w:val="22"/>
        </w:rPr>
        <w:t>I have attached additional information at the end of this letter about the decision-making framework</w:t>
      </w:r>
      <w:r w:rsidR="00F43C18">
        <w:rPr>
          <w:rStyle w:val="eop"/>
          <w:rFonts w:cs="Arial"/>
          <w:szCs w:val="22"/>
        </w:rPr>
        <w:t>, additional review rights</w:t>
      </w:r>
      <w:r w:rsidRPr="001F322A">
        <w:rPr>
          <w:rStyle w:val="eop"/>
          <w:rFonts w:cs="Arial"/>
          <w:szCs w:val="22"/>
        </w:rPr>
        <w:t xml:space="preserve"> and appeal rights provided for under the Act and </w:t>
      </w:r>
      <w:r w:rsidR="00FF78CE">
        <w:rPr>
          <w:rStyle w:val="eop"/>
          <w:rFonts w:cs="Arial"/>
          <w:szCs w:val="22"/>
        </w:rPr>
        <w:t xml:space="preserve">the </w:t>
      </w:r>
      <w:r w:rsidRPr="001F322A">
        <w:rPr>
          <w:rStyle w:val="eop"/>
          <w:rFonts w:cs="Arial"/>
          <w:szCs w:val="22"/>
        </w:rPr>
        <w:t>directive.</w:t>
      </w:r>
    </w:p>
    <w:p w14:paraId="4AB171B1" w14:textId="77777777" w:rsidR="007374BF" w:rsidRPr="001F322A" w:rsidRDefault="007374BF">
      <w:pPr>
        <w:rPr>
          <w:rFonts w:cs="Arial"/>
          <w:szCs w:val="22"/>
        </w:rPr>
      </w:pPr>
    </w:p>
    <w:p w14:paraId="5A422083" w14:textId="77777777" w:rsidR="00920043" w:rsidRPr="00622752" w:rsidRDefault="00920043" w:rsidP="00920043">
      <w:pPr>
        <w:rPr>
          <w:rFonts w:cs="Arial"/>
        </w:rPr>
      </w:pPr>
      <w:r w:rsidRPr="6654E235">
        <w:rPr>
          <w:highlight w:val="lightGray"/>
        </w:rPr>
        <w:t>[Insert name]</w:t>
      </w:r>
      <w:r w:rsidRPr="6654E235">
        <w:t xml:space="preserve"> has </w:t>
      </w:r>
      <w:proofErr w:type="gramStart"/>
      <w:r w:rsidRPr="6654E235">
        <w:t>been assigned</w:t>
      </w:r>
      <w:proofErr w:type="gramEnd"/>
      <w:r w:rsidRPr="6654E235">
        <w:t xml:space="preserve"> as the contact for the review. Should you have any questions regarding this letter, </w:t>
      </w:r>
      <w:r w:rsidRPr="6654E235">
        <w:rPr>
          <w:rFonts w:cs="Arial"/>
          <w:color w:val="000000" w:themeColor="text1"/>
        </w:rPr>
        <w:t>please contact </w:t>
      </w:r>
      <w:r w:rsidRPr="00884F50">
        <w:rPr>
          <w:rFonts w:cs="Arial"/>
          <w:highlight w:val="lightGray"/>
        </w:rPr>
        <w:t>[insert name of contact]</w:t>
      </w:r>
      <w:r w:rsidRPr="00884F50">
        <w:rPr>
          <w:rFonts w:cs="Arial"/>
        </w:rPr>
        <w:t xml:space="preserve"> on </w:t>
      </w:r>
      <w:r w:rsidRPr="00884F50">
        <w:rPr>
          <w:rFonts w:cs="Arial"/>
          <w:iCs/>
          <w:highlight w:val="lightGray"/>
        </w:rPr>
        <w:t>[insert telephone number]</w:t>
      </w:r>
      <w:r w:rsidRPr="00884F50">
        <w:rPr>
          <w:rFonts w:cs="Arial"/>
          <w:iCs/>
        </w:rPr>
        <w:t>.</w:t>
      </w:r>
    </w:p>
    <w:p w14:paraId="1527FDE4" w14:textId="77777777" w:rsidR="00900384" w:rsidRPr="00F5054D" w:rsidRDefault="00900384" w:rsidP="00900384">
      <w:pPr>
        <w:rPr>
          <w:rFonts w:cs="Arial"/>
        </w:rPr>
      </w:pPr>
    </w:p>
    <w:p w14:paraId="3A43D2FE" w14:textId="77777777" w:rsidR="00900384" w:rsidRPr="00F5054D" w:rsidRDefault="00900384" w:rsidP="00900384">
      <w:pPr>
        <w:widowControl w:val="0"/>
        <w:spacing w:after="840"/>
      </w:pPr>
      <w:r w:rsidRPr="00F5054D">
        <w:rPr>
          <w:rFonts w:cs="Arial"/>
        </w:rPr>
        <w:t>Yours sincerely</w:t>
      </w:r>
    </w:p>
    <w:p w14:paraId="1B282359" w14:textId="77777777" w:rsidR="00EE3017" w:rsidRDefault="008936F3" w:rsidP="00900384">
      <w:r w:rsidRPr="6654E235">
        <w:rPr>
          <w:highlight w:val="lightGray"/>
        </w:rPr>
        <w:lastRenderedPageBreak/>
        <w:t>[</w:t>
      </w:r>
      <w:r w:rsidR="00D42CE9">
        <w:rPr>
          <w:highlight w:val="lightGray"/>
        </w:rPr>
        <w:t>D</w:t>
      </w:r>
      <w:r>
        <w:rPr>
          <w:highlight w:val="lightGray"/>
        </w:rPr>
        <w:t>ecision maker</w:t>
      </w:r>
      <w:r w:rsidRPr="6654E235">
        <w:rPr>
          <w:highlight w:val="lightGray"/>
        </w:rPr>
        <w:t>]</w:t>
      </w:r>
      <w:r w:rsidRPr="6654E235">
        <w:t xml:space="preserve"> </w:t>
      </w:r>
    </w:p>
    <w:p w14:paraId="0B4B2610" w14:textId="23C6C2B3" w:rsidR="00900384" w:rsidRPr="00884F50" w:rsidRDefault="00900384" w:rsidP="00900384">
      <w:pPr>
        <w:rPr>
          <w:rFonts w:cs="Arial"/>
          <w:highlight w:val="lightGray"/>
        </w:rPr>
      </w:pPr>
      <w:r w:rsidRPr="00884F50">
        <w:rPr>
          <w:rFonts w:cs="Arial"/>
          <w:highlight w:val="lightGray"/>
        </w:rPr>
        <w:t>[</w:t>
      </w:r>
      <w:r w:rsidR="0099082E">
        <w:rPr>
          <w:rFonts w:cs="Arial"/>
          <w:highlight w:val="lightGray"/>
        </w:rPr>
        <w:t>Position</w:t>
      </w:r>
      <w:r w:rsidRPr="00884F50">
        <w:rPr>
          <w:rFonts w:cs="Arial"/>
          <w:highlight w:val="lightGray"/>
        </w:rPr>
        <w:t>]</w:t>
      </w:r>
    </w:p>
    <w:p w14:paraId="5AA11D3F" w14:textId="52280B7E" w:rsidR="00F74977" w:rsidRPr="00227D7D" w:rsidRDefault="00F74977">
      <w:pPr>
        <w:rPr>
          <w:rFonts w:cs="Arial"/>
          <w:szCs w:val="22"/>
        </w:rPr>
      </w:pPr>
    </w:p>
    <w:p w14:paraId="654DC5ED" w14:textId="68342EB1" w:rsidR="005A45DF" w:rsidRPr="00B66E1F" w:rsidRDefault="005A45DF">
      <w:pPr>
        <w:spacing w:after="160" w:line="259" w:lineRule="auto"/>
        <w:rPr>
          <w:rFonts w:cs="Arial"/>
          <w:szCs w:val="22"/>
        </w:rPr>
      </w:pPr>
      <w:r w:rsidRPr="00B66E1F">
        <w:rPr>
          <w:rFonts w:cs="Arial"/>
          <w:szCs w:val="22"/>
        </w:rPr>
        <w:br w:type="page"/>
      </w:r>
    </w:p>
    <w:p w14:paraId="27E6D749" w14:textId="77777777" w:rsidR="005A45DF" w:rsidRPr="00B66E1F" w:rsidRDefault="005A45DF" w:rsidP="005A45DF">
      <w:pPr>
        <w:widowControl w:val="0"/>
        <w:spacing w:after="60"/>
        <w:rPr>
          <w:rFonts w:cs="Arial"/>
          <w:b/>
          <w:szCs w:val="22"/>
        </w:rPr>
      </w:pPr>
      <w:bookmarkStart w:id="1" w:name="_Hlk53065472"/>
      <w:r w:rsidRPr="008E1087">
        <w:rPr>
          <w:rFonts w:cs="Arial"/>
          <w:b/>
          <w:szCs w:val="22"/>
        </w:rPr>
        <w:lastRenderedPageBreak/>
        <w:t>Additional</w:t>
      </w:r>
      <w:r w:rsidRPr="00B66E1F">
        <w:rPr>
          <w:rFonts w:cs="Arial"/>
          <w:b/>
          <w:szCs w:val="22"/>
        </w:rPr>
        <w:t xml:space="preserve"> information</w:t>
      </w:r>
    </w:p>
    <w:p w14:paraId="5DDDDC97" w14:textId="77777777" w:rsidR="005A45DF" w:rsidRPr="00B66E1F" w:rsidRDefault="005A45DF" w:rsidP="005A45DF">
      <w:pPr>
        <w:widowControl w:val="0"/>
        <w:spacing w:after="60"/>
        <w:rPr>
          <w:rFonts w:cs="Arial"/>
          <w:b/>
          <w:szCs w:val="22"/>
        </w:rPr>
      </w:pPr>
    </w:p>
    <w:p w14:paraId="23647B3A" w14:textId="77777777" w:rsidR="005A45DF" w:rsidRPr="00B66E1F" w:rsidRDefault="005A45DF" w:rsidP="005A45DF">
      <w:pPr>
        <w:widowControl w:val="0"/>
        <w:spacing w:after="60"/>
        <w:rPr>
          <w:rFonts w:cs="Arial"/>
          <w:b/>
          <w:szCs w:val="22"/>
        </w:rPr>
      </w:pPr>
      <w:r w:rsidRPr="00B66E1F">
        <w:rPr>
          <w:rFonts w:cs="Arial"/>
          <w:b/>
          <w:szCs w:val="22"/>
        </w:rPr>
        <w:t>Decision making framework</w:t>
      </w:r>
    </w:p>
    <w:p w14:paraId="60D828E6" w14:textId="4D9F2E5D" w:rsidR="005A45DF" w:rsidRPr="00B66E1F" w:rsidRDefault="005A45DF" w:rsidP="005A45DF">
      <w:pPr>
        <w:widowControl w:val="0"/>
        <w:spacing w:after="60"/>
        <w:rPr>
          <w:rFonts w:cs="Arial"/>
          <w:szCs w:val="22"/>
        </w:rPr>
      </w:pPr>
      <w:r w:rsidRPr="00B66E1F">
        <w:rPr>
          <w:rFonts w:cs="Arial"/>
          <w:szCs w:val="22"/>
        </w:rPr>
        <w:t xml:space="preserve">This review is conducted in accordance with the </w:t>
      </w:r>
      <w:hyperlink r:id="rId12" w:history="1">
        <w:r w:rsidRPr="004130CA">
          <w:rPr>
            <w:rStyle w:val="Hyperlink"/>
            <w:rFonts w:cs="Arial"/>
            <w:i/>
            <w:iCs/>
            <w:szCs w:val="22"/>
          </w:rPr>
          <w:t>Public Sector Act 2022</w:t>
        </w:r>
      </w:hyperlink>
      <w:r w:rsidRPr="00B66E1F">
        <w:rPr>
          <w:rFonts w:cs="Arial"/>
          <w:i/>
          <w:iCs/>
          <w:szCs w:val="22"/>
        </w:rPr>
        <w:t xml:space="preserve"> </w:t>
      </w:r>
      <w:r w:rsidRPr="00B66E1F">
        <w:rPr>
          <w:rFonts w:cs="Arial"/>
          <w:szCs w:val="22"/>
        </w:rPr>
        <w:t>(</w:t>
      </w:r>
      <w:r w:rsidR="00A3537D" w:rsidRPr="00B66E1F">
        <w:rPr>
          <w:rFonts w:cs="Arial"/>
          <w:szCs w:val="22"/>
        </w:rPr>
        <w:t xml:space="preserve">the </w:t>
      </w:r>
      <w:r w:rsidRPr="00B66E1F">
        <w:rPr>
          <w:rFonts w:cs="Arial"/>
          <w:szCs w:val="22"/>
        </w:rPr>
        <w:t xml:space="preserve">Act) and the </w:t>
      </w:r>
      <w:hyperlink r:id="rId13" w:history="1">
        <w:r w:rsidRPr="00920043">
          <w:rPr>
            <w:rStyle w:val="Hyperlink"/>
            <w:rFonts w:cs="Arial"/>
            <w:szCs w:val="22"/>
          </w:rPr>
          <w:t>R</w:t>
        </w:r>
        <w:r w:rsidRPr="00B72080">
          <w:rPr>
            <w:rStyle w:val="Hyperlink"/>
            <w:rFonts w:eastAsiaTheme="minorHAnsi" w:cs="Arial"/>
            <w:color w:val="0563C1" w:themeColor="hyperlink"/>
            <w:szCs w:val="22"/>
            <w:lang w:bidi="ar-SA"/>
          </w:rPr>
          <w:t>eview of acting or second</w:t>
        </w:r>
        <w:r w:rsidRPr="00920043">
          <w:rPr>
            <w:rStyle w:val="Hyperlink"/>
            <w:rFonts w:cs="Arial"/>
            <w:szCs w:val="22"/>
          </w:rPr>
          <w:t xml:space="preserve">ment at higher classification level </w:t>
        </w:r>
        <w:r w:rsidR="00A3537D" w:rsidRPr="00920043">
          <w:rPr>
            <w:rStyle w:val="Hyperlink"/>
            <w:rFonts w:cs="Arial"/>
            <w:szCs w:val="22"/>
          </w:rPr>
          <w:t>(</w:t>
        </w:r>
        <w:r w:rsidR="00B85F8E">
          <w:rPr>
            <w:rStyle w:val="Hyperlink"/>
            <w:rFonts w:cs="Arial"/>
            <w:szCs w:val="22"/>
          </w:rPr>
          <w:t>D</w:t>
        </w:r>
        <w:r w:rsidRPr="00920043">
          <w:rPr>
            <w:rStyle w:val="Hyperlink"/>
            <w:rFonts w:cs="Arial"/>
            <w:szCs w:val="22"/>
          </w:rPr>
          <w:t>irective 03/23</w:t>
        </w:r>
        <w:r w:rsidR="00CB6893" w:rsidRPr="00920043">
          <w:rPr>
            <w:rStyle w:val="Hyperlink"/>
            <w:rFonts w:cs="Arial"/>
            <w:szCs w:val="22"/>
          </w:rPr>
          <w:t>)</w:t>
        </w:r>
      </w:hyperlink>
      <w:r w:rsidRPr="00B66E1F">
        <w:rPr>
          <w:rFonts w:cs="Arial"/>
          <w:szCs w:val="22"/>
        </w:rPr>
        <w:t xml:space="preserve">. </w:t>
      </w:r>
    </w:p>
    <w:p w14:paraId="5FA5EEAC" w14:textId="77777777" w:rsidR="005A45DF" w:rsidRPr="00B66E1F" w:rsidRDefault="005A45DF" w:rsidP="005A45DF">
      <w:pPr>
        <w:widowControl w:val="0"/>
        <w:spacing w:after="60"/>
        <w:rPr>
          <w:rFonts w:cs="Arial"/>
          <w:b/>
          <w:szCs w:val="22"/>
        </w:rPr>
      </w:pPr>
    </w:p>
    <w:p w14:paraId="7BC224A2" w14:textId="297CF5B3" w:rsidR="005A45DF" w:rsidRPr="00B66E1F" w:rsidRDefault="005A45DF" w:rsidP="005A45DF">
      <w:pPr>
        <w:widowControl w:val="0"/>
        <w:spacing w:after="60"/>
        <w:rPr>
          <w:rFonts w:cs="Arial"/>
          <w:b/>
          <w:szCs w:val="22"/>
        </w:rPr>
      </w:pPr>
      <w:r w:rsidRPr="00B66E1F">
        <w:rPr>
          <w:rFonts w:cs="Arial"/>
          <w:b/>
          <w:szCs w:val="22"/>
        </w:rPr>
        <w:t>Eligibility to request review</w:t>
      </w:r>
      <w:r w:rsidR="0095384B">
        <w:rPr>
          <w:rFonts w:cs="Arial"/>
          <w:b/>
          <w:szCs w:val="22"/>
        </w:rPr>
        <w:t xml:space="preserve"> </w:t>
      </w:r>
      <w:r w:rsidRPr="00B66E1F">
        <w:rPr>
          <w:rFonts w:cs="Arial"/>
          <w:b/>
          <w:szCs w:val="22"/>
        </w:rPr>
        <w:t>–</w:t>
      </w:r>
      <w:r w:rsidR="0095384B">
        <w:rPr>
          <w:rFonts w:cs="Arial"/>
          <w:b/>
          <w:szCs w:val="22"/>
        </w:rPr>
        <w:t xml:space="preserve"> </w:t>
      </w:r>
      <w:r w:rsidRPr="00B66E1F">
        <w:rPr>
          <w:rFonts w:cs="Arial"/>
          <w:b/>
          <w:szCs w:val="22"/>
        </w:rPr>
        <w:t>section 119</w:t>
      </w:r>
      <w:r w:rsidR="00900384">
        <w:rPr>
          <w:rFonts w:cs="Arial"/>
          <w:b/>
          <w:szCs w:val="22"/>
        </w:rPr>
        <w:t xml:space="preserve"> and</w:t>
      </w:r>
      <w:r w:rsidRPr="00B66E1F">
        <w:rPr>
          <w:rFonts w:cs="Arial"/>
          <w:b/>
          <w:szCs w:val="22"/>
        </w:rPr>
        <w:t xml:space="preserve"> 120</w:t>
      </w:r>
    </w:p>
    <w:p w14:paraId="6204471F" w14:textId="6DEBD29D" w:rsidR="005A45DF" w:rsidRPr="00B66E1F" w:rsidRDefault="005A45DF" w:rsidP="005A45DF">
      <w:pPr>
        <w:widowControl w:val="0"/>
        <w:spacing w:after="60"/>
        <w:rPr>
          <w:rStyle w:val="listnumber"/>
          <w:rFonts w:cs="Arial"/>
          <w:szCs w:val="22"/>
        </w:rPr>
      </w:pPr>
      <w:r w:rsidRPr="00B66E1F">
        <w:rPr>
          <w:rStyle w:val="listnumber"/>
          <w:rFonts w:cs="Arial"/>
          <w:color w:val="000000"/>
          <w:szCs w:val="22"/>
        </w:rPr>
        <w:t xml:space="preserve">A public </w:t>
      </w:r>
      <w:r w:rsidR="00F43C18" w:rsidRPr="00B66E1F">
        <w:rPr>
          <w:rStyle w:val="listnumber"/>
          <w:rFonts w:cs="Arial"/>
          <w:color w:val="000000"/>
          <w:szCs w:val="22"/>
        </w:rPr>
        <w:t>se</w:t>
      </w:r>
      <w:r w:rsidR="00F43C18">
        <w:rPr>
          <w:rStyle w:val="listnumber"/>
          <w:rFonts w:cs="Arial"/>
          <w:color w:val="000000"/>
          <w:szCs w:val="22"/>
        </w:rPr>
        <w:t>ctor</w:t>
      </w:r>
      <w:r w:rsidR="00F43C18" w:rsidRPr="00B66E1F">
        <w:rPr>
          <w:rStyle w:val="listnumber"/>
          <w:rFonts w:cs="Arial"/>
          <w:color w:val="000000"/>
          <w:szCs w:val="22"/>
        </w:rPr>
        <w:t xml:space="preserve"> </w:t>
      </w:r>
      <w:r w:rsidRPr="00B66E1F">
        <w:rPr>
          <w:rStyle w:val="listnumber"/>
          <w:rFonts w:cs="Arial"/>
          <w:color w:val="000000"/>
          <w:szCs w:val="22"/>
        </w:rPr>
        <w:t>employee is eligible to request a review if</w:t>
      </w:r>
      <w:r w:rsidR="00796112">
        <w:rPr>
          <w:rStyle w:val="listnumber"/>
          <w:rFonts w:cs="Arial"/>
          <w:color w:val="000000"/>
          <w:szCs w:val="22"/>
        </w:rPr>
        <w:t xml:space="preserve"> they have been</w:t>
      </w:r>
      <w:r w:rsidR="00A3537D" w:rsidRPr="00B66E1F">
        <w:rPr>
          <w:rStyle w:val="listnumber"/>
          <w:rFonts w:cs="Arial"/>
          <w:color w:val="000000"/>
          <w:szCs w:val="22"/>
        </w:rPr>
        <w:t>:</w:t>
      </w:r>
    </w:p>
    <w:p w14:paraId="59295C3B" w14:textId="340D79FE" w:rsidR="005A45DF" w:rsidRPr="00B66E1F" w:rsidRDefault="005A45DF" w:rsidP="005A45DF">
      <w:pPr>
        <w:pStyle w:val="ListParagraph"/>
        <w:widowControl w:val="0"/>
        <w:numPr>
          <w:ilvl w:val="0"/>
          <w:numId w:val="15"/>
        </w:numPr>
        <w:spacing w:after="60" w:line="259" w:lineRule="auto"/>
        <w:ind w:left="284" w:hanging="284"/>
        <w:rPr>
          <w:rStyle w:val="listnumber"/>
          <w:rFonts w:cs="Arial"/>
          <w:szCs w:val="22"/>
        </w:rPr>
      </w:pPr>
      <w:r w:rsidRPr="00B66E1F">
        <w:rPr>
          <w:rStyle w:val="listnumber"/>
          <w:rFonts w:cs="Arial"/>
          <w:szCs w:val="22"/>
        </w:rPr>
        <w:t>acting at, or seconded to (</w:t>
      </w:r>
      <w:hyperlink r:id="rId14" w:anchor="sec.118" w:history="1">
        <w:r w:rsidR="00642B63" w:rsidRPr="008534C9">
          <w:rPr>
            <w:rStyle w:val="Hyperlink"/>
            <w:rFonts w:cs="Arial"/>
            <w:szCs w:val="22"/>
          </w:rPr>
          <w:t>see</w:t>
        </w:r>
        <w:r w:rsidRPr="008534C9">
          <w:rPr>
            <w:rStyle w:val="Hyperlink"/>
            <w:rFonts w:cs="Arial"/>
            <w:szCs w:val="22"/>
          </w:rPr>
          <w:t xml:space="preserve"> section </w:t>
        </w:r>
        <w:r w:rsidR="00642B63" w:rsidRPr="008534C9">
          <w:rPr>
            <w:rStyle w:val="Hyperlink"/>
            <w:rFonts w:cs="Arial"/>
            <w:szCs w:val="22"/>
          </w:rPr>
          <w:t>118</w:t>
        </w:r>
      </w:hyperlink>
      <w:r w:rsidRPr="00B66E1F">
        <w:rPr>
          <w:rStyle w:val="listnumber"/>
          <w:rFonts w:cs="Arial"/>
          <w:szCs w:val="22"/>
        </w:rPr>
        <w:t>), a higher classification level in the public sector entity in which the employee is employed (</w:t>
      </w:r>
      <w:hyperlink r:id="rId15" w:anchor="sec.119" w:history="1">
        <w:r w:rsidRPr="008534C9">
          <w:rPr>
            <w:rStyle w:val="Hyperlink"/>
            <w:rFonts w:cs="Arial"/>
            <w:szCs w:val="22"/>
          </w:rPr>
          <w:t>see section 119</w:t>
        </w:r>
      </w:hyperlink>
      <w:r w:rsidRPr="00B66E1F">
        <w:rPr>
          <w:rStyle w:val="listnumber"/>
          <w:rFonts w:cs="Arial"/>
          <w:szCs w:val="22"/>
        </w:rPr>
        <w:t>(1)</w:t>
      </w:r>
      <w:r w:rsidR="00525CDA" w:rsidRPr="00B66E1F">
        <w:rPr>
          <w:rStyle w:val="listnumber"/>
          <w:rFonts w:cs="Arial"/>
          <w:szCs w:val="22"/>
        </w:rPr>
        <w:t>)</w:t>
      </w:r>
    </w:p>
    <w:p w14:paraId="22C439D3" w14:textId="5AC2353D" w:rsidR="005A45DF" w:rsidRPr="00B66E1F" w:rsidRDefault="005A45DF" w:rsidP="005A45DF">
      <w:pPr>
        <w:pStyle w:val="ListParagraph"/>
        <w:widowControl w:val="0"/>
        <w:numPr>
          <w:ilvl w:val="0"/>
          <w:numId w:val="15"/>
        </w:numPr>
        <w:spacing w:after="60" w:line="259" w:lineRule="auto"/>
        <w:ind w:left="284" w:hanging="284"/>
        <w:rPr>
          <w:rStyle w:val="listnumber"/>
          <w:rFonts w:cs="Arial"/>
          <w:szCs w:val="22"/>
        </w:rPr>
      </w:pPr>
      <w:r w:rsidRPr="00B66E1F">
        <w:rPr>
          <w:rStyle w:val="listnumber"/>
          <w:rFonts w:cs="Arial"/>
          <w:szCs w:val="22"/>
        </w:rPr>
        <w:t>acting at, or seconded to</w:t>
      </w:r>
      <w:r w:rsidR="00761DBE">
        <w:rPr>
          <w:rStyle w:val="listnumber"/>
          <w:rFonts w:cs="Arial"/>
          <w:szCs w:val="22"/>
        </w:rPr>
        <w:t>,</w:t>
      </w:r>
      <w:r w:rsidRPr="00B66E1F">
        <w:rPr>
          <w:rStyle w:val="listnumber"/>
          <w:rFonts w:cs="Arial"/>
          <w:szCs w:val="22"/>
        </w:rPr>
        <w:t xml:space="preserve"> a higher classification level for a continuous period of at least </w:t>
      </w:r>
      <w:r w:rsidR="008B6F5F">
        <w:rPr>
          <w:rStyle w:val="listnumber"/>
          <w:rFonts w:cs="Arial"/>
          <w:szCs w:val="22"/>
        </w:rPr>
        <w:t>one</w:t>
      </w:r>
      <w:r w:rsidRPr="00B66E1F">
        <w:rPr>
          <w:rStyle w:val="listnumber"/>
          <w:rFonts w:cs="Arial"/>
          <w:szCs w:val="22"/>
        </w:rPr>
        <w:t xml:space="preserve"> year (refer to clause 8 of the directive for </w:t>
      </w:r>
      <w:r w:rsidR="008B6F5F">
        <w:rPr>
          <w:rStyle w:val="listnumber"/>
          <w:rFonts w:cs="Arial"/>
          <w:szCs w:val="22"/>
        </w:rPr>
        <w:t xml:space="preserve">the </w:t>
      </w:r>
      <w:r w:rsidRPr="00B66E1F">
        <w:rPr>
          <w:rStyle w:val="listnumber"/>
          <w:rFonts w:cs="Arial"/>
          <w:szCs w:val="22"/>
        </w:rPr>
        <w:t xml:space="preserve">meaning of </w:t>
      </w:r>
      <w:r w:rsidR="008B6F5F">
        <w:rPr>
          <w:rStyle w:val="listnumber"/>
          <w:rFonts w:cs="Arial"/>
          <w:szCs w:val="22"/>
        </w:rPr>
        <w:t>‘</w:t>
      </w:r>
      <w:r w:rsidRPr="00B66E1F">
        <w:rPr>
          <w:rStyle w:val="listnumber"/>
          <w:rFonts w:cs="Arial"/>
          <w:szCs w:val="22"/>
        </w:rPr>
        <w:t>continuous period</w:t>
      </w:r>
      <w:r w:rsidR="008B6F5F">
        <w:rPr>
          <w:rStyle w:val="listnumber"/>
          <w:rFonts w:cs="Arial"/>
          <w:szCs w:val="22"/>
        </w:rPr>
        <w:t>’</w:t>
      </w:r>
      <w:r w:rsidRPr="00B66E1F">
        <w:rPr>
          <w:rStyle w:val="listnumber"/>
          <w:rFonts w:cs="Arial"/>
          <w:szCs w:val="22"/>
        </w:rPr>
        <w:t>)</w:t>
      </w:r>
      <w:r w:rsidR="008B6F5F">
        <w:rPr>
          <w:rStyle w:val="listnumber"/>
          <w:rFonts w:cs="Arial"/>
          <w:szCs w:val="22"/>
        </w:rPr>
        <w:t>.</w:t>
      </w:r>
    </w:p>
    <w:p w14:paraId="5CEB06D4" w14:textId="677C21D1" w:rsidR="005A45DF" w:rsidRPr="00B66E1F" w:rsidRDefault="005A45DF" w:rsidP="005A45DF">
      <w:pPr>
        <w:widowControl w:val="0"/>
        <w:spacing w:after="60"/>
        <w:ind w:left="284" w:hanging="284"/>
        <w:rPr>
          <w:rStyle w:val="listnumber"/>
          <w:rFonts w:cs="Arial"/>
          <w:color w:val="000000"/>
          <w:szCs w:val="22"/>
        </w:rPr>
      </w:pPr>
      <w:r w:rsidRPr="00B66E1F">
        <w:rPr>
          <w:rStyle w:val="listnumber"/>
          <w:rFonts w:cs="Arial"/>
          <w:color w:val="000000"/>
          <w:szCs w:val="22"/>
        </w:rPr>
        <w:t xml:space="preserve">A public </w:t>
      </w:r>
      <w:r w:rsidR="008D366B" w:rsidRPr="00B66E1F">
        <w:rPr>
          <w:rStyle w:val="listnumber"/>
          <w:rFonts w:cs="Arial"/>
          <w:color w:val="000000"/>
          <w:szCs w:val="22"/>
        </w:rPr>
        <w:t>se</w:t>
      </w:r>
      <w:r w:rsidR="008D366B">
        <w:rPr>
          <w:rStyle w:val="listnumber"/>
          <w:rFonts w:cs="Arial"/>
          <w:color w:val="000000"/>
          <w:szCs w:val="22"/>
        </w:rPr>
        <w:t>ctor</w:t>
      </w:r>
      <w:r w:rsidR="008D366B" w:rsidRPr="00B66E1F">
        <w:rPr>
          <w:rStyle w:val="listnumber"/>
          <w:rFonts w:cs="Arial"/>
          <w:color w:val="000000"/>
          <w:szCs w:val="22"/>
        </w:rPr>
        <w:t xml:space="preserve"> </w:t>
      </w:r>
      <w:r w:rsidRPr="00B66E1F">
        <w:rPr>
          <w:rStyle w:val="listnumber"/>
          <w:rFonts w:cs="Arial"/>
          <w:color w:val="000000"/>
          <w:szCs w:val="22"/>
        </w:rPr>
        <w:t xml:space="preserve">employee is not eligible to request </w:t>
      </w:r>
      <w:r w:rsidR="001955FE">
        <w:rPr>
          <w:rStyle w:val="listnumber"/>
          <w:rFonts w:cs="Arial"/>
          <w:color w:val="000000"/>
          <w:szCs w:val="22"/>
        </w:rPr>
        <w:t xml:space="preserve">a </w:t>
      </w:r>
      <w:r w:rsidRPr="00B66E1F">
        <w:rPr>
          <w:rStyle w:val="listnumber"/>
          <w:rFonts w:cs="Arial"/>
          <w:color w:val="000000"/>
          <w:szCs w:val="22"/>
        </w:rPr>
        <w:t>review if</w:t>
      </w:r>
      <w:r w:rsidR="00761DBE">
        <w:rPr>
          <w:rStyle w:val="listnumber"/>
          <w:rFonts w:cs="Arial"/>
          <w:color w:val="000000"/>
          <w:szCs w:val="22"/>
        </w:rPr>
        <w:t xml:space="preserve"> they are</w:t>
      </w:r>
      <w:r w:rsidR="008D594A" w:rsidRPr="00B66E1F">
        <w:rPr>
          <w:rStyle w:val="listnumber"/>
          <w:rFonts w:cs="Arial"/>
          <w:color w:val="000000"/>
          <w:szCs w:val="22"/>
        </w:rPr>
        <w:t>:</w:t>
      </w:r>
    </w:p>
    <w:p w14:paraId="3F71CF2E" w14:textId="77777777" w:rsidR="005A45DF" w:rsidRPr="00B66E1F" w:rsidRDefault="005A45DF" w:rsidP="005A45DF">
      <w:pPr>
        <w:pStyle w:val="ListParagraph"/>
        <w:widowControl w:val="0"/>
        <w:numPr>
          <w:ilvl w:val="0"/>
          <w:numId w:val="15"/>
        </w:numPr>
        <w:spacing w:after="60" w:line="259" w:lineRule="auto"/>
        <w:rPr>
          <w:rStyle w:val="listnumber"/>
          <w:rFonts w:cs="Arial"/>
          <w:color w:val="000000"/>
          <w:szCs w:val="22"/>
        </w:rPr>
      </w:pPr>
      <w:r w:rsidRPr="00B66E1F">
        <w:rPr>
          <w:rStyle w:val="listnumber"/>
          <w:rFonts w:cs="Arial"/>
          <w:color w:val="000000"/>
          <w:szCs w:val="22"/>
        </w:rPr>
        <w:t>a casual employee</w:t>
      </w:r>
    </w:p>
    <w:p w14:paraId="0C25DB3A" w14:textId="77777777" w:rsidR="005A45DF" w:rsidRPr="00B66E1F" w:rsidRDefault="005A45DF" w:rsidP="005A45DF">
      <w:pPr>
        <w:pStyle w:val="ListParagraph"/>
        <w:widowControl w:val="0"/>
        <w:numPr>
          <w:ilvl w:val="0"/>
          <w:numId w:val="15"/>
        </w:numPr>
        <w:spacing w:after="60" w:line="259" w:lineRule="auto"/>
        <w:rPr>
          <w:rStyle w:val="listnumber"/>
          <w:rFonts w:cs="Arial"/>
          <w:color w:val="000000"/>
          <w:szCs w:val="22"/>
        </w:rPr>
      </w:pPr>
      <w:r w:rsidRPr="00B66E1F">
        <w:rPr>
          <w:rStyle w:val="listnumber"/>
          <w:rFonts w:cs="Arial"/>
          <w:color w:val="000000"/>
          <w:szCs w:val="22"/>
        </w:rPr>
        <w:t>a non-industrial instrument employee</w:t>
      </w:r>
    </w:p>
    <w:p w14:paraId="2357E670" w14:textId="77777777" w:rsidR="005A45DF" w:rsidRPr="00B66E1F" w:rsidRDefault="005A45DF" w:rsidP="005A45DF">
      <w:pPr>
        <w:pStyle w:val="ListParagraph"/>
        <w:widowControl w:val="0"/>
        <w:numPr>
          <w:ilvl w:val="0"/>
          <w:numId w:val="15"/>
        </w:numPr>
        <w:spacing w:after="60" w:line="259" w:lineRule="auto"/>
        <w:rPr>
          <w:rStyle w:val="listnumber"/>
          <w:rFonts w:cs="Arial"/>
          <w:color w:val="000000"/>
          <w:szCs w:val="22"/>
        </w:rPr>
      </w:pPr>
      <w:r w:rsidRPr="00B66E1F">
        <w:rPr>
          <w:rStyle w:val="listnumber"/>
          <w:rFonts w:cs="Arial"/>
          <w:color w:val="000000"/>
          <w:szCs w:val="22"/>
        </w:rPr>
        <w:t xml:space="preserve">an employee who is acting at, or seconded to, a position that </w:t>
      </w:r>
      <w:proofErr w:type="gramStart"/>
      <w:r w:rsidRPr="00B66E1F">
        <w:rPr>
          <w:rStyle w:val="listnumber"/>
          <w:rFonts w:cs="Arial"/>
          <w:color w:val="000000"/>
          <w:szCs w:val="22"/>
        </w:rPr>
        <w:t>is ordinarily held</w:t>
      </w:r>
      <w:proofErr w:type="gramEnd"/>
      <w:r w:rsidRPr="00B66E1F">
        <w:rPr>
          <w:rStyle w:val="listnumber"/>
          <w:rFonts w:cs="Arial"/>
          <w:color w:val="000000"/>
          <w:szCs w:val="22"/>
        </w:rPr>
        <w:t xml:space="preserve"> by a non-industrial instrument employee.</w:t>
      </w:r>
    </w:p>
    <w:p w14:paraId="350A5EA5" w14:textId="77777777" w:rsidR="00D63219" w:rsidRDefault="00D63219" w:rsidP="005A45DF">
      <w:pPr>
        <w:widowControl w:val="0"/>
        <w:spacing w:after="60"/>
        <w:ind w:left="284" w:hanging="284"/>
        <w:rPr>
          <w:rStyle w:val="listnumber"/>
          <w:rFonts w:cs="Arial"/>
          <w:b/>
          <w:bCs/>
          <w:color w:val="000000"/>
          <w:szCs w:val="22"/>
        </w:rPr>
      </w:pPr>
    </w:p>
    <w:p w14:paraId="7E300A29" w14:textId="64629566" w:rsidR="005A45DF" w:rsidRPr="00B66E1F" w:rsidRDefault="005A45DF" w:rsidP="005A45DF">
      <w:pPr>
        <w:widowControl w:val="0"/>
        <w:spacing w:after="60"/>
        <w:ind w:left="284" w:hanging="284"/>
        <w:rPr>
          <w:rStyle w:val="listnumber"/>
          <w:rFonts w:cs="Arial"/>
          <w:b/>
          <w:bCs/>
          <w:color w:val="000000"/>
          <w:szCs w:val="22"/>
        </w:rPr>
      </w:pPr>
      <w:r w:rsidRPr="00B66E1F">
        <w:rPr>
          <w:rStyle w:val="listnumber"/>
          <w:rFonts w:cs="Arial"/>
          <w:b/>
          <w:bCs/>
          <w:color w:val="000000"/>
          <w:szCs w:val="22"/>
        </w:rPr>
        <w:t>Decision making</w:t>
      </w:r>
      <w:r w:rsidR="0095384B">
        <w:rPr>
          <w:rStyle w:val="listnumber"/>
          <w:rFonts w:cs="Arial"/>
          <w:b/>
          <w:bCs/>
          <w:color w:val="000000"/>
          <w:szCs w:val="22"/>
        </w:rPr>
        <w:t xml:space="preserve"> </w:t>
      </w:r>
      <w:r w:rsidR="0058519F" w:rsidRPr="00B66E1F">
        <w:rPr>
          <w:rFonts w:cs="Arial"/>
          <w:b/>
          <w:szCs w:val="22"/>
        </w:rPr>
        <w:t>–</w:t>
      </w:r>
      <w:r w:rsidR="0095384B">
        <w:rPr>
          <w:rFonts w:cs="Arial"/>
          <w:b/>
          <w:szCs w:val="22"/>
        </w:rPr>
        <w:t xml:space="preserve"> </w:t>
      </w:r>
      <w:r w:rsidRPr="00B66E1F">
        <w:rPr>
          <w:rStyle w:val="listnumber"/>
          <w:rFonts w:cs="Arial"/>
          <w:b/>
          <w:bCs/>
          <w:color w:val="000000"/>
          <w:szCs w:val="22"/>
        </w:rPr>
        <w:t>section 120(3) and (4)</w:t>
      </w:r>
    </w:p>
    <w:p w14:paraId="1402BEEF" w14:textId="0782DFAD" w:rsidR="005A45DF" w:rsidRPr="00B66E1F" w:rsidRDefault="005A45DF" w:rsidP="005F38D5">
      <w:pPr>
        <w:widowControl w:val="0"/>
        <w:spacing w:after="60"/>
        <w:rPr>
          <w:rStyle w:val="listnumber"/>
          <w:rFonts w:cs="Arial"/>
          <w:color w:val="000000"/>
          <w:szCs w:val="22"/>
        </w:rPr>
      </w:pPr>
      <w:r w:rsidRPr="00B66E1F">
        <w:rPr>
          <w:rStyle w:val="listnumber"/>
          <w:rFonts w:cs="Arial"/>
          <w:color w:val="000000"/>
          <w:szCs w:val="22"/>
        </w:rPr>
        <w:t xml:space="preserve">The chief executive may decide to employ the employee in the position at the higher classification level on a permanent basis only if the chief executive considers the employee is suitable to perform the role. Clause 9 of the directive provides for the meaning of </w:t>
      </w:r>
      <w:r w:rsidR="00961A27">
        <w:rPr>
          <w:rStyle w:val="listnumber"/>
          <w:rFonts w:cs="Arial"/>
          <w:color w:val="000000"/>
          <w:szCs w:val="22"/>
        </w:rPr>
        <w:t>‘</w:t>
      </w:r>
      <w:r w:rsidRPr="00B66E1F">
        <w:rPr>
          <w:rStyle w:val="listnumber"/>
          <w:rFonts w:cs="Arial"/>
          <w:color w:val="000000"/>
          <w:szCs w:val="22"/>
        </w:rPr>
        <w:t>suitable</w:t>
      </w:r>
      <w:r w:rsidR="00961A27">
        <w:rPr>
          <w:rStyle w:val="listnumber"/>
          <w:rFonts w:cs="Arial"/>
          <w:color w:val="000000"/>
          <w:szCs w:val="22"/>
        </w:rPr>
        <w:t>’</w:t>
      </w:r>
      <w:r w:rsidRPr="00B66E1F">
        <w:rPr>
          <w:rStyle w:val="listnumber"/>
          <w:rFonts w:cs="Arial"/>
          <w:color w:val="000000"/>
          <w:szCs w:val="22"/>
        </w:rPr>
        <w:t>.</w:t>
      </w:r>
    </w:p>
    <w:p w14:paraId="48638A00" w14:textId="739CB7B3" w:rsidR="005A45DF" w:rsidRPr="00B66E1F" w:rsidRDefault="005A45DF" w:rsidP="005A45DF">
      <w:pPr>
        <w:widowControl w:val="0"/>
        <w:spacing w:after="60"/>
        <w:ind w:left="284" w:hanging="284"/>
        <w:rPr>
          <w:rStyle w:val="listnumber"/>
          <w:rFonts w:cs="Arial"/>
          <w:color w:val="000000"/>
          <w:szCs w:val="22"/>
        </w:rPr>
      </w:pPr>
      <w:r w:rsidRPr="00B66E1F">
        <w:rPr>
          <w:rStyle w:val="listnumber"/>
          <w:rFonts w:cs="Arial"/>
          <w:color w:val="000000"/>
          <w:szCs w:val="22"/>
        </w:rPr>
        <w:t>In making the decision, the department’s chief executive must have regard to—</w:t>
      </w:r>
    </w:p>
    <w:p w14:paraId="2DB1FE2A" w14:textId="5D809A31" w:rsidR="005A45DF" w:rsidRPr="00B66E1F" w:rsidRDefault="005A45DF" w:rsidP="005F38D5">
      <w:pPr>
        <w:pStyle w:val="ListParagraph"/>
        <w:widowControl w:val="0"/>
        <w:numPr>
          <w:ilvl w:val="0"/>
          <w:numId w:val="16"/>
        </w:numPr>
        <w:shd w:val="clear" w:color="auto" w:fill="FFFFFF"/>
        <w:spacing w:after="60" w:line="259" w:lineRule="auto"/>
        <w:rPr>
          <w:rStyle w:val="listnumber"/>
          <w:rFonts w:cs="Arial"/>
          <w:color w:val="000000"/>
          <w:szCs w:val="22"/>
        </w:rPr>
      </w:pPr>
      <w:r w:rsidRPr="00B66E1F">
        <w:rPr>
          <w:rStyle w:val="listnumber"/>
          <w:rFonts w:cs="Arial"/>
          <w:color w:val="000000"/>
          <w:szCs w:val="22"/>
        </w:rPr>
        <w:t>the genuine operational requirements of the public sector entity; and</w:t>
      </w:r>
    </w:p>
    <w:p w14:paraId="207054C5" w14:textId="29A827FD" w:rsidR="005A45DF" w:rsidRPr="00B66E1F" w:rsidRDefault="005A45DF" w:rsidP="005F38D5">
      <w:pPr>
        <w:pStyle w:val="ListParagraph"/>
        <w:widowControl w:val="0"/>
        <w:numPr>
          <w:ilvl w:val="0"/>
          <w:numId w:val="16"/>
        </w:numPr>
        <w:shd w:val="clear" w:color="auto" w:fill="FFFFFF"/>
        <w:spacing w:after="60" w:line="259" w:lineRule="auto"/>
        <w:rPr>
          <w:rStyle w:val="listnumber"/>
          <w:rFonts w:cs="Arial"/>
          <w:color w:val="000000"/>
          <w:szCs w:val="22"/>
        </w:rPr>
      </w:pPr>
      <w:r w:rsidRPr="00B66E1F">
        <w:rPr>
          <w:rStyle w:val="listnumber"/>
          <w:rFonts w:cs="Arial"/>
          <w:color w:val="000000"/>
          <w:szCs w:val="22"/>
        </w:rPr>
        <w:t xml:space="preserve">the reasons for each decision previously made, or taken to have </w:t>
      </w:r>
      <w:proofErr w:type="gramStart"/>
      <w:r w:rsidRPr="00B66E1F">
        <w:rPr>
          <w:rStyle w:val="listnumber"/>
          <w:rFonts w:cs="Arial"/>
          <w:color w:val="000000"/>
          <w:szCs w:val="22"/>
        </w:rPr>
        <w:t>been made</w:t>
      </w:r>
      <w:proofErr w:type="gramEnd"/>
      <w:r w:rsidRPr="00B66E1F">
        <w:rPr>
          <w:rStyle w:val="listnumber"/>
          <w:rFonts w:cs="Arial"/>
          <w:color w:val="000000"/>
          <w:szCs w:val="22"/>
        </w:rPr>
        <w:t>, under this section in relation to the person during the person’s continuous period of acting at, or secondment to, the higher classification level.</w:t>
      </w:r>
    </w:p>
    <w:p w14:paraId="69FE85DE" w14:textId="77777777" w:rsidR="00D63219" w:rsidRDefault="00D63219" w:rsidP="005A45DF">
      <w:pPr>
        <w:widowControl w:val="0"/>
        <w:spacing w:after="60"/>
        <w:ind w:left="284" w:hanging="284"/>
        <w:rPr>
          <w:rStyle w:val="listnumber"/>
          <w:rFonts w:cs="Arial"/>
          <w:b/>
          <w:bCs/>
          <w:color w:val="000000"/>
          <w:szCs w:val="22"/>
        </w:rPr>
      </w:pPr>
    </w:p>
    <w:p w14:paraId="1070D64C" w14:textId="7C8A8ADF" w:rsidR="005A45DF" w:rsidRPr="00B66E1F" w:rsidRDefault="005A45DF" w:rsidP="005A45DF">
      <w:pPr>
        <w:widowControl w:val="0"/>
        <w:spacing w:after="60"/>
        <w:ind w:left="284" w:hanging="284"/>
        <w:rPr>
          <w:rStyle w:val="listnumber"/>
          <w:rFonts w:cs="Arial"/>
          <w:b/>
          <w:bCs/>
          <w:color w:val="000000"/>
          <w:szCs w:val="22"/>
        </w:rPr>
      </w:pPr>
      <w:r w:rsidRPr="00B66E1F">
        <w:rPr>
          <w:rStyle w:val="listnumber"/>
          <w:rFonts w:cs="Arial"/>
          <w:b/>
          <w:bCs/>
          <w:color w:val="000000"/>
          <w:szCs w:val="22"/>
        </w:rPr>
        <w:t>Notice of decision</w:t>
      </w:r>
      <w:r w:rsidR="0095384B">
        <w:rPr>
          <w:rStyle w:val="listnumber"/>
          <w:rFonts w:cs="Arial"/>
          <w:b/>
          <w:bCs/>
          <w:color w:val="000000"/>
          <w:szCs w:val="22"/>
        </w:rPr>
        <w:t xml:space="preserve"> </w:t>
      </w:r>
      <w:r w:rsidRPr="00B66E1F">
        <w:rPr>
          <w:rStyle w:val="listnumber"/>
          <w:rFonts w:cs="Arial"/>
          <w:b/>
          <w:bCs/>
          <w:color w:val="000000"/>
          <w:szCs w:val="22"/>
        </w:rPr>
        <w:t>–</w:t>
      </w:r>
      <w:r w:rsidR="0095384B">
        <w:rPr>
          <w:rStyle w:val="listnumber"/>
          <w:rFonts w:cs="Arial"/>
          <w:b/>
          <w:bCs/>
          <w:color w:val="000000"/>
          <w:szCs w:val="22"/>
        </w:rPr>
        <w:t xml:space="preserve"> </w:t>
      </w:r>
      <w:r w:rsidRPr="00B66E1F">
        <w:rPr>
          <w:rStyle w:val="listnumber"/>
          <w:rFonts w:cs="Arial"/>
          <w:b/>
          <w:bCs/>
          <w:color w:val="000000"/>
          <w:szCs w:val="22"/>
        </w:rPr>
        <w:t>section 120(5)</w:t>
      </w:r>
    </w:p>
    <w:p w14:paraId="53D9D516" w14:textId="3FE02C13" w:rsidR="005A45DF" w:rsidRPr="00B66E1F" w:rsidRDefault="005A45DF" w:rsidP="005A45DF">
      <w:pPr>
        <w:widowControl w:val="0"/>
        <w:spacing w:after="60"/>
        <w:rPr>
          <w:rStyle w:val="listnumber"/>
          <w:rFonts w:cs="Arial"/>
          <w:color w:val="000000"/>
          <w:szCs w:val="22"/>
        </w:rPr>
      </w:pPr>
      <w:r w:rsidRPr="00B66E1F">
        <w:rPr>
          <w:rStyle w:val="listnumber"/>
          <w:rFonts w:cs="Arial"/>
          <w:color w:val="000000"/>
          <w:szCs w:val="22"/>
        </w:rPr>
        <w:t>If the public sector entity’s chief executive decides to refuse the request, the chief executive must give the employee a notice stating—</w:t>
      </w:r>
    </w:p>
    <w:p w14:paraId="66D07EA9" w14:textId="3312D4C0" w:rsidR="005A45DF" w:rsidRPr="00B66E1F" w:rsidRDefault="005A45DF" w:rsidP="005F38D5">
      <w:pPr>
        <w:pStyle w:val="ListParagraph"/>
        <w:widowControl w:val="0"/>
        <w:numPr>
          <w:ilvl w:val="0"/>
          <w:numId w:val="18"/>
        </w:numPr>
        <w:shd w:val="clear" w:color="auto" w:fill="FFFFFF"/>
        <w:spacing w:after="60" w:line="259" w:lineRule="auto"/>
        <w:rPr>
          <w:rStyle w:val="listnumber"/>
          <w:rFonts w:cs="Arial"/>
          <w:color w:val="000000"/>
          <w:szCs w:val="22"/>
        </w:rPr>
      </w:pPr>
      <w:r w:rsidRPr="00B66E1F">
        <w:rPr>
          <w:rStyle w:val="listnumber"/>
          <w:rFonts w:cs="Arial"/>
          <w:color w:val="000000"/>
          <w:szCs w:val="22"/>
        </w:rPr>
        <w:t>reasons for the decision</w:t>
      </w:r>
    </w:p>
    <w:p w14:paraId="67981925" w14:textId="74789A4C" w:rsidR="005A45DF" w:rsidRPr="00B66E1F" w:rsidRDefault="005A45DF" w:rsidP="005F38D5">
      <w:pPr>
        <w:pStyle w:val="ListParagraph"/>
        <w:widowControl w:val="0"/>
        <w:numPr>
          <w:ilvl w:val="0"/>
          <w:numId w:val="18"/>
        </w:numPr>
        <w:shd w:val="clear" w:color="auto" w:fill="FFFFFF"/>
        <w:spacing w:after="60" w:line="259" w:lineRule="auto"/>
        <w:rPr>
          <w:rStyle w:val="listnumber"/>
          <w:rFonts w:cs="Arial"/>
          <w:color w:val="000000"/>
          <w:szCs w:val="22"/>
        </w:rPr>
      </w:pPr>
      <w:r w:rsidRPr="00B66E1F">
        <w:rPr>
          <w:rStyle w:val="listnumber"/>
          <w:rFonts w:cs="Arial"/>
          <w:color w:val="000000"/>
          <w:szCs w:val="22"/>
        </w:rPr>
        <w:t>the total continuous period for which the person has been acting at, or seconded to, the higher classification level in the public sector entity</w:t>
      </w:r>
    </w:p>
    <w:p w14:paraId="51099507" w14:textId="51C43990" w:rsidR="005A45DF" w:rsidRPr="00B66E1F" w:rsidRDefault="005A45DF" w:rsidP="005F38D5">
      <w:pPr>
        <w:pStyle w:val="ListParagraph"/>
        <w:widowControl w:val="0"/>
        <w:numPr>
          <w:ilvl w:val="0"/>
          <w:numId w:val="18"/>
        </w:numPr>
        <w:shd w:val="clear" w:color="auto" w:fill="FFFFFF"/>
        <w:spacing w:after="60" w:line="259" w:lineRule="auto"/>
        <w:rPr>
          <w:rStyle w:val="listnumber"/>
          <w:rFonts w:cs="Arial"/>
          <w:color w:val="000000"/>
          <w:szCs w:val="22"/>
        </w:rPr>
      </w:pPr>
      <w:r w:rsidRPr="00B66E1F">
        <w:rPr>
          <w:rStyle w:val="listnumber"/>
          <w:rFonts w:cs="Arial"/>
          <w:color w:val="000000"/>
          <w:szCs w:val="22"/>
        </w:rPr>
        <w:t xml:space="preserve">how many times the person’s acting arrangement or secondment has </w:t>
      </w:r>
      <w:proofErr w:type="gramStart"/>
      <w:r w:rsidRPr="00B66E1F">
        <w:rPr>
          <w:rStyle w:val="listnumber"/>
          <w:rFonts w:cs="Arial"/>
          <w:color w:val="000000"/>
          <w:szCs w:val="22"/>
        </w:rPr>
        <w:t>been extended</w:t>
      </w:r>
      <w:proofErr w:type="gramEnd"/>
    </w:p>
    <w:p w14:paraId="77A71FA8" w14:textId="6FE12F23" w:rsidR="005A45DF" w:rsidRPr="00B66E1F" w:rsidRDefault="005A45DF" w:rsidP="005F38D5">
      <w:pPr>
        <w:pStyle w:val="ListParagraph"/>
        <w:widowControl w:val="0"/>
        <w:numPr>
          <w:ilvl w:val="0"/>
          <w:numId w:val="18"/>
        </w:numPr>
        <w:shd w:val="clear" w:color="auto" w:fill="FFFFFF"/>
        <w:spacing w:after="60" w:line="259" w:lineRule="auto"/>
        <w:rPr>
          <w:rStyle w:val="listnumber"/>
          <w:rFonts w:cs="Arial"/>
          <w:color w:val="000000"/>
          <w:szCs w:val="22"/>
        </w:rPr>
      </w:pPr>
      <w:r w:rsidRPr="00B66E1F">
        <w:rPr>
          <w:rStyle w:val="listnumber"/>
          <w:rFonts w:cs="Arial"/>
          <w:color w:val="000000"/>
          <w:szCs w:val="22"/>
        </w:rPr>
        <w:t xml:space="preserve">each decision previously made, or taken to have </w:t>
      </w:r>
      <w:proofErr w:type="gramStart"/>
      <w:r w:rsidRPr="00B66E1F">
        <w:rPr>
          <w:rStyle w:val="listnumber"/>
          <w:rFonts w:cs="Arial"/>
          <w:color w:val="000000"/>
          <w:szCs w:val="22"/>
        </w:rPr>
        <w:t>been made</w:t>
      </w:r>
      <w:proofErr w:type="gramEnd"/>
      <w:r w:rsidRPr="00B66E1F">
        <w:rPr>
          <w:rStyle w:val="listnumber"/>
          <w:rFonts w:cs="Arial"/>
          <w:color w:val="000000"/>
          <w:szCs w:val="22"/>
        </w:rPr>
        <w:t>, under this section in relation to the person during the person’s continuous period of acting at, or secondment to, the higher classification level.</w:t>
      </w:r>
    </w:p>
    <w:p w14:paraId="6176625F" w14:textId="77777777" w:rsidR="005A45DF" w:rsidRPr="00B66E1F" w:rsidRDefault="005A45DF" w:rsidP="005A45DF">
      <w:pPr>
        <w:widowControl w:val="0"/>
        <w:spacing w:after="60"/>
        <w:rPr>
          <w:rFonts w:cs="Arial"/>
          <w:b/>
          <w:szCs w:val="22"/>
        </w:rPr>
      </w:pPr>
      <w:bookmarkStart w:id="2" w:name="sec.149C-ssec.8-def.continuousperiod"/>
      <w:bookmarkEnd w:id="2"/>
    </w:p>
    <w:p w14:paraId="132A8E8E" w14:textId="77777777" w:rsidR="008D366B" w:rsidRDefault="008D366B" w:rsidP="008D366B">
      <w:pPr>
        <w:widowControl w:val="0"/>
        <w:spacing w:after="60"/>
        <w:ind w:left="284" w:hanging="284"/>
        <w:rPr>
          <w:rStyle w:val="headingname"/>
          <w:rFonts w:cs="Arial"/>
          <w:b/>
          <w:bCs/>
          <w:color w:val="000000"/>
        </w:rPr>
      </w:pPr>
      <w:r w:rsidRPr="003C2901">
        <w:rPr>
          <w:rStyle w:val="headingname"/>
          <w:rFonts w:cs="Arial"/>
          <w:b/>
          <w:bCs/>
          <w:color w:val="000000"/>
          <w:szCs w:val="22"/>
        </w:rPr>
        <w:t>Employee’s right to make additional request for review</w:t>
      </w:r>
      <w:r>
        <w:rPr>
          <w:rStyle w:val="headingname"/>
          <w:rFonts w:cs="Arial"/>
          <w:b/>
          <w:bCs/>
          <w:color w:val="000000"/>
        </w:rPr>
        <w:t xml:space="preserve"> – section 121</w:t>
      </w:r>
    </w:p>
    <w:p w14:paraId="62AB8ED0" w14:textId="7EDC04D9" w:rsidR="008D366B" w:rsidRDefault="008D366B" w:rsidP="008D366B">
      <w:pPr>
        <w:widowControl w:val="0"/>
        <w:spacing w:after="60"/>
        <w:ind w:left="284" w:hanging="284"/>
        <w:rPr>
          <w:lang w:val="en-GB"/>
        </w:rPr>
      </w:pPr>
      <w:r>
        <w:rPr>
          <w:rStyle w:val="headingname"/>
          <w:rFonts w:cs="Arial"/>
          <w:bCs/>
          <w:color w:val="000000"/>
        </w:rPr>
        <w:t xml:space="preserve">Section 121 of the Act applies to a public sector employee </w:t>
      </w:r>
      <w:r w:rsidRPr="003C2901">
        <w:rPr>
          <w:rFonts w:cs="Arial"/>
          <w:color w:val="000000"/>
        </w:rPr>
        <w:t>mentioned in </w:t>
      </w:r>
      <w:hyperlink r:id="rId16" w:anchor="sec.120" w:history="1">
        <w:r w:rsidRPr="003C2901">
          <w:rPr>
            <w:rStyle w:val="Hyperlink"/>
            <w:rFonts w:cs="Arial"/>
            <w:color w:val="0066CC"/>
          </w:rPr>
          <w:t>section 120</w:t>
        </w:r>
      </w:hyperlink>
      <w:r w:rsidRPr="003C2901">
        <w:rPr>
          <w:rFonts w:cs="Arial"/>
          <w:color w:val="000000"/>
        </w:rPr>
        <w:t>(1) if</w:t>
      </w:r>
      <w:r w:rsidR="00593834" w:rsidRPr="00B66E1F">
        <w:rPr>
          <w:rStyle w:val="listnumber"/>
          <w:rFonts w:cs="Arial"/>
          <w:color w:val="000000"/>
          <w:szCs w:val="22"/>
        </w:rPr>
        <w:t>—</w:t>
      </w:r>
    </w:p>
    <w:p w14:paraId="6A92A85D" w14:textId="77777777" w:rsidR="008D366B" w:rsidRPr="003C2901" w:rsidRDefault="008D366B" w:rsidP="005F38D5">
      <w:pPr>
        <w:pStyle w:val="ListParagraph"/>
        <w:widowControl w:val="0"/>
        <w:numPr>
          <w:ilvl w:val="0"/>
          <w:numId w:val="17"/>
        </w:numPr>
        <w:shd w:val="clear" w:color="auto" w:fill="FFFFFF"/>
        <w:spacing w:after="60" w:line="259" w:lineRule="auto"/>
        <w:rPr>
          <w:rFonts w:cs="Arial"/>
          <w:color w:val="000000"/>
        </w:rPr>
      </w:pPr>
      <w:r w:rsidRPr="003C2901">
        <w:rPr>
          <w:rFonts w:cs="Arial"/>
          <w:color w:val="000000"/>
        </w:rPr>
        <w:t>the employee’s chief executive has decided under </w:t>
      </w:r>
      <w:hyperlink r:id="rId17" w:anchor="sec.120" w:history="1">
        <w:r w:rsidRPr="003C2901">
          <w:rPr>
            <w:rStyle w:val="Hyperlink"/>
            <w:rFonts w:cs="Arial"/>
            <w:color w:val="0066CC"/>
          </w:rPr>
          <w:t>section 120</w:t>
        </w:r>
      </w:hyperlink>
      <w:r w:rsidRPr="003C2901">
        <w:rPr>
          <w:rFonts w:cs="Arial"/>
          <w:color w:val="000000"/>
        </w:rPr>
        <w:t> not to employ the employee in the position at the higher classification level on a permanent basis because the chief executive considered the employee was not suitable to perform the role</w:t>
      </w:r>
      <w:r w:rsidRPr="00BD0B54">
        <w:rPr>
          <w:rFonts w:cs="Arial"/>
          <w:color w:val="000000"/>
        </w:rPr>
        <w:t xml:space="preserve"> and</w:t>
      </w:r>
      <w:r>
        <w:rPr>
          <w:rFonts w:cs="Arial"/>
          <w:color w:val="000000"/>
        </w:rPr>
        <w:t xml:space="preserve"> </w:t>
      </w:r>
      <w:r w:rsidRPr="003C2901">
        <w:rPr>
          <w:rFonts w:cs="Arial"/>
          <w:color w:val="000000"/>
        </w:rPr>
        <w:t>the employee considers the employee may have become suitable to perform the role;</w:t>
      </w:r>
      <w:r>
        <w:rPr>
          <w:rFonts w:cs="Arial"/>
          <w:color w:val="000000"/>
        </w:rPr>
        <w:t xml:space="preserve"> </w:t>
      </w:r>
      <w:r w:rsidRPr="003C2901">
        <w:rPr>
          <w:rFonts w:cs="Arial"/>
          <w:color w:val="000000"/>
        </w:rPr>
        <w:t>or</w:t>
      </w:r>
    </w:p>
    <w:p w14:paraId="1751D9B8" w14:textId="77777777" w:rsidR="008D366B" w:rsidRDefault="008D366B" w:rsidP="005F38D5">
      <w:pPr>
        <w:pStyle w:val="ListParagraph"/>
        <w:widowControl w:val="0"/>
        <w:numPr>
          <w:ilvl w:val="0"/>
          <w:numId w:val="17"/>
        </w:numPr>
        <w:shd w:val="clear" w:color="auto" w:fill="FFFFFF"/>
        <w:spacing w:after="60" w:line="259" w:lineRule="auto"/>
        <w:rPr>
          <w:rFonts w:cs="Arial"/>
          <w:color w:val="000000"/>
        </w:rPr>
      </w:pPr>
      <w:r w:rsidRPr="003C2901">
        <w:rPr>
          <w:rFonts w:cs="Arial"/>
          <w:color w:val="000000"/>
        </w:rPr>
        <w:t>the employee’s chief executive is taken, under </w:t>
      </w:r>
      <w:hyperlink r:id="rId18" w:anchor="sec.120" w:history="1">
        <w:r w:rsidRPr="003C2901">
          <w:rPr>
            <w:rStyle w:val="Hyperlink"/>
            <w:rFonts w:cs="Arial"/>
            <w:color w:val="0066CC"/>
          </w:rPr>
          <w:t>section 120</w:t>
        </w:r>
      </w:hyperlink>
      <w:r w:rsidRPr="003C2901">
        <w:rPr>
          <w:rFonts w:cs="Arial"/>
          <w:color w:val="000000"/>
        </w:rPr>
        <w:t xml:space="preserve">(6), to have refused the </w:t>
      </w:r>
      <w:r w:rsidRPr="003C2901">
        <w:rPr>
          <w:rFonts w:cs="Arial"/>
          <w:color w:val="000000"/>
        </w:rPr>
        <w:lastRenderedPageBreak/>
        <w:t>employee’s request to be employed in the position at the higher classification level on a permanent basis</w:t>
      </w:r>
      <w:r w:rsidRPr="00BD0B54">
        <w:rPr>
          <w:rFonts w:cs="Arial"/>
          <w:color w:val="000000"/>
        </w:rPr>
        <w:t xml:space="preserve"> (a deemed decision) and </w:t>
      </w:r>
      <w:r w:rsidRPr="003C2901">
        <w:rPr>
          <w:rFonts w:cs="Arial"/>
          <w:color w:val="000000"/>
        </w:rPr>
        <w:t>the employee has not appealed against the decision under </w:t>
      </w:r>
      <w:hyperlink r:id="rId19" w:anchor="sec.130" w:history="1">
        <w:r w:rsidRPr="003C2901">
          <w:rPr>
            <w:rStyle w:val="Hyperlink"/>
            <w:rFonts w:cs="Arial"/>
            <w:color w:val="0066CC"/>
          </w:rPr>
          <w:t>section 130</w:t>
        </w:r>
      </w:hyperlink>
      <w:r w:rsidRPr="003C2901">
        <w:rPr>
          <w:rFonts w:cs="Arial"/>
          <w:color w:val="000000"/>
        </w:rPr>
        <w:t>; or</w:t>
      </w:r>
    </w:p>
    <w:p w14:paraId="3A1A2AD5" w14:textId="587211F2" w:rsidR="008D366B" w:rsidRDefault="008D366B" w:rsidP="005F38D5">
      <w:pPr>
        <w:pStyle w:val="ListParagraph"/>
        <w:widowControl w:val="0"/>
        <w:numPr>
          <w:ilvl w:val="0"/>
          <w:numId w:val="17"/>
        </w:numPr>
        <w:shd w:val="clear" w:color="auto" w:fill="FFFFFF"/>
        <w:spacing w:after="60" w:line="259" w:lineRule="auto"/>
        <w:rPr>
          <w:rFonts w:cs="Arial"/>
          <w:color w:val="000000"/>
        </w:rPr>
      </w:pPr>
      <w:r w:rsidRPr="003C2901">
        <w:rPr>
          <w:rFonts w:cs="Arial"/>
          <w:color w:val="000000"/>
        </w:rPr>
        <w:t xml:space="preserve">the position in which the employee is acting, or to which the employee </w:t>
      </w:r>
      <w:proofErr w:type="gramStart"/>
      <w:r w:rsidRPr="003C2901">
        <w:rPr>
          <w:rFonts w:cs="Arial"/>
          <w:color w:val="000000"/>
        </w:rPr>
        <w:t>is seconded</w:t>
      </w:r>
      <w:proofErr w:type="gramEnd"/>
      <w:r w:rsidRPr="003C2901">
        <w:rPr>
          <w:rFonts w:cs="Arial"/>
          <w:color w:val="000000"/>
        </w:rPr>
        <w:t>, at the higher classification level becomes vacant.</w:t>
      </w:r>
    </w:p>
    <w:p w14:paraId="18E9EFB1" w14:textId="03C4B66A" w:rsidR="008D366B" w:rsidRDefault="008D366B" w:rsidP="008D366B">
      <w:pPr>
        <w:widowControl w:val="0"/>
        <w:shd w:val="clear" w:color="auto" w:fill="FFFFFF"/>
        <w:spacing w:after="60"/>
        <w:rPr>
          <w:rFonts w:cs="Arial"/>
          <w:color w:val="000000"/>
        </w:rPr>
      </w:pPr>
      <w:r>
        <w:rPr>
          <w:rFonts w:cs="Arial"/>
          <w:color w:val="000000"/>
        </w:rPr>
        <w:t xml:space="preserve">Such additional requests for review must </w:t>
      </w:r>
      <w:proofErr w:type="gramStart"/>
      <w:r w:rsidR="00D83513">
        <w:rPr>
          <w:rFonts w:cs="Arial"/>
          <w:color w:val="000000"/>
        </w:rPr>
        <w:t>be requested</w:t>
      </w:r>
      <w:proofErr w:type="gramEnd"/>
      <w:r>
        <w:rPr>
          <w:rFonts w:cs="Arial"/>
          <w:color w:val="000000"/>
        </w:rPr>
        <w:t xml:space="preserve"> within </w:t>
      </w:r>
      <w:r w:rsidR="00761DBE">
        <w:rPr>
          <w:rFonts w:cs="Arial"/>
          <w:color w:val="000000"/>
        </w:rPr>
        <w:t>three</w:t>
      </w:r>
      <w:r>
        <w:rPr>
          <w:rFonts w:cs="Arial"/>
          <w:color w:val="000000"/>
        </w:rPr>
        <w:t xml:space="preserve"> months after the review right is enlivened and t</w:t>
      </w:r>
      <w:r w:rsidRPr="003C2901">
        <w:rPr>
          <w:rFonts w:cs="Arial"/>
          <w:color w:val="000000"/>
        </w:rPr>
        <w:t>he employee’s chief executive must decide the request within 28 days after receiving the request.</w:t>
      </w:r>
    </w:p>
    <w:p w14:paraId="651281A8" w14:textId="77777777" w:rsidR="00666BB1" w:rsidRDefault="00666BB1" w:rsidP="008D366B">
      <w:pPr>
        <w:widowControl w:val="0"/>
        <w:shd w:val="clear" w:color="auto" w:fill="FFFFFF"/>
        <w:spacing w:after="60"/>
        <w:rPr>
          <w:rFonts w:cs="Arial"/>
          <w:color w:val="000000"/>
        </w:rPr>
      </w:pPr>
    </w:p>
    <w:p w14:paraId="619D299F" w14:textId="77777777" w:rsidR="008D366B" w:rsidRDefault="008D366B" w:rsidP="005F38D5">
      <w:pPr>
        <w:widowControl w:val="0"/>
        <w:shd w:val="clear" w:color="auto" w:fill="FFFFFF"/>
        <w:spacing w:after="60"/>
        <w:rPr>
          <w:rFonts w:cs="Arial"/>
          <w:color w:val="000000"/>
        </w:rPr>
      </w:pPr>
      <w:r w:rsidRPr="003C2901">
        <w:rPr>
          <w:rFonts w:cs="Arial"/>
          <w:color w:val="000000"/>
        </w:rPr>
        <w:t xml:space="preserve">If the employee’s chief executive does not make the decision within the period required under subsection (4), the chief executive </w:t>
      </w:r>
      <w:proofErr w:type="gramStart"/>
      <w:r w:rsidRPr="003C2901">
        <w:rPr>
          <w:rFonts w:cs="Arial"/>
          <w:color w:val="000000"/>
        </w:rPr>
        <w:t>is taken</w:t>
      </w:r>
      <w:proofErr w:type="gramEnd"/>
      <w:r w:rsidRPr="003C2901">
        <w:rPr>
          <w:rFonts w:cs="Arial"/>
          <w:color w:val="000000"/>
        </w:rPr>
        <w:t xml:space="preserve"> to have refused the request.</w:t>
      </w:r>
    </w:p>
    <w:p w14:paraId="71BA9C6F" w14:textId="77777777" w:rsidR="005569FC" w:rsidRPr="003C2901" w:rsidRDefault="005569FC" w:rsidP="005F38D5">
      <w:pPr>
        <w:widowControl w:val="0"/>
        <w:shd w:val="clear" w:color="auto" w:fill="FFFFFF"/>
        <w:spacing w:after="60"/>
        <w:rPr>
          <w:rFonts w:cs="Arial"/>
          <w:color w:val="000000"/>
        </w:rPr>
      </w:pPr>
    </w:p>
    <w:p w14:paraId="6552AE2C" w14:textId="421B82EA" w:rsidR="008D366B" w:rsidRPr="003C2901" w:rsidRDefault="008D366B" w:rsidP="005F38D5">
      <w:pPr>
        <w:widowControl w:val="0"/>
        <w:shd w:val="clear" w:color="auto" w:fill="FFFFFF"/>
        <w:spacing w:after="60"/>
        <w:rPr>
          <w:rFonts w:cs="Arial"/>
          <w:color w:val="000000"/>
        </w:rPr>
      </w:pPr>
      <w:r w:rsidRPr="003C2901">
        <w:rPr>
          <w:rFonts w:cs="Arial"/>
          <w:color w:val="000000"/>
        </w:rPr>
        <w:t xml:space="preserve">The employee may make only </w:t>
      </w:r>
      <w:r w:rsidR="00761DBE">
        <w:rPr>
          <w:rFonts w:cs="Arial"/>
          <w:color w:val="000000"/>
        </w:rPr>
        <w:t>one</w:t>
      </w:r>
      <w:r w:rsidRPr="003C2901">
        <w:rPr>
          <w:rFonts w:cs="Arial"/>
          <w:color w:val="000000"/>
        </w:rPr>
        <w:t xml:space="preserve"> request under this section in relation to each separate decision made, or taken to have been made, under </w:t>
      </w:r>
      <w:hyperlink r:id="rId20" w:anchor="sec.120" w:history="1">
        <w:r w:rsidRPr="003C2901">
          <w:rPr>
            <w:rStyle w:val="Hyperlink"/>
            <w:rFonts w:cs="Arial"/>
            <w:color w:val="0066CC"/>
          </w:rPr>
          <w:t>section 120</w:t>
        </w:r>
      </w:hyperlink>
      <w:r w:rsidRPr="003C2901">
        <w:rPr>
          <w:rFonts w:cs="Arial"/>
          <w:color w:val="000000"/>
        </w:rPr>
        <w:t>.</w:t>
      </w:r>
    </w:p>
    <w:p w14:paraId="670D7B07" w14:textId="77777777" w:rsidR="008D366B" w:rsidRDefault="008D366B" w:rsidP="005A45DF">
      <w:pPr>
        <w:widowControl w:val="0"/>
        <w:spacing w:after="60"/>
        <w:rPr>
          <w:rFonts w:cs="Arial"/>
          <w:b/>
          <w:szCs w:val="22"/>
        </w:rPr>
      </w:pPr>
    </w:p>
    <w:p w14:paraId="15A8B78C" w14:textId="411BC643" w:rsidR="005A45DF" w:rsidRPr="00B66E1F" w:rsidRDefault="005A45DF" w:rsidP="005A45DF">
      <w:pPr>
        <w:widowControl w:val="0"/>
        <w:spacing w:after="60"/>
        <w:rPr>
          <w:rFonts w:cs="Arial"/>
          <w:b/>
          <w:szCs w:val="22"/>
        </w:rPr>
      </w:pPr>
      <w:r w:rsidRPr="00B66E1F">
        <w:rPr>
          <w:rFonts w:cs="Arial"/>
          <w:b/>
          <w:szCs w:val="22"/>
        </w:rPr>
        <w:t>Appeal rights</w:t>
      </w:r>
      <w:r w:rsidR="0095384B">
        <w:rPr>
          <w:rFonts w:cs="Arial"/>
          <w:b/>
          <w:szCs w:val="22"/>
        </w:rPr>
        <w:t xml:space="preserve"> </w:t>
      </w:r>
      <w:r w:rsidRPr="00B66E1F">
        <w:rPr>
          <w:rFonts w:cs="Arial"/>
          <w:b/>
          <w:szCs w:val="22"/>
        </w:rPr>
        <w:t>–</w:t>
      </w:r>
      <w:r w:rsidR="0095384B">
        <w:rPr>
          <w:rFonts w:cs="Arial"/>
          <w:b/>
          <w:szCs w:val="22"/>
        </w:rPr>
        <w:t xml:space="preserve"> </w:t>
      </w:r>
      <w:r w:rsidRPr="00B66E1F">
        <w:rPr>
          <w:rFonts w:cs="Arial"/>
          <w:b/>
          <w:szCs w:val="22"/>
        </w:rPr>
        <w:t>section</w:t>
      </w:r>
      <w:r w:rsidR="002C6FF8" w:rsidRPr="00B66E1F">
        <w:rPr>
          <w:rFonts w:cs="Arial"/>
          <w:b/>
          <w:szCs w:val="22"/>
        </w:rPr>
        <w:t xml:space="preserve"> 131(1)(a)</w:t>
      </w:r>
      <w:r w:rsidR="00394E2B">
        <w:rPr>
          <w:rFonts w:cs="Arial"/>
          <w:b/>
          <w:szCs w:val="22"/>
        </w:rPr>
        <w:t>, 132(1)</w:t>
      </w:r>
      <w:r w:rsidR="00B81034">
        <w:rPr>
          <w:rFonts w:cs="Arial"/>
          <w:b/>
          <w:szCs w:val="22"/>
        </w:rPr>
        <w:t>(k) and 133(a)</w:t>
      </w:r>
    </w:p>
    <w:p w14:paraId="049631F5" w14:textId="3FAE7255" w:rsidR="005A45DF" w:rsidRPr="00B66E1F" w:rsidRDefault="005A45DF" w:rsidP="005A45DF">
      <w:pPr>
        <w:widowControl w:val="0"/>
        <w:spacing w:after="60"/>
        <w:rPr>
          <w:rFonts w:cs="Arial"/>
        </w:rPr>
      </w:pPr>
      <w:r w:rsidRPr="6A13B1E6">
        <w:rPr>
          <w:rFonts w:cs="Arial"/>
        </w:rPr>
        <w:t xml:space="preserve">A public sector employee not permanently employed in the position </w:t>
      </w:r>
      <w:r w:rsidR="6669D686" w:rsidRPr="4EA09993">
        <w:rPr>
          <w:rFonts w:cs="Arial"/>
        </w:rPr>
        <w:t xml:space="preserve">at </w:t>
      </w:r>
      <w:r w:rsidRPr="6A13B1E6">
        <w:rPr>
          <w:rFonts w:cs="Arial"/>
        </w:rPr>
        <w:t xml:space="preserve">the higher classification level following a review after acting at, or </w:t>
      </w:r>
      <w:proofErr w:type="gramStart"/>
      <w:r w:rsidRPr="6A13B1E6">
        <w:rPr>
          <w:rFonts w:cs="Arial"/>
        </w:rPr>
        <w:t>being seconded</w:t>
      </w:r>
      <w:proofErr w:type="gramEnd"/>
      <w:r w:rsidRPr="6A13B1E6">
        <w:rPr>
          <w:rFonts w:cs="Arial"/>
        </w:rPr>
        <w:t xml:space="preserve"> to, the higher classification level for a continuous period of at least two years may appeal the decision not to </w:t>
      </w:r>
      <w:r w:rsidR="5219395A" w:rsidRPr="4E4472F2">
        <w:rPr>
          <w:rFonts w:cs="Arial"/>
        </w:rPr>
        <w:t xml:space="preserve">permanently </w:t>
      </w:r>
      <w:r w:rsidR="6E27D220" w:rsidRPr="4E4472F2">
        <w:rPr>
          <w:rFonts w:cs="Arial"/>
        </w:rPr>
        <w:t>employ</w:t>
      </w:r>
      <w:r w:rsidR="6E27D220" w:rsidRPr="787E17E2">
        <w:rPr>
          <w:rFonts w:cs="Arial"/>
        </w:rPr>
        <w:t xml:space="preserve"> </w:t>
      </w:r>
      <w:r w:rsidRPr="787E17E2">
        <w:rPr>
          <w:rFonts w:cs="Arial"/>
        </w:rPr>
        <w:t>at</w:t>
      </w:r>
      <w:r w:rsidRPr="6A13B1E6">
        <w:rPr>
          <w:rFonts w:cs="Arial"/>
        </w:rPr>
        <w:t xml:space="preserve"> the higher level. There is no appeal of a </w:t>
      </w:r>
      <w:r w:rsidR="0058519F" w:rsidRPr="6A13B1E6">
        <w:rPr>
          <w:rFonts w:cs="Arial"/>
        </w:rPr>
        <w:t>one-year</w:t>
      </w:r>
      <w:r w:rsidRPr="6A13B1E6">
        <w:rPr>
          <w:rFonts w:cs="Arial"/>
        </w:rPr>
        <w:t xml:space="preserve"> review decision not to </w:t>
      </w:r>
      <w:r w:rsidR="074FCFE5" w:rsidRPr="14E89F01">
        <w:rPr>
          <w:rFonts w:cs="Arial"/>
        </w:rPr>
        <w:t>permanently</w:t>
      </w:r>
      <w:r w:rsidR="074FCFE5" w:rsidRPr="43A93641">
        <w:rPr>
          <w:rFonts w:cs="Arial"/>
        </w:rPr>
        <w:t xml:space="preserve"> </w:t>
      </w:r>
      <w:r w:rsidR="58EC618B" w:rsidRPr="6A13B1E6">
        <w:rPr>
          <w:rFonts w:cs="Arial"/>
        </w:rPr>
        <w:t>employ</w:t>
      </w:r>
      <w:r w:rsidR="627459F8" w:rsidRPr="3FD1F9F2">
        <w:rPr>
          <w:rFonts w:cs="Arial"/>
        </w:rPr>
        <w:t xml:space="preserve"> at the </w:t>
      </w:r>
      <w:r w:rsidR="627459F8" w:rsidRPr="1EC24045">
        <w:rPr>
          <w:rFonts w:cs="Arial"/>
        </w:rPr>
        <w:t>higher level</w:t>
      </w:r>
      <w:r w:rsidR="58EC618B" w:rsidRPr="1EC24045">
        <w:rPr>
          <w:rFonts w:cs="Arial"/>
        </w:rPr>
        <w:t>.</w:t>
      </w:r>
    </w:p>
    <w:p w14:paraId="11072B0B" w14:textId="77777777" w:rsidR="005A45DF" w:rsidRPr="00B66E1F" w:rsidRDefault="005A45DF" w:rsidP="005A45DF">
      <w:pPr>
        <w:widowControl w:val="0"/>
        <w:spacing w:after="60"/>
        <w:rPr>
          <w:rFonts w:cs="Arial"/>
          <w:szCs w:val="22"/>
        </w:rPr>
      </w:pPr>
    </w:p>
    <w:p w14:paraId="52914199" w14:textId="3EBE976A" w:rsidR="005A45DF" w:rsidRPr="00B66E1F" w:rsidRDefault="005A45DF" w:rsidP="005F38D5">
      <w:pPr>
        <w:widowControl w:val="0"/>
        <w:spacing w:after="60"/>
        <w:rPr>
          <w:rFonts w:cs="Arial"/>
          <w:szCs w:val="22"/>
        </w:rPr>
      </w:pPr>
      <w:r w:rsidRPr="00B66E1F">
        <w:rPr>
          <w:rFonts w:cs="Arial"/>
          <w:szCs w:val="22"/>
        </w:rPr>
        <w:t xml:space="preserve">There are procedural requirements, including time limits, under the </w:t>
      </w:r>
      <w:hyperlink r:id="rId21" w:history="1">
        <w:r w:rsidRPr="00512BC0">
          <w:rPr>
            <w:rStyle w:val="Hyperlink"/>
            <w:rFonts w:cs="Arial"/>
            <w:i/>
            <w:szCs w:val="22"/>
          </w:rPr>
          <w:t>Industrial Relations Act 2016</w:t>
        </w:r>
      </w:hyperlink>
      <w:r w:rsidRPr="00B66E1F">
        <w:rPr>
          <w:rFonts w:cs="Arial"/>
          <w:i/>
          <w:szCs w:val="22"/>
        </w:rPr>
        <w:t xml:space="preserve"> </w:t>
      </w:r>
      <w:r w:rsidRPr="00B66E1F">
        <w:rPr>
          <w:rFonts w:cs="Arial"/>
          <w:szCs w:val="22"/>
        </w:rPr>
        <w:t xml:space="preserve">that  must </w:t>
      </w:r>
      <w:r w:rsidR="00761DBE">
        <w:rPr>
          <w:rFonts w:cs="Arial"/>
          <w:szCs w:val="22"/>
        </w:rPr>
        <w:t xml:space="preserve">be </w:t>
      </w:r>
      <w:r w:rsidRPr="00B66E1F">
        <w:rPr>
          <w:rFonts w:cs="Arial"/>
          <w:szCs w:val="22"/>
        </w:rPr>
        <w:t>fulfil</w:t>
      </w:r>
      <w:r w:rsidR="00761DBE">
        <w:rPr>
          <w:rFonts w:cs="Arial"/>
          <w:szCs w:val="22"/>
        </w:rPr>
        <w:t>led</w:t>
      </w:r>
      <w:r w:rsidRPr="00B66E1F">
        <w:rPr>
          <w:rFonts w:cs="Arial"/>
          <w:szCs w:val="22"/>
        </w:rPr>
        <w:t xml:space="preserve"> in order to appeal this decision.</w:t>
      </w:r>
      <w:r w:rsidRPr="00B66E1F">
        <w:rPr>
          <w:rFonts w:cs="Arial"/>
          <w:i/>
          <w:szCs w:val="22"/>
        </w:rPr>
        <w:t xml:space="preserve"> </w:t>
      </w:r>
      <w:r w:rsidRPr="00B66E1F">
        <w:rPr>
          <w:rFonts w:cs="Arial"/>
          <w:szCs w:val="22"/>
        </w:rPr>
        <w:t xml:space="preserve">Refer to the </w:t>
      </w:r>
      <w:hyperlink r:id="rId22" w:history="1">
        <w:r w:rsidRPr="00AF1630">
          <w:rPr>
            <w:rStyle w:val="Hyperlink"/>
            <w:rFonts w:cs="Arial"/>
            <w:szCs w:val="22"/>
          </w:rPr>
          <w:t>Appeals directive 04/23</w:t>
        </w:r>
      </w:hyperlink>
      <w:r w:rsidR="00D83513">
        <w:rPr>
          <w:rFonts w:cs="Arial"/>
          <w:szCs w:val="22"/>
        </w:rPr>
        <w:t xml:space="preserve"> </w:t>
      </w:r>
      <w:r w:rsidR="00D83513">
        <w:rPr>
          <w:rFonts w:cs="Arial"/>
        </w:rPr>
        <w:t xml:space="preserve">for further information. The Queensland Industrial Relations Commission </w:t>
      </w:r>
      <w:r w:rsidR="00096634">
        <w:rPr>
          <w:rFonts w:cs="Arial"/>
        </w:rPr>
        <w:t xml:space="preserve">Industrial </w:t>
      </w:r>
      <w:r w:rsidR="00D83513">
        <w:rPr>
          <w:rFonts w:cs="Arial"/>
        </w:rPr>
        <w:t xml:space="preserve">Registry </w:t>
      </w:r>
      <w:r w:rsidR="00096634">
        <w:rPr>
          <w:rFonts w:cs="Arial"/>
        </w:rPr>
        <w:t>can provide further information about public sector appeal procedures</w:t>
      </w:r>
      <w:r w:rsidR="00761DBE" w:rsidRPr="00247B34">
        <w:rPr>
          <w:rStyle w:val="listnumber"/>
          <w:rFonts w:cs="Arial"/>
          <w:color w:val="000000"/>
        </w:rPr>
        <w:t>—</w:t>
      </w:r>
      <w:r w:rsidR="00761DBE">
        <w:rPr>
          <w:rStyle w:val="listnumber"/>
          <w:rFonts w:cs="Arial"/>
          <w:color w:val="000000"/>
        </w:rPr>
        <w:t>v</w:t>
      </w:r>
      <w:r w:rsidR="00096634">
        <w:rPr>
          <w:rFonts w:cs="Arial"/>
        </w:rPr>
        <w:t xml:space="preserve">isit </w:t>
      </w:r>
      <w:hyperlink r:id="rId23" w:history="1">
        <w:r w:rsidR="00096634" w:rsidRPr="00523DCA">
          <w:rPr>
            <w:rStyle w:val="Hyperlink"/>
            <w:rFonts w:cs="Arial"/>
          </w:rPr>
          <w:t>www.qirc.qld.gov.au</w:t>
        </w:r>
      </w:hyperlink>
      <w:r w:rsidR="00096634">
        <w:rPr>
          <w:rFonts w:cs="Arial"/>
        </w:rPr>
        <w:t xml:space="preserve">, or telephone </w:t>
      </w:r>
      <w:r w:rsidR="00096634">
        <w:rPr>
          <w:rFonts w:cs="Arial"/>
          <w:szCs w:val="22"/>
        </w:rPr>
        <w:t>1300 592 987 or (07) 3227 8060.</w:t>
      </w:r>
      <w:r w:rsidR="00D83513">
        <w:rPr>
          <w:rFonts w:cs="Arial"/>
        </w:rPr>
        <w:t xml:space="preserve"> </w:t>
      </w:r>
    </w:p>
    <w:p w14:paraId="4D817100" w14:textId="77777777" w:rsidR="00096634" w:rsidRDefault="00096634" w:rsidP="005A45DF">
      <w:pPr>
        <w:widowControl w:val="0"/>
        <w:spacing w:after="60"/>
        <w:rPr>
          <w:rFonts w:cs="Arial"/>
          <w:b/>
          <w:bCs/>
          <w:szCs w:val="22"/>
        </w:rPr>
      </w:pPr>
    </w:p>
    <w:p w14:paraId="298E6758" w14:textId="5266D18A" w:rsidR="005A45DF" w:rsidRPr="00B66E1F" w:rsidRDefault="005A45DF" w:rsidP="005A45DF">
      <w:pPr>
        <w:widowControl w:val="0"/>
        <w:spacing w:after="60"/>
        <w:rPr>
          <w:rFonts w:cs="Arial"/>
          <w:b/>
          <w:bCs/>
          <w:szCs w:val="22"/>
        </w:rPr>
      </w:pPr>
      <w:r w:rsidRPr="00B66E1F">
        <w:rPr>
          <w:rFonts w:cs="Arial"/>
          <w:b/>
          <w:bCs/>
          <w:szCs w:val="22"/>
        </w:rPr>
        <w:t>Human rights</w:t>
      </w:r>
    </w:p>
    <w:p w14:paraId="571F6FDD" w14:textId="2A9121DF" w:rsidR="005A45DF" w:rsidRPr="00B66E1F" w:rsidRDefault="005A45DF" w:rsidP="005A45DF">
      <w:pPr>
        <w:pStyle w:val="Header"/>
        <w:tabs>
          <w:tab w:val="left" w:pos="720"/>
        </w:tabs>
        <w:rPr>
          <w:rFonts w:cs="Arial"/>
          <w:szCs w:val="22"/>
        </w:rPr>
      </w:pPr>
      <w:r w:rsidRPr="00B66E1F">
        <w:rPr>
          <w:rFonts w:cs="Arial"/>
          <w:szCs w:val="22"/>
        </w:rPr>
        <w:t xml:space="preserve">Under the </w:t>
      </w:r>
      <w:hyperlink r:id="rId24" w:history="1">
        <w:r w:rsidRPr="007D0D0F">
          <w:rPr>
            <w:rStyle w:val="Hyperlink"/>
            <w:rFonts w:cs="Arial"/>
            <w:i/>
            <w:iCs/>
            <w:szCs w:val="22"/>
          </w:rPr>
          <w:t>Human Rights Act 2019</w:t>
        </w:r>
      </w:hyperlink>
      <w:r w:rsidRPr="00B66E1F">
        <w:rPr>
          <w:rFonts w:cs="Arial"/>
          <w:szCs w:val="22"/>
        </w:rPr>
        <w:t xml:space="preserve">, decision makers </w:t>
      </w:r>
      <w:r w:rsidR="00761DBE">
        <w:rPr>
          <w:rFonts w:cs="Arial"/>
          <w:szCs w:val="22"/>
        </w:rPr>
        <w:t>must</w:t>
      </w:r>
      <w:r w:rsidRPr="00B66E1F">
        <w:rPr>
          <w:rFonts w:cs="Arial"/>
          <w:szCs w:val="22"/>
        </w:rPr>
        <w:t xml:space="preserve"> act and make decisions in a way that is compatible with human rights, and when making a decision under this directive, to give proper consideration to human rights. </w:t>
      </w:r>
    </w:p>
    <w:p w14:paraId="6C134367" w14:textId="77777777" w:rsidR="005A45DF" w:rsidRPr="00B66E1F" w:rsidRDefault="005A45DF" w:rsidP="005A45DF">
      <w:pPr>
        <w:pStyle w:val="Header"/>
        <w:tabs>
          <w:tab w:val="left" w:pos="720"/>
        </w:tabs>
        <w:rPr>
          <w:rFonts w:cs="Arial"/>
          <w:szCs w:val="22"/>
        </w:rPr>
      </w:pPr>
    </w:p>
    <w:p w14:paraId="3A0DC99E" w14:textId="22CB7195" w:rsidR="005A45DF" w:rsidRPr="00B66E1F" w:rsidRDefault="005A45DF" w:rsidP="005A45DF">
      <w:pPr>
        <w:pStyle w:val="Header"/>
        <w:tabs>
          <w:tab w:val="left" w:pos="720"/>
        </w:tabs>
        <w:rPr>
          <w:rFonts w:cs="Arial"/>
          <w:szCs w:val="22"/>
        </w:rPr>
      </w:pPr>
      <w:r w:rsidRPr="00B66E1F">
        <w:rPr>
          <w:rFonts w:cs="Arial"/>
          <w:szCs w:val="22"/>
        </w:rPr>
        <w:t xml:space="preserve">If </w:t>
      </w:r>
      <w:r w:rsidR="00761DBE">
        <w:rPr>
          <w:rFonts w:cs="Arial"/>
          <w:szCs w:val="22"/>
        </w:rPr>
        <w:t xml:space="preserve">an </w:t>
      </w:r>
      <w:r w:rsidR="002B4670">
        <w:rPr>
          <w:rFonts w:cs="Arial"/>
          <w:szCs w:val="22"/>
        </w:rPr>
        <w:t>employee</w:t>
      </w:r>
      <w:r w:rsidRPr="00B66E1F">
        <w:rPr>
          <w:rFonts w:cs="Arial"/>
          <w:szCs w:val="22"/>
        </w:rPr>
        <w:t xml:space="preserve"> consider</w:t>
      </w:r>
      <w:r w:rsidR="00761DBE">
        <w:rPr>
          <w:rFonts w:cs="Arial"/>
          <w:szCs w:val="22"/>
        </w:rPr>
        <w:t>s</w:t>
      </w:r>
      <w:r w:rsidRPr="00B66E1F">
        <w:rPr>
          <w:rFonts w:cs="Arial"/>
          <w:szCs w:val="22"/>
        </w:rPr>
        <w:t xml:space="preserve"> that a relevant human right has not </w:t>
      </w:r>
      <w:proofErr w:type="gramStart"/>
      <w:r w:rsidRPr="00B66E1F">
        <w:rPr>
          <w:rFonts w:cs="Arial"/>
          <w:szCs w:val="22"/>
        </w:rPr>
        <w:t xml:space="preserve">been </w:t>
      </w:r>
      <w:r w:rsidR="00761DBE">
        <w:rPr>
          <w:rFonts w:cs="Arial"/>
          <w:szCs w:val="22"/>
        </w:rPr>
        <w:t>considered</w:t>
      </w:r>
      <w:proofErr w:type="gramEnd"/>
      <w:r w:rsidRPr="00B66E1F">
        <w:rPr>
          <w:rFonts w:cs="Arial"/>
          <w:szCs w:val="22"/>
        </w:rPr>
        <w:t xml:space="preserve"> in making this decision, </w:t>
      </w:r>
      <w:r w:rsidR="00761DBE">
        <w:rPr>
          <w:rFonts w:cs="Arial"/>
          <w:szCs w:val="22"/>
        </w:rPr>
        <w:t>they</w:t>
      </w:r>
      <w:r w:rsidRPr="00B66E1F">
        <w:rPr>
          <w:rFonts w:cs="Arial"/>
          <w:szCs w:val="22"/>
        </w:rPr>
        <w:t xml:space="preserve"> may make a complaint using </w:t>
      </w:r>
      <w:r w:rsidR="00761DBE">
        <w:rPr>
          <w:rFonts w:cs="Arial"/>
          <w:szCs w:val="22"/>
        </w:rPr>
        <w:t>their</w:t>
      </w:r>
      <w:r w:rsidRPr="00B66E1F">
        <w:rPr>
          <w:rFonts w:cs="Arial"/>
          <w:szCs w:val="22"/>
        </w:rPr>
        <w:t xml:space="preserve"> agency’s process for making a human rights complaint. If </w:t>
      </w:r>
      <w:r w:rsidR="006C2FCD">
        <w:rPr>
          <w:rFonts w:cs="Arial"/>
          <w:szCs w:val="22"/>
        </w:rPr>
        <w:t>an</w:t>
      </w:r>
      <w:r w:rsidR="00761DBE">
        <w:rPr>
          <w:rFonts w:cs="Arial"/>
          <w:szCs w:val="22"/>
        </w:rPr>
        <w:t xml:space="preserve"> employee</w:t>
      </w:r>
      <w:r w:rsidRPr="00B66E1F">
        <w:rPr>
          <w:rFonts w:cs="Arial"/>
          <w:szCs w:val="22"/>
        </w:rPr>
        <w:t xml:space="preserve"> appeal</w:t>
      </w:r>
      <w:r w:rsidR="00761DBE">
        <w:rPr>
          <w:rFonts w:cs="Arial"/>
          <w:szCs w:val="22"/>
        </w:rPr>
        <w:t>s</w:t>
      </w:r>
      <w:r w:rsidRPr="00B66E1F">
        <w:rPr>
          <w:rFonts w:cs="Arial"/>
          <w:szCs w:val="22"/>
        </w:rPr>
        <w:t xml:space="preserve"> a decision, </w:t>
      </w:r>
      <w:r w:rsidR="00761DBE">
        <w:rPr>
          <w:rFonts w:cs="Arial"/>
          <w:szCs w:val="22"/>
        </w:rPr>
        <w:t>they</w:t>
      </w:r>
      <w:r w:rsidRPr="00B66E1F">
        <w:rPr>
          <w:rFonts w:cs="Arial"/>
          <w:szCs w:val="22"/>
        </w:rPr>
        <w:t xml:space="preserve"> can include information about </w:t>
      </w:r>
      <w:r w:rsidR="00761DBE">
        <w:rPr>
          <w:rFonts w:cs="Arial"/>
          <w:szCs w:val="22"/>
        </w:rPr>
        <w:t>their</w:t>
      </w:r>
      <w:r w:rsidRPr="00B66E1F">
        <w:rPr>
          <w:rFonts w:cs="Arial"/>
          <w:szCs w:val="22"/>
        </w:rPr>
        <w:t xml:space="preserve"> human rights complaint.</w:t>
      </w:r>
    </w:p>
    <w:p w14:paraId="3DFC8E56" w14:textId="77777777" w:rsidR="005A45DF" w:rsidRPr="00B66E1F" w:rsidRDefault="005A45DF" w:rsidP="005A45DF">
      <w:pPr>
        <w:pStyle w:val="Header"/>
        <w:tabs>
          <w:tab w:val="left" w:pos="720"/>
        </w:tabs>
        <w:rPr>
          <w:rFonts w:cs="Arial"/>
          <w:szCs w:val="22"/>
        </w:rPr>
      </w:pPr>
    </w:p>
    <w:p w14:paraId="1A4D70A3" w14:textId="2EEAEC67" w:rsidR="005A45DF" w:rsidRPr="00B66E1F" w:rsidRDefault="005A45DF" w:rsidP="002A7207">
      <w:pPr>
        <w:pStyle w:val="Header"/>
        <w:tabs>
          <w:tab w:val="left" w:pos="720"/>
        </w:tabs>
      </w:pPr>
      <w:r w:rsidRPr="00B66E1F">
        <w:rPr>
          <w:rFonts w:cs="Arial"/>
          <w:szCs w:val="22"/>
        </w:rPr>
        <w:t>Further information about your human rights is available</w:t>
      </w:r>
      <w:r w:rsidR="00761DBE">
        <w:rPr>
          <w:rFonts w:cs="Arial"/>
          <w:szCs w:val="22"/>
        </w:rPr>
        <w:t xml:space="preserve"> at </w:t>
      </w:r>
      <w:r w:rsidRPr="00B66E1F">
        <w:rPr>
          <w:rFonts w:cs="Arial"/>
          <w:szCs w:val="22"/>
        </w:rPr>
        <w:t xml:space="preserve"> </w:t>
      </w:r>
      <w:hyperlink r:id="rId25" w:history="1">
        <w:r w:rsidR="00761DBE" w:rsidRPr="00761DBE">
          <w:rPr>
            <w:rStyle w:val="Hyperlink"/>
            <w:rFonts w:cs="Arial"/>
            <w:szCs w:val="22"/>
          </w:rPr>
          <w:t>www.qhrc.qld.gov.au/your-rights/human-rights-law</w:t>
        </w:r>
      </w:hyperlink>
      <w:r w:rsidRPr="00B66E1F">
        <w:rPr>
          <w:rFonts w:cs="Arial"/>
          <w:szCs w:val="22"/>
        </w:rPr>
        <w:t>.</w:t>
      </w:r>
      <w:bookmarkEnd w:id="1"/>
    </w:p>
    <w:sectPr w:rsidR="005A45DF" w:rsidRPr="00B66E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842E1"/>
    <w:multiLevelType w:val="multilevel"/>
    <w:tmpl w:val="ED06C8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lowerLetter"/>
      <w:lvlText w:val="(%3)"/>
      <w:lvlJc w:val="left"/>
      <w:pPr>
        <w:ind w:left="108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03F775B"/>
    <w:multiLevelType w:val="hybridMultilevel"/>
    <w:tmpl w:val="EB32733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1658A"/>
    <w:multiLevelType w:val="hybridMultilevel"/>
    <w:tmpl w:val="4FBC3E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9630E"/>
    <w:multiLevelType w:val="multilevel"/>
    <w:tmpl w:val="0BC49AC6"/>
    <w:lvl w:ilvl="0">
      <w:start w:val="1"/>
      <w:numFmt w:val="decimal"/>
      <w:pStyle w:val="PSC-Heading2"/>
      <w:lvlText w:val="%1."/>
      <w:lvlJc w:val="left"/>
      <w:pPr>
        <w:ind w:left="0" w:firstLine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4" w15:restartNumberingAfterBreak="0">
    <w:nsid w:val="2DE32A76"/>
    <w:multiLevelType w:val="hybridMultilevel"/>
    <w:tmpl w:val="EF1803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37FDA"/>
    <w:multiLevelType w:val="hybridMultilevel"/>
    <w:tmpl w:val="4858B5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706EE3"/>
    <w:multiLevelType w:val="hybridMultilevel"/>
    <w:tmpl w:val="FA36AF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F47A92"/>
    <w:multiLevelType w:val="multilevel"/>
    <w:tmpl w:val="1624EA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umberedlist2"/>
      <w:lvlText w:val="%1.%2"/>
      <w:lvlJc w:val="left"/>
      <w:pPr>
        <w:ind w:left="1080" w:hanging="72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8" w15:restartNumberingAfterBreak="0">
    <w:nsid w:val="4B832938"/>
    <w:multiLevelType w:val="hybridMultilevel"/>
    <w:tmpl w:val="27BA4E4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8838D5"/>
    <w:multiLevelType w:val="hybridMultilevel"/>
    <w:tmpl w:val="EB32733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BB3A71"/>
    <w:multiLevelType w:val="hybridMultilevel"/>
    <w:tmpl w:val="EB32733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B14DD5"/>
    <w:multiLevelType w:val="hybridMultilevel"/>
    <w:tmpl w:val="41E2F5B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7B83AA7"/>
    <w:multiLevelType w:val="multilevel"/>
    <w:tmpl w:val="ED06C8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lowerLetter"/>
      <w:lvlText w:val="(%3)"/>
      <w:lvlJc w:val="left"/>
      <w:pPr>
        <w:ind w:left="108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8FB34D5"/>
    <w:multiLevelType w:val="hybridMultilevel"/>
    <w:tmpl w:val="D1182FA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4E322F"/>
    <w:multiLevelType w:val="hybridMultilevel"/>
    <w:tmpl w:val="DEF627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A379D3"/>
    <w:multiLevelType w:val="hybridMultilevel"/>
    <w:tmpl w:val="4B86AB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225D6F"/>
    <w:multiLevelType w:val="multilevel"/>
    <w:tmpl w:val="2E26E8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num w:numId="1" w16cid:durableId="256445523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245964">
    <w:abstractNumId w:val="4"/>
  </w:num>
  <w:num w:numId="3" w16cid:durableId="1861115689">
    <w:abstractNumId w:val="14"/>
  </w:num>
  <w:num w:numId="4" w16cid:durableId="8989821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8581834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00227208">
    <w:abstractNumId w:val="8"/>
  </w:num>
  <w:num w:numId="7" w16cid:durableId="2094617244">
    <w:abstractNumId w:val="5"/>
  </w:num>
  <w:num w:numId="8" w16cid:durableId="926965957">
    <w:abstractNumId w:val="0"/>
  </w:num>
  <w:num w:numId="9" w16cid:durableId="748693945">
    <w:abstractNumId w:val="2"/>
  </w:num>
  <w:num w:numId="10" w16cid:durableId="456409686">
    <w:abstractNumId w:val="3"/>
  </w:num>
  <w:num w:numId="11" w16cid:durableId="456947040">
    <w:abstractNumId w:val="12"/>
  </w:num>
  <w:num w:numId="12" w16cid:durableId="1830442491">
    <w:abstractNumId w:val="16"/>
  </w:num>
  <w:num w:numId="13" w16cid:durableId="796029378">
    <w:abstractNumId w:val="7"/>
  </w:num>
  <w:num w:numId="14" w16cid:durableId="66344621">
    <w:abstractNumId w:val="11"/>
  </w:num>
  <w:num w:numId="15" w16cid:durableId="500973686">
    <w:abstractNumId w:val="6"/>
  </w:num>
  <w:num w:numId="16" w16cid:durableId="1066876614">
    <w:abstractNumId w:val="10"/>
  </w:num>
  <w:num w:numId="17" w16cid:durableId="11566040">
    <w:abstractNumId w:val="9"/>
  </w:num>
  <w:num w:numId="18" w16cid:durableId="619189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50F"/>
    <w:rsid w:val="000020F8"/>
    <w:rsid w:val="00003208"/>
    <w:rsid w:val="00005D22"/>
    <w:rsid w:val="00006FC7"/>
    <w:rsid w:val="00024084"/>
    <w:rsid w:val="00035471"/>
    <w:rsid w:val="00036731"/>
    <w:rsid w:val="00043888"/>
    <w:rsid w:val="00050569"/>
    <w:rsid w:val="00056857"/>
    <w:rsid w:val="000653D1"/>
    <w:rsid w:val="000766D7"/>
    <w:rsid w:val="000826D3"/>
    <w:rsid w:val="00083D24"/>
    <w:rsid w:val="00096634"/>
    <w:rsid w:val="0009764C"/>
    <w:rsid w:val="000B06DD"/>
    <w:rsid w:val="000B463D"/>
    <w:rsid w:val="000B6B36"/>
    <w:rsid w:val="000D1FFB"/>
    <w:rsid w:val="001010FD"/>
    <w:rsid w:val="00102ADB"/>
    <w:rsid w:val="001071E9"/>
    <w:rsid w:val="0011485C"/>
    <w:rsid w:val="00124D0F"/>
    <w:rsid w:val="001265FA"/>
    <w:rsid w:val="00144F90"/>
    <w:rsid w:val="00145005"/>
    <w:rsid w:val="001505A1"/>
    <w:rsid w:val="00157C4A"/>
    <w:rsid w:val="0016101C"/>
    <w:rsid w:val="00163A01"/>
    <w:rsid w:val="00172864"/>
    <w:rsid w:val="00180A76"/>
    <w:rsid w:val="001812DA"/>
    <w:rsid w:val="001845FE"/>
    <w:rsid w:val="00184E13"/>
    <w:rsid w:val="00187B38"/>
    <w:rsid w:val="00193445"/>
    <w:rsid w:val="001942A3"/>
    <w:rsid w:val="001955FE"/>
    <w:rsid w:val="00195F65"/>
    <w:rsid w:val="001A2282"/>
    <w:rsid w:val="001A780F"/>
    <w:rsid w:val="001B0F24"/>
    <w:rsid w:val="001B1FEA"/>
    <w:rsid w:val="001B46A5"/>
    <w:rsid w:val="001C3E2B"/>
    <w:rsid w:val="001C41DA"/>
    <w:rsid w:val="001C7E23"/>
    <w:rsid w:val="001D2E96"/>
    <w:rsid w:val="001E17B8"/>
    <w:rsid w:val="001E3720"/>
    <w:rsid w:val="001E4D92"/>
    <w:rsid w:val="001E6A5B"/>
    <w:rsid w:val="001F322A"/>
    <w:rsid w:val="001F55A0"/>
    <w:rsid w:val="00204AA1"/>
    <w:rsid w:val="002077CE"/>
    <w:rsid w:val="0021691E"/>
    <w:rsid w:val="00216EDD"/>
    <w:rsid w:val="00222A76"/>
    <w:rsid w:val="002264FD"/>
    <w:rsid w:val="00227D7D"/>
    <w:rsid w:val="00236666"/>
    <w:rsid w:val="00236C58"/>
    <w:rsid w:val="0024120C"/>
    <w:rsid w:val="00250962"/>
    <w:rsid w:val="00250B4F"/>
    <w:rsid w:val="00251F0B"/>
    <w:rsid w:val="00262687"/>
    <w:rsid w:val="00266753"/>
    <w:rsid w:val="002717FA"/>
    <w:rsid w:val="0028213F"/>
    <w:rsid w:val="00284D8F"/>
    <w:rsid w:val="002958A5"/>
    <w:rsid w:val="0029610B"/>
    <w:rsid w:val="002A4EE7"/>
    <w:rsid w:val="002A7207"/>
    <w:rsid w:val="002B3E44"/>
    <w:rsid w:val="002B4670"/>
    <w:rsid w:val="002B7457"/>
    <w:rsid w:val="002C6FF8"/>
    <w:rsid w:val="002D366D"/>
    <w:rsid w:val="002D53D8"/>
    <w:rsid w:val="002D654C"/>
    <w:rsid w:val="002F6DDC"/>
    <w:rsid w:val="00311741"/>
    <w:rsid w:val="00311F4E"/>
    <w:rsid w:val="0031628C"/>
    <w:rsid w:val="00320FD8"/>
    <w:rsid w:val="00324F5D"/>
    <w:rsid w:val="003254E0"/>
    <w:rsid w:val="00325822"/>
    <w:rsid w:val="003476DD"/>
    <w:rsid w:val="00364085"/>
    <w:rsid w:val="003708A0"/>
    <w:rsid w:val="00372C2F"/>
    <w:rsid w:val="00380C66"/>
    <w:rsid w:val="003851AB"/>
    <w:rsid w:val="00386B05"/>
    <w:rsid w:val="00387739"/>
    <w:rsid w:val="00394E2B"/>
    <w:rsid w:val="003A013A"/>
    <w:rsid w:val="003A3B74"/>
    <w:rsid w:val="003A5604"/>
    <w:rsid w:val="003C631D"/>
    <w:rsid w:val="003D3C8F"/>
    <w:rsid w:val="003E769E"/>
    <w:rsid w:val="003E7A73"/>
    <w:rsid w:val="0040503F"/>
    <w:rsid w:val="004130CA"/>
    <w:rsid w:val="0041535D"/>
    <w:rsid w:val="004177F8"/>
    <w:rsid w:val="00421A19"/>
    <w:rsid w:val="004267DF"/>
    <w:rsid w:val="00436406"/>
    <w:rsid w:val="0043657D"/>
    <w:rsid w:val="00446D7D"/>
    <w:rsid w:val="00462213"/>
    <w:rsid w:val="00466CE3"/>
    <w:rsid w:val="00475BB8"/>
    <w:rsid w:val="004816AA"/>
    <w:rsid w:val="004908DD"/>
    <w:rsid w:val="004917B3"/>
    <w:rsid w:val="004B3AEF"/>
    <w:rsid w:val="004B7AB8"/>
    <w:rsid w:val="004C6AE1"/>
    <w:rsid w:val="004E1D33"/>
    <w:rsid w:val="004E56A9"/>
    <w:rsid w:val="004E6EA5"/>
    <w:rsid w:val="004E7A88"/>
    <w:rsid w:val="004F0478"/>
    <w:rsid w:val="004F0A29"/>
    <w:rsid w:val="004F0C2C"/>
    <w:rsid w:val="0050010E"/>
    <w:rsid w:val="00500A35"/>
    <w:rsid w:val="00502EEA"/>
    <w:rsid w:val="0050417B"/>
    <w:rsid w:val="005076B2"/>
    <w:rsid w:val="00512BC0"/>
    <w:rsid w:val="00514A4D"/>
    <w:rsid w:val="005237B6"/>
    <w:rsid w:val="00525288"/>
    <w:rsid w:val="00525CDA"/>
    <w:rsid w:val="00525DF8"/>
    <w:rsid w:val="0053030A"/>
    <w:rsid w:val="005372CC"/>
    <w:rsid w:val="00543C73"/>
    <w:rsid w:val="005569FC"/>
    <w:rsid w:val="00561D2C"/>
    <w:rsid w:val="00567CDA"/>
    <w:rsid w:val="00573BAB"/>
    <w:rsid w:val="005814D3"/>
    <w:rsid w:val="0058452B"/>
    <w:rsid w:val="00584834"/>
    <w:rsid w:val="0058519F"/>
    <w:rsid w:val="00593834"/>
    <w:rsid w:val="0059452A"/>
    <w:rsid w:val="00597A14"/>
    <w:rsid w:val="005A13A2"/>
    <w:rsid w:val="005A344B"/>
    <w:rsid w:val="005A45DF"/>
    <w:rsid w:val="005A6189"/>
    <w:rsid w:val="005A71F0"/>
    <w:rsid w:val="005B1991"/>
    <w:rsid w:val="005B467C"/>
    <w:rsid w:val="005C0109"/>
    <w:rsid w:val="005D0F34"/>
    <w:rsid w:val="005D184B"/>
    <w:rsid w:val="005D2A2F"/>
    <w:rsid w:val="005D2B61"/>
    <w:rsid w:val="005E55EA"/>
    <w:rsid w:val="005E7185"/>
    <w:rsid w:val="005F1306"/>
    <w:rsid w:val="005F38D5"/>
    <w:rsid w:val="005F3BE4"/>
    <w:rsid w:val="005F41A4"/>
    <w:rsid w:val="0060466F"/>
    <w:rsid w:val="006078D8"/>
    <w:rsid w:val="00611DB4"/>
    <w:rsid w:val="00624874"/>
    <w:rsid w:val="00637D05"/>
    <w:rsid w:val="00641300"/>
    <w:rsid w:val="00642B63"/>
    <w:rsid w:val="00645B29"/>
    <w:rsid w:val="00645FB5"/>
    <w:rsid w:val="006534AF"/>
    <w:rsid w:val="00655F2C"/>
    <w:rsid w:val="00657386"/>
    <w:rsid w:val="0066038F"/>
    <w:rsid w:val="00663560"/>
    <w:rsid w:val="00664B1D"/>
    <w:rsid w:val="00666BB1"/>
    <w:rsid w:val="00667182"/>
    <w:rsid w:val="0068199F"/>
    <w:rsid w:val="00685E25"/>
    <w:rsid w:val="00695BB8"/>
    <w:rsid w:val="006A00ED"/>
    <w:rsid w:val="006A09DB"/>
    <w:rsid w:val="006B1B60"/>
    <w:rsid w:val="006B32FF"/>
    <w:rsid w:val="006C2FCD"/>
    <w:rsid w:val="006D00D4"/>
    <w:rsid w:val="006D4E98"/>
    <w:rsid w:val="006E39B2"/>
    <w:rsid w:val="006E6779"/>
    <w:rsid w:val="006F06DC"/>
    <w:rsid w:val="006F1166"/>
    <w:rsid w:val="006F2144"/>
    <w:rsid w:val="006F5E0F"/>
    <w:rsid w:val="00700523"/>
    <w:rsid w:val="00700FAF"/>
    <w:rsid w:val="00702DBC"/>
    <w:rsid w:val="007127DB"/>
    <w:rsid w:val="007350A7"/>
    <w:rsid w:val="00735F3B"/>
    <w:rsid w:val="007374BF"/>
    <w:rsid w:val="00745EFB"/>
    <w:rsid w:val="00761DBE"/>
    <w:rsid w:val="00773E9C"/>
    <w:rsid w:val="00786443"/>
    <w:rsid w:val="00786849"/>
    <w:rsid w:val="00796112"/>
    <w:rsid w:val="007A61E1"/>
    <w:rsid w:val="007B49A5"/>
    <w:rsid w:val="007C2E78"/>
    <w:rsid w:val="007D0D0F"/>
    <w:rsid w:val="007D2F6F"/>
    <w:rsid w:val="007D3BE5"/>
    <w:rsid w:val="008200AC"/>
    <w:rsid w:val="0082419A"/>
    <w:rsid w:val="008279CB"/>
    <w:rsid w:val="00840E66"/>
    <w:rsid w:val="00841284"/>
    <w:rsid w:val="008425C8"/>
    <w:rsid w:val="008534C9"/>
    <w:rsid w:val="00862A17"/>
    <w:rsid w:val="008669AA"/>
    <w:rsid w:val="00875B04"/>
    <w:rsid w:val="00877B35"/>
    <w:rsid w:val="0088063E"/>
    <w:rsid w:val="00882834"/>
    <w:rsid w:val="00882F03"/>
    <w:rsid w:val="0088313F"/>
    <w:rsid w:val="00883B97"/>
    <w:rsid w:val="0089316F"/>
    <w:rsid w:val="0089342E"/>
    <w:rsid w:val="008936F3"/>
    <w:rsid w:val="008A3210"/>
    <w:rsid w:val="008B46F0"/>
    <w:rsid w:val="008B6F5F"/>
    <w:rsid w:val="008C2551"/>
    <w:rsid w:val="008C39F3"/>
    <w:rsid w:val="008D2EFA"/>
    <w:rsid w:val="008D366B"/>
    <w:rsid w:val="008D594A"/>
    <w:rsid w:val="008E1087"/>
    <w:rsid w:val="008E1A3B"/>
    <w:rsid w:val="008E2BB2"/>
    <w:rsid w:val="008E3BCA"/>
    <w:rsid w:val="008E43C6"/>
    <w:rsid w:val="008F6AA3"/>
    <w:rsid w:val="008F7093"/>
    <w:rsid w:val="008F7801"/>
    <w:rsid w:val="00900384"/>
    <w:rsid w:val="009014F6"/>
    <w:rsid w:val="00903D55"/>
    <w:rsid w:val="00917B22"/>
    <w:rsid w:val="00920043"/>
    <w:rsid w:val="00924E68"/>
    <w:rsid w:val="009342DD"/>
    <w:rsid w:val="009379B3"/>
    <w:rsid w:val="0094130B"/>
    <w:rsid w:val="00944822"/>
    <w:rsid w:val="009505E5"/>
    <w:rsid w:val="0095380D"/>
    <w:rsid w:val="0095384B"/>
    <w:rsid w:val="00961A27"/>
    <w:rsid w:val="009638F8"/>
    <w:rsid w:val="00967D8C"/>
    <w:rsid w:val="00972778"/>
    <w:rsid w:val="00990269"/>
    <w:rsid w:val="0099082E"/>
    <w:rsid w:val="00990B05"/>
    <w:rsid w:val="00992A68"/>
    <w:rsid w:val="009A0064"/>
    <w:rsid w:val="009A220B"/>
    <w:rsid w:val="009A24AB"/>
    <w:rsid w:val="009A71E5"/>
    <w:rsid w:val="009B0E46"/>
    <w:rsid w:val="009B26A7"/>
    <w:rsid w:val="009B5D45"/>
    <w:rsid w:val="009B75B1"/>
    <w:rsid w:val="009C3689"/>
    <w:rsid w:val="009D024C"/>
    <w:rsid w:val="009E2BCB"/>
    <w:rsid w:val="009E5B5D"/>
    <w:rsid w:val="009E5BDF"/>
    <w:rsid w:val="009F0F69"/>
    <w:rsid w:val="00A12C88"/>
    <w:rsid w:val="00A16BA5"/>
    <w:rsid w:val="00A26236"/>
    <w:rsid w:val="00A3140A"/>
    <w:rsid w:val="00A3537D"/>
    <w:rsid w:val="00A4086F"/>
    <w:rsid w:val="00A63929"/>
    <w:rsid w:val="00A64023"/>
    <w:rsid w:val="00A67B2F"/>
    <w:rsid w:val="00A748C3"/>
    <w:rsid w:val="00A81015"/>
    <w:rsid w:val="00A82111"/>
    <w:rsid w:val="00A85BFD"/>
    <w:rsid w:val="00A95B6A"/>
    <w:rsid w:val="00AA02E3"/>
    <w:rsid w:val="00AA2B00"/>
    <w:rsid w:val="00AB109B"/>
    <w:rsid w:val="00AD2919"/>
    <w:rsid w:val="00AE4491"/>
    <w:rsid w:val="00AE617D"/>
    <w:rsid w:val="00AF1630"/>
    <w:rsid w:val="00B00A8C"/>
    <w:rsid w:val="00B14F8E"/>
    <w:rsid w:val="00B234C6"/>
    <w:rsid w:val="00B2418F"/>
    <w:rsid w:val="00B40A3E"/>
    <w:rsid w:val="00B51823"/>
    <w:rsid w:val="00B5353F"/>
    <w:rsid w:val="00B541FF"/>
    <w:rsid w:val="00B5439A"/>
    <w:rsid w:val="00B55811"/>
    <w:rsid w:val="00B55CC1"/>
    <w:rsid w:val="00B614EB"/>
    <w:rsid w:val="00B61F87"/>
    <w:rsid w:val="00B6699A"/>
    <w:rsid w:val="00B66E1F"/>
    <w:rsid w:val="00B72080"/>
    <w:rsid w:val="00B81034"/>
    <w:rsid w:val="00B81B90"/>
    <w:rsid w:val="00B85F8E"/>
    <w:rsid w:val="00B863A2"/>
    <w:rsid w:val="00B935F8"/>
    <w:rsid w:val="00BA2A10"/>
    <w:rsid w:val="00BA5126"/>
    <w:rsid w:val="00BA62AA"/>
    <w:rsid w:val="00BB2D86"/>
    <w:rsid w:val="00BB41CC"/>
    <w:rsid w:val="00BB51F8"/>
    <w:rsid w:val="00BC166C"/>
    <w:rsid w:val="00BC20F2"/>
    <w:rsid w:val="00BD6110"/>
    <w:rsid w:val="00BE1853"/>
    <w:rsid w:val="00BE33DE"/>
    <w:rsid w:val="00BF7871"/>
    <w:rsid w:val="00C00930"/>
    <w:rsid w:val="00C01280"/>
    <w:rsid w:val="00C1050F"/>
    <w:rsid w:val="00C10FDC"/>
    <w:rsid w:val="00C11D18"/>
    <w:rsid w:val="00C16DFA"/>
    <w:rsid w:val="00C35F11"/>
    <w:rsid w:val="00C40C8A"/>
    <w:rsid w:val="00C452EB"/>
    <w:rsid w:val="00C46746"/>
    <w:rsid w:val="00C47032"/>
    <w:rsid w:val="00C56D72"/>
    <w:rsid w:val="00C664AE"/>
    <w:rsid w:val="00C7185F"/>
    <w:rsid w:val="00C97EAB"/>
    <w:rsid w:val="00CA208B"/>
    <w:rsid w:val="00CA297C"/>
    <w:rsid w:val="00CA6E23"/>
    <w:rsid w:val="00CB0C8B"/>
    <w:rsid w:val="00CB6893"/>
    <w:rsid w:val="00CB69CC"/>
    <w:rsid w:val="00CC01B6"/>
    <w:rsid w:val="00CE0D10"/>
    <w:rsid w:val="00CE2E1F"/>
    <w:rsid w:val="00CE447C"/>
    <w:rsid w:val="00CE5140"/>
    <w:rsid w:val="00CF599B"/>
    <w:rsid w:val="00D04373"/>
    <w:rsid w:val="00D06BA2"/>
    <w:rsid w:val="00D13A9D"/>
    <w:rsid w:val="00D14CC0"/>
    <w:rsid w:val="00D24535"/>
    <w:rsid w:val="00D277D9"/>
    <w:rsid w:val="00D362FE"/>
    <w:rsid w:val="00D42CE9"/>
    <w:rsid w:val="00D46698"/>
    <w:rsid w:val="00D50AFD"/>
    <w:rsid w:val="00D5404F"/>
    <w:rsid w:val="00D56A90"/>
    <w:rsid w:val="00D63219"/>
    <w:rsid w:val="00D71C6F"/>
    <w:rsid w:val="00D7357E"/>
    <w:rsid w:val="00D750CF"/>
    <w:rsid w:val="00D80DE3"/>
    <w:rsid w:val="00D83513"/>
    <w:rsid w:val="00D949CC"/>
    <w:rsid w:val="00D967AB"/>
    <w:rsid w:val="00DA4F05"/>
    <w:rsid w:val="00DA6C29"/>
    <w:rsid w:val="00DB07CB"/>
    <w:rsid w:val="00DB0AAB"/>
    <w:rsid w:val="00DC66A7"/>
    <w:rsid w:val="00DE7088"/>
    <w:rsid w:val="00DF0177"/>
    <w:rsid w:val="00DF552D"/>
    <w:rsid w:val="00E00608"/>
    <w:rsid w:val="00E010A3"/>
    <w:rsid w:val="00E04230"/>
    <w:rsid w:val="00E2263F"/>
    <w:rsid w:val="00E227D0"/>
    <w:rsid w:val="00E32A30"/>
    <w:rsid w:val="00E33673"/>
    <w:rsid w:val="00E431DA"/>
    <w:rsid w:val="00E84727"/>
    <w:rsid w:val="00E90F8E"/>
    <w:rsid w:val="00E96539"/>
    <w:rsid w:val="00E96B04"/>
    <w:rsid w:val="00EA0969"/>
    <w:rsid w:val="00EA5750"/>
    <w:rsid w:val="00EB0870"/>
    <w:rsid w:val="00EB6B43"/>
    <w:rsid w:val="00EC05CB"/>
    <w:rsid w:val="00EC38D2"/>
    <w:rsid w:val="00EC74C5"/>
    <w:rsid w:val="00EC7AD8"/>
    <w:rsid w:val="00EE3017"/>
    <w:rsid w:val="00EF1506"/>
    <w:rsid w:val="00EF741F"/>
    <w:rsid w:val="00EF7F19"/>
    <w:rsid w:val="00F04061"/>
    <w:rsid w:val="00F106AB"/>
    <w:rsid w:val="00F147AA"/>
    <w:rsid w:val="00F14BF9"/>
    <w:rsid w:val="00F15D88"/>
    <w:rsid w:val="00F16A67"/>
    <w:rsid w:val="00F2419B"/>
    <w:rsid w:val="00F262C9"/>
    <w:rsid w:val="00F4309C"/>
    <w:rsid w:val="00F43C18"/>
    <w:rsid w:val="00F469BE"/>
    <w:rsid w:val="00F476EB"/>
    <w:rsid w:val="00F503E2"/>
    <w:rsid w:val="00F51282"/>
    <w:rsid w:val="00F529CD"/>
    <w:rsid w:val="00F74977"/>
    <w:rsid w:val="00F803C0"/>
    <w:rsid w:val="00F8327C"/>
    <w:rsid w:val="00FD4C82"/>
    <w:rsid w:val="00FF78CE"/>
    <w:rsid w:val="0230B9BF"/>
    <w:rsid w:val="02FDD12E"/>
    <w:rsid w:val="04440114"/>
    <w:rsid w:val="04E9E943"/>
    <w:rsid w:val="05278032"/>
    <w:rsid w:val="074FCFE5"/>
    <w:rsid w:val="07734962"/>
    <w:rsid w:val="07A046E4"/>
    <w:rsid w:val="0852238E"/>
    <w:rsid w:val="09DF095C"/>
    <w:rsid w:val="103C2D71"/>
    <w:rsid w:val="10498073"/>
    <w:rsid w:val="116516E4"/>
    <w:rsid w:val="12541A94"/>
    <w:rsid w:val="12569D6D"/>
    <w:rsid w:val="12B9BC9B"/>
    <w:rsid w:val="1499DBCD"/>
    <w:rsid w:val="14C5C9EA"/>
    <w:rsid w:val="14E89F01"/>
    <w:rsid w:val="15D3DCF6"/>
    <w:rsid w:val="1600DA78"/>
    <w:rsid w:val="1A82743A"/>
    <w:rsid w:val="1AC421D8"/>
    <w:rsid w:val="1B29B413"/>
    <w:rsid w:val="1D1BE1F9"/>
    <w:rsid w:val="1E79A52E"/>
    <w:rsid w:val="1EC24045"/>
    <w:rsid w:val="1F29EDFB"/>
    <w:rsid w:val="1F79336E"/>
    <w:rsid w:val="2007E8A7"/>
    <w:rsid w:val="21695A2A"/>
    <w:rsid w:val="223CF47B"/>
    <w:rsid w:val="24170651"/>
    <w:rsid w:val="267348FF"/>
    <w:rsid w:val="277B124B"/>
    <w:rsid w:val="293103A8"/>
    <w:rsid w:val="2995A7B0"/>
    <w:rsid w:val="29ABD055"/>
    <w:rsid w:val="2AF430A0"/>
    <w:rsid w:val="2B501169"/>
    <w:rsid w:val="2CDAE377"/>
    <w:rsid w:val="2D124BA9"/>
    <w:rsid w:val="2E14EB91"/>
    <w:rsid w:val="2E9B27D5"/>
    <w:rsid w:val="2EE65AE1"/>
    <w:rsid w:val="2F0BED56"/>
    <w:rsid w:val="2FF87F1D"/>
    <w:rsid w:val="30CAC5B1"/>
    <w:rsid w:val="312DC581"/>
    <w:rsid w:val="319A93B5"/>
    <w:rsid w:val="31A95571"/>
    <w:rsid w:val="335D1772"/>
    <w:rsid w:val="339B967A"/>
    <w:rsid w:val="3443BF15"/>
    <w:rsid w:val="3489F9DA"/>
    <w:rsid w:val="3500C250"/>
    <w:rsid w:val="35DBA5DF"/>
    <w:rsid w:val="369D0DDF"/>
    <w:rsid w:val="36CB1865"/>
    <w:rsid w:val="370E13A0"/>
    <w:rsid w:val="37E14F41"/>
    <w:rsid w:val="3E2B4A0C"/>
    <w:rsid w:val="3E2D6D3B"/>
    <w:rsid w:val="3FD1F9F2"/>
    <w:rsid w:val="41277123"/>
    <w:rsid w:val="41886959"/>
    <w:rsid w:val="41C9B0C3"/>
    <w:rsid w:val="42EE8BE5"/>
    <w:rsid w:val="434AED40"/>
    <w:rsid w:val="43A93641"/>
    <w:rsid w:val="44899C7D"/>
    <w:rsid w:val="44C8CF00"/>
    <w:rsid w:val="45BB62EA"/>
    <w:rsid w:val="46A491E9"/>
    <w:rsid w:val="46FAC1A8"/>
    <w:rsid w:val="47483AEE"/>
    <w:rsid w:val="491BD237"/>
    <w:rsid w:val="4A559D12"/>
    <w:rsid w:val="4AB14BB9"/>
    <w:rsid w:val="4B9AE438"/>
    <w:rsid w:val="4C07554D"/>
    <w:rsid w:val="4CD2FCEF"/>
    <w:rsid w:val="4E4472F2"/>
    <w:rsid w:val="4EA09993"/>
    <w:rsid w:val="50BAA119"/>
    <w:rsid w:val="51E931F3"/>
    <w:rsid w:val="520A25BC"/>
    <w:rsid w:val="5219395A"/>
    <w:rsid w:val="53187433"/>
    <w:rsid w:val="5410777F"/>
    <w:rsid w:val="5427D40C"/>
    <w:rsid w:val="55A38D97"/>
    <w:rsid w:val="563BA98B"/>
    <w:rsid w:val="5651CACA"/>
    <w:rsid w:val="58EC618B"/>
    <w:rsid w:val="592DBBE6"/>
    <w:rsid w:val="5B821681"/>
    <w:rsid w:val="5C399DF3"/>
    <w:rsid w:val="5C639E3F"/>
    <w:rsid w:val="5D01F6E2"/>
    <w:rsid w:val="627459F8"/>
    <w:rsid w:val="632CE3A0"/>
    <w:rsid w:val="64112A28"/>
    <w:rsid w:val="65DE3B29"/>
    <w:rsid w:val="6669D686"/>
    <w:rsid w:val="6953BA07"/>
    <w:rsid w:val="6A01AD64"/>
    <w:rsid w:val="6A13B1E6"/>
    <w:rsid w:val="6AEA8D5F"/>
    <w:rsid w:val="6AEF4E0D"/>
    <w:rsid w:val="6C2C2CA0"/>
    <w:rsid w:val="6C64B9C5"/>
    <w:rsid w:val="6D2066B2"/>
    <w:rsid w:val="6D96A3F2"/>
    <w:rsid w:val="6DDB3BA9"/>
    <w:rsid w:val="6E27D220"/>
    <w:rsid w:val="726431CA"/>
    <w:rsid w:val="73D79109"/>
    <w:rsid w:val="7479BFB8"/>
    <w:rsid w:val="780D0D4C"/>
    <w:rsid w:val="787E17E2"/>
    <w:rsid w:val="7B70C03C"/>
    <w:rsid w:val="7C993115"/>
    <w:rsid w:val="7F4F66B2"/>
    <w:rsid w:val="7F71E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BA603"/>
  <w15:chartTrackingRefBased/>
  <w15:docId w15:val="{D6FE13F2-0BFD-4665-8879-AB21A2D85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50F"/>
    <w:pPr>
      <w:spacing w:after="0" w:line="240" w:lineRule="auto"/>
    </w:pPr>
    <w:rPr>
      <w:rFonts w:ascii="Arial" w:eastAsia="Times New Roman" w:hAnsi="Arial" w:cs="Times New Roman"/>
      <w:szCs w:val="20"/>
      <w:lang w:bidi="he-I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4727"/>
    <w:pPr>
      <w:keepNext/>
      <w:keepLines/>
      <w:spacing w:before="280" w:after="120"/>
      <w:outlineLvl w:val="1"/>
    </w:pPr>
    <w:rPr>
      <w:rFonts w:eastAsiaTheme="majorEastAsia" w:cstheme="majorBidi"/>
      <w:color w:val="037A6C"/>
      <w:sz w:val="28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25288"/>
    <w:rPr>
      <w:color w:val="0563C1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C1050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050F"/>
    <w:rPr>
      <w:rFonts w:ascii="Arial" w:eastAsia="Times New Roman" w:hAnsi="Arial" w:cs="Times New Roman"/>
      <w:sz w:val="20"/>
      <w:szCs w:val="20"/>
      <w:lang w:bidi="he-IL"/>
    </w:rPr>
  </w:style>
  <w:style w:type="paragraph" w:styleId="Header">
    <w:name w:val="header"/>
    <w:basedOn w:val="Normal"/>
    <w:link w:val="HeaderChar"/>
    <w:unhideWhenUsed/>
    <w:rsid w:val="00C1050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1050F"/>
    <w:rPr>
      <w:rFonts w:ascii="Arial" w:eastAsia="Times New Roman" w:hAnsi="Arial" w:cs="Times New Roman"/>
      <w:szCs w:val="20"/>
      <w:lang w:bidi="he-IL"/>
    </w:rPr>
  </w:style>
  <w:style w:type="paragraph" w:styleId="ListParagraph">
    <w:name w:val="List Paragraph"/>
    <w:basedOn w:val="Normal"/>
    <w:uiPriority w:val="34"/>
    <w:qFormat/>
    <w:rsid w:val="00C1050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1050F"/>
    <w:rPr>
      <w:sz w:val="16"/>
      <w:szCs w:val="16"/>
    </w:rPr>
  </w:style>
  <w:style w:type="character" w:customStyle="1" w:styleId="normaltextrun">
    <w:name w:val="normaltextrun"/>
    <w:basedOn w:val="DefaultParagraphFont"/>
    <w:rsid w:val="00C1050F"/>
  </w:style>
  <w:style w:type="character" w:customStyle="1" w:styleId="eop">
    <w:name w:val="eop"/>
    <w:basedOn w:val="DefaultParagraphFont"/>
    <w:rsid w:val="00C1050F"/>
  </w:style>
  <w:style w:type="paragraph" w:styleId="BalloonText">
    <w:name w:val="Balloon Text"/>
    <w:basedOn w:val="Normal"/>
    <w:link w:val="BalloonTextChar"/>
    <w:uiPriority w:val="99"/>
    <w:semiHidden/>
    <w:unhideWhenUsed/>
    <w:rsid w:val="00C105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50F"/>
    <w:rPr>
      <w:rFonts w:ascii="Segoe UI" w:eastAsia="Times New Roman" w:hAnsi="Segoe UI" w:cs="Segoe UI"/>
      <w:sz w:val="18"/>
      <w:szCs w:val="18"/>
      <w:lang w:bidi="he-IL"/>
    </w:rPr>
  </w:style>
  <w:style w:type="paragraph" w:customStyle="1" w:styleId="PSC-Titleofdocument">
    <w:name w:val="PSC - Title of document"/>
    <w:basedOn w:val="Normal"/>
    <w:qFormat/>
    <w:rsid w:val="0058452B"/>
    <w:pPr>
      <w:pBdr>
        <w:bottom w:val="single" w:sz="36" w:space="6" w:color="60C3AD"/>
      </w:pBdr>
    </w:pPr>
    <w:rPr>
      <w:rFonts w:eastAsiaTheme="minorHAnsi" w:cs="Arial"/>
      <w:b/>
      <w:bCs/>
      <w:sz w:val="64"/>
      <w:szCs w:val="64"/>
      <w:lang w:bidi="ar-SA"/>
    </w:rPr>
  </w:style>
  <w:style w:type="character" w:customStyle="1" w:styleId="DocTitle">
    <w:name w:val="DocTitle"/>
    <w:basedOn w:val="DefaultParagraphFont"/>
    <w:rsid w:val="0058452B"/>
  </w:style>
  <w:style w:type="character" w:customStyle="1" w:styleId="Heading2Char">
    <w:name w:val="Heading 2 Char"/>
    <w:basedOn w:val="DefaultParagraphFont"/>
    <w:link w:val="Heading2"/>
    <w:uiPriority w:val="9"/>
    <w:rsid w:val="00E84727"/>
    <w:rPr>
      <w:rFonts w:ascii="Arial" w:eastAsiaTheme="majorEastAsia" w:hAnsi="Arial" w:cstheme="majorBidi"/>
      <w:color w:val="037A6C"/>
      <w:sz w:val="28"/>
      <w:szCs w:val="28"/>
    </w:rPr>
  </w:style>
  <w:style w:type="character" w:styleId="PageNumber">
    <w:name w:val="page number"/>
    <w:basedOn w:val="DefaultParagraphFont"/>
    <w:uiPriority w:val="99"/>
    <w:semiHidden/>
    <w:unhideWhenUsed/>
    <w:rsid w:val="00006FC7"/>
  </w:style>
  <w:style w:type="paragraph" w:customStyle="1" w:styleId="PSC-Heading2">
    <w:name w:val="PSC - Heading 2"/>
    <w:basedOn w:val="Normal"/>
    <w:qFormat/>
    <w:rsid w:val="00006FC7"/>
    <w:pPr>
      <w:numPr>
        <w:numId w:val="10"/>
      </w:numPr>
      <w:spacing w:after="120"/>
    </w:pPr>
    <w:rPr>
      <w:rFonts w:eastAsiaTheme="minorHAnsi" w:cs="Arial"/>
      <w:color w:val="037A6C"/>
      <w:sz w:val="32"/>
      <w:szCs w:val="28"/>
      <w:lang w:bidi="ar-SA"/>
    </w:rPr>
  </w:style>
  <w:style w:type="paragraph" w:customStyle="1" w:styleId="Numberedlist2">
    <w:name w:val="Numbered list 2"/>
    <w:basedOn w:val="Normal"/>
    <w:link w:val="Numberedlist2Char"/>
    <w:qFormat/>
    <w:rsid w:val="00024084"/>
    <w:pPr>
      <w:keepNext/>
      <w:keepLines/>
      <w:numPr>
        <w:ilvl w:val="1"/>
        <w:numId w:val="13"/>
      </w:numPr>
      <w:spacing w:before="80" w:after="120" w:line="264" w:lineRule="auto"/>
      <w:contextualSpacing/>
      <w:outlineLvl w:val="2"/>
    </w:pPr>
    <w:rPr>
      <w:rFonts w:eastAsiaTheme="majorEastAsia" w:cstheme="minorBidi"/>
      <w:sz w:val="20"/>
      <w:szCs w:val="21"/>
      <w:lang w:bidi="ar-SA"/>
    </w:rPr>
  </w:style>
  <w:style w:type="character" w:customStyle="1" w:styleId="Numberedlist2Char">
    <w:name w:val="Numbered list 2 Char"/>
    <w:basedOn w:val="DefaultParagraphFont"/>
    <w:link w:val="Numberedlist2"/>
    <w:rsid w:val="00024084"/>
    <w:rPr>
      <w:rFonts w:ascii="Arial" w:eastAsiaTheme="majorEastAsia" w:hAnsi="Arial"/>
      <w:sz w:val="20"/>
      <w:szCs w:val="2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4F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4F90"/>
    <w:rPr>
      <w:rFonts w:ascii="Arial" w:eastAsia="Times New Roman" w:hAnsi="Arial" w:cs="Times New Roman"/>
      <w:b/>
      <w:bCs/>
      <w:sz w:val="20"/>
      <w:szCs w:val="20"/>
      <w:lang w:bidi="he-IL"/>
    </w:rPr>
  </w:style>
  <w:style w:type="paragraph" w:styleId="Revision">
    <w:name w:val="Revision"/>
    <w:hidden/>
    <w:uiPriority w:val="99"/>
    <w:semiHidden/>
    <w:rsid w:val="00944822"/>
    <w:pPr>
      <w:spacing w:after="0" w:line="240" w:lineRule="auto"/>
    </w:pPr>
    <w:rPr>
      <w:rFonts w:ascii="Arial" w:eastAsia="Times New Roman" w:hAnsi="Arial" w:cs="Times New Roman"/>
      <w:szCs w:val="20"/>
      <w:lang w:bidi="he-IL"/>
    </w:rPr>
  </w:style>
  <w:style w:type="character" w:customStyle="1" w:styleId="listnumber">
    <w:name w:val="listnumber"/>
    <w:basedOn w:val="DefaultParagraphFont"/>
    <w:rsid w:val="008B46F0"/>
  </w:style>
  <w:style w:type="character" w:styleId="UnresolvedMention">
    <w:name w:val="Unresolved Mention"/>
    <w:basedOn w:val="DefaultParagraphFont"/>
    <w:uiPriority w:val="99"/>
    <w:semiHidden/>
    <w:unhideWhenUsed/>
    <w:rsid w:val="00163A01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5A45D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AU" w:bidi="ar-SA"/>
    </w:rPr>
  </w:style>
  <w:style w:type="character" w:customStyle="1" w:styleId="cf01">
    <w:name w:val="cf01"/>
    <w:basedOn w:val="DefaultParagraphFont"/>
    <w:rsid w:val="00735F3B"/>
    <w:rPr>
      <w:rFonts w:ascii="Segoe UI" w:hAnsi="Segoe UI" w:cs="Segoe UI" w:hint="default"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924E68"/>
    <w:rPr>
      <w:color w:val="2B579A"/>
      <w:shd w:val="clear" w:color="auto" w:fill="E1DFDD"/>
    </w:rPr>
  </w:style>
  <w:style w:type="character" w:customStyle="1" w:styleId="headingname">
    <w:name w:val="headingname"/>
    <w:basedOn w:val="DefaultParagraphFont"/>
    <w:rsid w:val="008D366B"/>
  </w:style>
  <w:style w:type="character" w:styleId="FollowedHyperlink">
    <w:name w:val="FollowedHyperlink"/>
    <w:basedOn w:val="DefaultParagraphFont"/>
    <w:uiPriority w:val="99"/>
    <w:semiHidden/>
    <w:unhideWhenUsed/>
    <w:rsid w:val="008806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6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0407">
          <w:blockQuote w:val="1"/>
          <w:marLeft w:val="6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28942">
          <w:blockQuote w:val="1"/>
          <w:marLeft w:val="6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71063">
          <w:blockQuote w:val="1"/>
          <w:marLeft w:val="6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7070">
          <w:blockQuote w:val="1"/>
          <w:marLeft w:val="6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orgov.qld.gov.au/employment-policy-career-and-wellbeing/directives-policies-circulars-and-guidelines/review-of-acting-or-secondment-at-a-higher-classification-level-directive-0323" TargetMode="External"/><Relationship Id="rId18" Type="http://schemas.openxmlformats.org/officeDocument/2006/relationships/hyperlink" Target="https://www.legislation.qld.gov.au/view/whole/html/asmade/act-2022-034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legislation.qld.gov.au/view/html/inforce/current/act-2016-063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legislation.qld.gov.au/view/html/inforce/current/act-2022-034" TargetMode="External"/><Relationship Id="rId17" Type="http://schemas.openxmlformats.org/officeDocument/2006/relationships/hyperlink" Target="https://www.legislation.qld.gov.au/view/whole/html/asmade/act-2022-034" TargetMode="External"/><Relationship Id="rId25" Type="http://schemas.openxmlformats.org/officeDocument/2006/relationships/hyperlink" Target="file:///C:\Users\thompsons\AppData\Local\Microsoft\Windows\INetCache\Content.Outlook\FRYAHIXX\www.qhrc.qld.gov.au\your-rights\human-rights-law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legislation.qld.gov.au/view/whole/html/asmade/act-2022-034" TargetMode="External"/><Relationship Id="rId20" Type="http://schemas.openxmlformats.org/officeDocument/2006/relationships/hyperlink" Target="https://www.legislation.qld.gov.au/view/whole/html/asmade/act-2022-034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orgov.qld.gov.au/employment-policy-career-and-wellbeing/directives-policies-circulars-and-guidelines/review-of-acting-or-secondment-at-a-higher-classification-level-directive-0323" TargetMode="External"/><Relationship Id="rId24" Type="http://schemas.openxmlformats.org/officeDocument/2006/relationships/hyperlink" Target="https://www.legislation.qld.gov.au/view/html/inforce/current/act-2019-005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legislation.qld.gov.au/view/html/inforce/current/act-2022-034" TargetMode="External"/><Relationship Id="rId23" Type="http://schemas.openxmlformats.org/officeDocument/2006/relationships/hyperlink" Target="http://www.qirc.qld.gov.au" TargetMode="External"/><Relationship Id="rId10" Type="http://schemas.openxmlformats.org/officeDocument/2006/relationships/hyperlink" Target="https://www.legislation.qld.gov.au/view/html/inforce/current/act-2022-034" TargetMode="External"/><Relationship Id="rId19" Type="http://schemas.openxmlformats.org/officeDocument/2006/relationships/hyperlink" Target="https://www.legislation.qld.gov.au/view/whole/html/asmade/act-2022-034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legislation.qld.gov.au/view/html/inforce/current/act-2022-034" TargetMode="External"/><Relationship Id="rId14" Type="http://schemas.openxmlformats.org/officeDocument/2006/relationships/hyperlink" Target="https://www.legislation.qld.gov.au/view/html/inforce/current/act-2022-034" TargetMode="External"/><Relationship Id="rId22" Type="http://schemas.openxmlformats.org/officeDocument/2006/relationships/hyperlink" Target="https://www.forgov.qld.gov.au/employment-policy-career-and-wellbeing/directives-policies-circulars-and-guidelines/appeals-directive-0423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f71f86-2bc3-4eda-a5e7-ed52d7073a80">
      <Terms xmlns="http://schemas.microsoft.com/office/infopath/2007/PartnerControls"/>
    </lcf76f155ced4ddcb4097134ff3c332f>
    <TaxCatchAll xmlns="fd5a31b8-7943-496c-9bf2-dda18d38b62a" xsi:nil="true"/>
    <Subjectmatterexpert xmlns="42f71f86-2bc3-4eda-a5e7-ed52d7073a80" xsi:nil="true"/>
    <link0 xmlns="42f71f86-2bc3-4eda-a5e7-ed52d7073a80">
      <Url xsi:nil="true"/>
      <Description xsi:nil="true"/>
    </link0>
    <Link xmlns="42f71f86-2bc3-4eda-a5e7-ed52d7073a80">
      <Url xsi:nil="true"/>
      <Description xsi:nil="true"/>
    </Link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605E8EC994B74384C3E9D77F3265EB" ma:contentTypeVersion="21" ma:contentTypeDescription="Create a new document." ma:contentTypeScope="" ma:versionID="52289b524ae4b12db5717216c0787294">
  <xsd:schema xmlns:xsd="http://www.w3.org/2001/XMLSchema" xmlns:xs="http://www.w3.org/2001/XMLSchema" xmlns:p="http://schemas.microsoft.com/office/2006/metadata/properties" xmlns:ns2="42f71f86-2bc3-4eda-a5e7-ed52d7073a80" xmlns:ns3="fd5a31b8-7943-496c-9bf2-dda18d38b62a" targetNamespace="http://schemas.microsoft.com/office/2006/metadata/properties" ma:root="true" ma:fieldsID="c08d15323b7eb315824d1905e9095b63" ns2:_="" ns3:_="">
    <xsd:import namespace="42f71f86-2bc3-4eda-a5e7-ed52d7073a80"/>
    <xsd:import namespace="fd5a31b8-7943-496c-9bf2-dda18d38b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ink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Subjectmatterexpert" minOccurs="0"/>
                <xsd:element ref="ns2:MediaLengthInSeconds" minOccurs="0"/>
                <xsd:element ref="ns2:MediaServiceObjectDetectorVersions" minOccurs="0"/>
                <xsd:element ref="ns2:link0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71f86-2bc3-4eda-a5e7-ed52d7073a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ink" ma:index="19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b879720-a610-4f30-a10e-48b90a9c40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Subjectmatterexpert" ma:index="24" nillable="true" ma:displayName="Subject matter expert" ma:description="Person responsible for editing this page" ma:format="Dropdown" ma:internalName="Subjectmatterexpert">
      <xsd:simpleType>
        <xsd:restriction base="dms:Note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ink0" ma:index="27" nillable="true" ma:displayName="link" ma:format="Hyperlink" ma:internalName="link0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5a31b8-7943-496c-9bf2-dda18d38b62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5d682a1-3bd8-46c1-be71-5eea99c24b83}" ma:internalName="TaxCatchAll" ma:showField="CatchAllData" ma:web="fd5a31b8-7943-496c-9bf2-dda18d38b6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D155C-3A1F-4C5D-B6FC-4A05ACBA6097}">
  <ds:schemaRefs>
    <ds:schemaRef ds:uri="http://schemas.microsoft.com/office/2006/metadata/properties"/>
    <ds:schemaRef ds:uri="http://schemas.microsoft.com/office/infopath/2007/PartnerControls"/>
    <ds:schemaRef ds:uri="349dcae6-1c55-46da-a023-c4c9ff23e2d0"/>
    <ds:schemaRef ds:uri="6e2d4c12-3607-4393-9d89-8b07dc70eafd"/>
  </ds:schemaRefs>
</ds:datastoreItem>
</file>

<file path=customXml/itemProps2.xml><?xml version="1.0" encoding="utf-8"?>
<ds:datastoreItem xmlns:ds="http://schemas.openxmlformats.org/officeDocument/2006/customXml" ds:itemID="{6D77D7A7-7521-4113-A9F4-A15CFDDB9AD7}"/>
</file>

<file path=customXml/itemProps3.xml><?xml version="1.0" encoding="utf-8"?>
<ds:datastoreItem xmlns:ds="http://schemas.openxmlformats.org/officeDocument/2006/customXml" ds:itemID="{76D775EF-83B9-4F6D-A124-B7666B1C41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47AEC3-66DE-45D1-BB22-EB3A37EAC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1382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Higher classification conversion acknowledgement template letter</vt:lpstr>
    </vt:vector>
  </TitlesOfParts>
  <Company>Public Service Commission | Queensland Government</Company>
  <LinksUpToDate>false</LinksUpToDate>
  <CharactersWithSpaces>9242</CharactersWithSpaces>
  <SharedDoc>false</SharedDoc>
  <HLinks>
    <vt:vector size="102" baseType="variant">
      <vt:variant>
        <vt:i4>65614</vt:i4>
      </vt:variant>
      <vt:variant>
        <vt:i4>48</vt:i4>
      </vt:variant>
      <vt:variant>
        <vt:i4>0</vt:i4>
      </vt:variant>
      <vt:variant>
        <vt:i4>5</vt:i4>
      </vt:variant>
      <vt:variant>
        <vt:lpwstr>C:\Users\thompsons\AppData\Local\Microsoft\Windows\INetCache\Content.Outlook\FRYAHIXX\www.qhrc.qld.gov.au\your-rights\human-rights-law</vt:lpwstr>
      </vt:variant>
      <vt:variant>
        <vt:lpwstr/>
      </vt:variant>
      <vt:variant>
        <vt:i4>6029404</vt:i4>
      </vt:variant>
      <vt:variant>
        <vt:i4>45</vt:i4>
      </vt:variant>
      <vt:variant>
        <vt:i4>0</vt:i4>
      </vt:variant>
      <vt:variant>
        <vt:i4>5</vt:i4>
      </vt:variant>
      <vt:variant>
        <vt:lpwstr>https://www.legislation.qld.gov.au/view/html/inforce/current/act-2019-005</vt:lpwstr>
      </vt:variant>
      <vt:variant>
        <vt:lpwstr/>
      </vt:variant>
      <vt:variant>
        <vt:i4>7340095</vt:i4>
      </vt:variant>
      <vt:variant>
        <vt:i4>42</vt:i4>
      </vt:variant>
      <vt:variant>
        <vt:i4>0</vt:i4>
      </vt:variant>
      <vt:variant>
        <vt:i4>5</vt:i4>
      </vt:variant>
      <vt:variant>
        <vt:lpwstr>http://www.qirc.qld.gov.au/</vt:lpwstr>
      </vt:variant>
      <vt:variant>
        <vt:lpwstr/>
      </vt:variant>
      <vt:variant>
        <vt:i4>4194391</vt:i4>
      </vt:variant>
      <vt:variant>
        <vt:i4>39</vt:i4>
      </vt:variant>
      <vt:variant>
        <vt:i4>0</vt:i4>
      </vt:variant>
      <vt:variant>
        <vt:i4>5</vt:i4>
      </vt:variant>
      <vt:variant>
        <vt:lpwstr>https://www.forgov.qld.gov.au/employment-policy-career-and-wellbeing/directives-policies-circulars-and-guidelines/appeals-directive-0423</vt:lpwstr>
      </vt:variant>
      <vt:variant>
        <vt:lpwstr/>
      </vt:variant>
      <vt:variant>
        <vt:i4>5898323</vt:i4>
      </vt:variant>
      <vt:variant>
        <vt:i4>36</vt:i4>
      </vt:variant>
      <vt:variant>
        <vt:i4>0</vt:i4>
      </vt:variant>
      <vt:variant>
        <vt:i4>5</vt:i4>
      </vt:variant>
      <vt:variant>
        <vt:lpwstr>https://www.legislation.qld.gov.au/view/html/inforce/current/act-2016-063</vt:lpwstr>
      </vt:variant>
      <vt:variant>
        <vt:lpwstr/>
      </vt:variant>
      <vt:variant>
        <vt:i4>1179648</vt:i4>
      </vt:variant>
      <vt:variant>
        <vt:i4>33</vt:i4>
      </vt:variant>
      <vt:variant>
        <vt:i4>0</vt:i4>
      </vt:variant>
      <vt:variant>
        <vt:i4>5</vt:i4>
      </vt:variant>
      <vt:variant>
        <vt:lpwstr>https://www.legislation.qld.gov.au/view/whole/html/asmade/act-2022-034</vt:lpwstr>
      </vt:variant>
      <vt:variant>
        <vt:lpwstr>sec.120</vt:lpwstr>
      </vt:variant>
      <vt:variant>
        <vt:i4>1245184</vt:i4>
      </vt:variant>
      <vt:variant>
        <vt:i4>30</vt:i4>
      </vt:variant>
      <vt:variant>
        <vt:i4>0</vt:i4>
      </vt:variant>
      <vt:variant>
        <vt:i4>5</vt:i4>
      </vt:variant>
      <vt:variant>
        <vt:lpwstr>https://www.legislation.qld.gov.au/view/whole/html/asmade/act-2022-034</vt:lpwstr>
      </vt:variant>
      <vt:variant>
        <vt:lpwstr>sec.130</vt:lpwstr>
      </vt:variant>
      <vt:variant>
        <vt:i4>1179648</vt:i4>
      </vt:variant>
      <vt:variant>
        <vt:i4>27</vt:i4>
      </vt:variant>
      <vt:variant>
        <vt:i4>0</vt:i4>
      </vt:variant>
      <vt:variant>
        <vt:i4>5</vt:i4>
      </vt:variant>
      <vt:variant>
        <vt:lpwstr>https://www.legislation.qld.gov.au/view/whole/html/asmade/act-2022-034</vt:lpwstr>
      </vt:variant>
      <vt:variant>
        <vt:lpwstr>sec.120</vt:lpwstr>
      </vt:variant>
      <vt:variant>
        <vt:i4>1179648</vt:i4>
      </vt:variant>
      <vt:variant>
        <vt:i4>24</vt:i4>
      </vt:variant>
      <vt:variant>
        <vt:i4>0</vt:i4>
      </vt:variant>
      <vt:variant>
        <vt:i4>5</vt:i4>
      </vt:variant>
      <vt:variant>
        <vt:lpwstr>https://www.legislation.qld.gov.au/view/whole/html/asmade/act-2022-034</vt:lpwstr>
      </vt:variant>
      <vt:variant>
        <vt:lpwstr>sec.120</vt:lpwstr>
      </vt:variant>
      <vt:variant>
        <vt:i4>1179648</vt:i4>
      </vt:variant>
      <vt:variant>
        <vt:i4>21</vt:i4>
      </vt:variant>
      <vt:variant>
        <vt:i4>0</vt:i4>
      </vt:variant>
      <vt:variant>
        <vt:i4>5</vt:i4>
      </vt:variant>
      <vt:variant>
        <vt:lpwstr>https://www.legislation.qld.gov.au/view/whole/html/asmade/act-2022-034</vt:lpwstr>
      </vt:variant>
      <vt:variant>
        <vt:lpwstr>sec.120</vt:lpwstr>
      </vt:variant>
      <vt:variant>
        <vt:i4>2490486</vt:i4>
      </vt:variant>
      <vt:variant>
        <vt:i4>18</vt:i4>
      </vt:variant>
      <vt:variant>
        <vt:i4>0</vt:i4>
      </vt:variant>
      <vt:variant>
        <vt:i4>5</vt:i4>
      </vt:variant>
      <vt:variant>
        <vt:lpwstr>https://www.legislation.qld.gov.au/view/html/inforce/current/act-2022-034</vt:lpwstr>
      </vt:variant>
      <vt:variant>
        <vt:lpwstr>sec.119</vt:lpwstr>
      </vt:variant>
      <vt:variant>
        <vt:i4>2490486</vt:i4>
      </vt:variant>
      <vt:variant>
        <vt:i4>15</vt:i4>
      </vt:variant>
      <vt:variant>
        <vt:i4>0</vt:i4>
      </vt:variant>
      <vt:variant>
        <vt:i4>5</vt:i4>
      </vt:variant>
      <vt:variant>
        <vt:lpwstr>https://www.legislation.qld.gov.au/view/html/inforce/current/act-2022-034</vt:lpwstr>
      </vt:variant>
      <vt:variant>
        <vt:lpwstr>sec.118</vt:lpwstr>
      </vt:variant>
      <vt:variant>
        <vt:i4>458839</vt:i4>
      </vt:variant>
      <vt:variant>
        <vt:i4>12</vt:i4>
      </vt:variant>
      <vt:variant>
        <vt:i4>0</vt:i4>
      </vt:variant>
      <vt:variant>
        <vt:i4>5</vt:i4>
      </vt:variant>
      <vt:variant>
        <vt:lpwstr>https://www.forgov.qld.gov.au/employment-policy-career-and-wellbeing/directives-policies-circulars-and-guidelines/review-of-acting-or-secondment-at-a-higher-classification-level-directive-0323</vt:lpwstr>
      </vt:variant>
      <vt:variant>
        <vt:lpwstr/>
      </vt:variant>
      <vt:variant>
        <vt:i4>6029399</vt:i4>
      </vt:variant>
      <vt:variant>
        <vt:i4>9</vt:i4>
      </vt:variant>
      <vt:variant>
        <vt:i4>0</vt:i4>
      </vt:variant>
      <vt:variant>
        <vt:i4>5</vt:i4>
      </vt:variant>
      <vt:variant>
        <vt:lpwstr>https://www.legislation.qld.gov.au/view/html/inforce/current/act-2022-034</vt:lpwstr>
      </vt:variant>
      <vt:variant>
        <vt:lpwstr/>
      </vt:variant>
      <vt:variant>
        <vt:i4>458839</vt:i4>
      </vt:variant>
      <vt:variant>
        <vt:i4>6</vt:i4>
      </vt:variant>
      <vt:variant>
        <vt:i4>0</vt:i4>
      </vt:variant>
      <vt:variant>
        <vt:i4>5</vt:i4>
      </vt:variant>
      <vt:variant>
        <vt:lpwstr>https://www.forgov.qld.gov.au/employment-policy-career-and-wellbeing/directives-policies-circulars-and-guidelines/review-of-acting-or-secondment-at-a-higher-classification-level-directive-0323</vt:lpwstr>
      </vt:variant>
      <vt:variant>
        <vt:lpwstr/>
      </vt:variant>
      <vt:variant>
        <vt:i4>2424950</vt:i4>
      </vt:variant>
      <vt:variant>
        <vt:i4>3</vt:i4>
      </vt:variant>
      <vt:variant>
        <vt:i4>0</vt:i4>
      </vt:variant>
      <vt:variant>
        <vt:i4>5</vt:i4>
      </vt:variant>
      <vt:variant>
        <vt:lpwstr>https://www.legislation.qld.gov.au/view/html/inforce/current/act-2022-034</vt:lpwstr>
      </vt:variant>
      <vt:variant>
        <vt:lpwstr>sec.121</vt:lpwstr>
      </vt:variant>
      <vt:variant>
        <vt:i4>2424950</vt:i4>
      </vt:variant>
      <vt:variant>
        <vt:i4>0</vt:i4>
      </vt:variant>
      <vt:variant>
        <vt:i4>0</vt:i4>
      </vt:variant>
      <vt:variant>
        <vt:i4>5</vt:i4>
      </vt:variant>
      <vt:variant>
        <vt:lpwstr>https://www.legislation.qld.gov.au/view/html/inforce/current/act-2022-034</vt:lpwstr>
      </vt:variant>
      <vt:variant>
        <vt:lpwstr>sec.120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Higher classification conversion acknowledgement template letter</dc:title>
  <dc:subject/>
  <dc:creator>Public Sector Commission | Queensland Government</dc:creator>
  <cp:keywords>Higher classification conversion acknowledgement template letter</cp:keywords>
  <dc:description/>
  <dcterms:created xsi:type="dcterms:W3CDTF">2024-09-24T00:24:00Z</dcterms:created>
  <dcterms:modified xsi:type="dcterms:W3CDTF">2024-09-24T22:51:00Z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0x0101001D9371A76C57CE419EC8A3BA35E1122D</vt:lpwstr>
  </property>
  <property fmtid="{D5CDD505-2E9C-101B-9397-08002B2CF9AE}" pid="3" name="MediaServiceImageTags">
    <vt:lpwstr/>
  </property>
</Properties>
</file>