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2F8135" w14:textId="77777777" w:rsidR="005C3FA2" w:rsidRPr="0059256C" w:rsidRDefault="005C3FA2" w:rsidP="008814FC">
      <w:pPr>
        <w:pStyle w:val="Title"/>
        <w:spacing w:before="2640"/>
        <w:rPr>
          <w:color w:val="auto"/>
          <w:sz w:val="68"/>
          <w:szCs w:val="68"/>
        </w:rPr>
      </w:pPr>
      <w:bookmarkStart w:id="1" w:name="_Hlk22295249"/>
      <w:r w:rsidRPr="0059256C">
        <w:rPr>
          <w:color w:val="auto"/>
          <w:sz w:val="68"/>
          <w:szCs w:val="68"/>
        </w:rPr>
        <w:t>Guideline on creating and keeping records for the proactive protection of vulnerable persons</w:t>
      </w:r>
    </w:p>
    <w:bookmarkEnd w:id="1"/>
    <w:p w14:paraId="13A36AAC" w14:textId="77777777" w:rsidR="0059256C" w:rsidRPr="006275F4" w:rsidRDefault="0059256C" w:rsidP="0059256C">
      <w:pPr>
        <w:pStyle w:val="Subtitle"/>
      </w:pPr>
      <w:r w:rsidRPr="006275F4">
        <w:t>Queensland State Archives</w:t>
      </w:r>
    </w:p>
    <w:p w14:paraId="7F400D57" w14:textId="3F63D50B" w:rsidR="0059256C" w:rsidRPr="00E40585" w:rsidRDefault="004C526A" w:rsidP="0059256C">
      <w:pPr>
        <w:pStyle w:val="Subtitle"/>
        <w:rPr>
          <w:b w:val="0"/>
        </w:rPr>
      </w:pPr>
      <w:r>
        <w:rPr>
          <w:b w:val="0"/>
        </w:rPr>
        <w:t>27 March 2020</w:t>
      </w:r>
    </w:p>
    <w:p w14:paraId="574CC009" w14:textId="01EE3A46" w:rsidR="0059256C" w:rsidRPr="00E40585" w:rsidRDefault="0059256C" w:rsidP="0059256C">
      <w:pPr>
        <w:pStyle w:val="Reference"/>
        <w:rPr>
          <w:b/>
        </w:rPr>
      </w:pPr>
      <w:r w:rsidRPr="00E40585">
        <w:t xml:space="preserve">Security classification: </w:t>
      </w:r>
      <w:r w:rsidR="00711FD6" w:rsidRPr="004C526A">
        <w:t>Public</w:t>
      </w:r>
    </w:p>
    <w:p w14:paraId="1929FF53" w14:textId="77777777" w:rsidR="005C3FA2" w:rsidRDefault="005C3FA2" w:rsidP="005C3FA2">
      <w:pPr>
        <w:pStyle w:val="Subtitle"/>
        <w:rPr>
          <w:noProof/>
        </w:rPr>
      </w:pPr>
      <w:bookmarkStart w:id="2" w:name="_GoBack"/>
      <w:bookmarkEnd w:id="2"/>
    </w:p>
    <w:p w14:paraId="36E7EFCB" w14:textId="77777777" w:rsidR="005C3FA2" w:rsidRDefault="005C3FA2" w:rsidP="005C3FA2">
      <w:pPr>
        <w:pStyle w:val="Subtitle"/>
        <w:rPr>
          <w:noProof/>
        </w:rPr>
      </w:pPr>
    </w:p>
    <w:p w14:paraId="7AE71164" w14:textId="77777777" w:rsidR="005C3FA2" w:rsidRPr="00052712" w:rsidRDefault="005C3FA2" w:rsidP="005C3FA2">
      <w:pPr>
        <w:pStyle w:val="Reference"/>
        <w:jc w:val="center"/>
        <w:rPr>
          <w:b/>
        </w:rPr>
      </w:pPr>
      <w:r w:rsidRPr="00052712">
        <w:t>Where printed, the reproduction is only accurate at the time of printing.</w:t>
      </w:r>
    </w:p>
    <w:p w14:paraId="0D931095" w14:textId="77777777" w:rsidR="005C3FA2" w:rsidRPr="00052712" w:rsidRDefault="005C3FA2" w:rsidP="005C3FA2">
      <w:pPr>
        <w:pStyle w:val="Reference"/>
        <w:jc w:val="center"/>
        <w:rPr>
          <w:b/>
        </w:rPr>
      </w:pPr>
      <w:r w:rsidRPr="00052712">
        <w:t xml:space="preserve">The </w:t>
      </w:r>
      <w:hyperlink r:id="rId9" w:history="1">
        <w:r w:rsidRPr="00052712">
          <w:rPr>
            <w:rStyle w:val="Hyperlink"/>
            <w:color w:val="003399"/>
          </w:rPr>
          <w:t>Queensland Government (For Government) website</w:t>
        </w:r>
      </w:hyperlink>
      <w:r w:rsidRPr="00052712">
        <w:t xml:space="preserve"> should always be referred to for the current, authorised version.</w:t>
      </w:r>
    </w:p>
    <w:p w14:paraId="5DEFE34B" w14:textId="77777777" w:rsidR="005C3FA2" w:rsidRDefault="005C3FA2" w:rsidP="005C3FA2">
      <w:pPr>
        <w:pStyle w:val="Subtitle"/>
        <w:rPr>
          <w:noProof/>
        </w:rPr>
        <w:sectPr w:rsidR="005C3FA2" w:rsidSect="00834832">
          <w:headerReference w:type="even" r:id="rId10"/>
          <w:headerReference w:type="default" r:id="rId11"/>
          <w:footerReference w:type="even" r:id="rId12"/>
          <w:footerReference w:type="default" r:id="rId13"/>
          <w:footerReference w:type="first" r:id="rId14"/>
          <w:pgSz w:w="11906" w:h="16838" w:code="9"/>
          <w:pgMar w:top="1134" w:right="1134" w:bottom="1021" w:left="1134" w:header="397" w:footer="397" w:gutter="0"/>
          <w:cols w:space="708"/>
          <w:docGrid w:linePitch="360"/>
        </w:sectPr>
      </w:pPr>
    </w:p>
    <w:p w14:paraId="2DAC86D8" w14:textId="77777777" w:rsidR="00711FD6" w:rsidRDefault="005C3FA2" w:rsidP="00775928">
      <w:pPr>
        <w:pStyle w:val="Heading1"/>
        <w:rPr>
          <w:noProof/>
        </w:rPr>
      </w:pPr>
      <w:bookmarkStart w:id="3" w:name="_Toc495588946"/>
      <w:bookmarkStart w:id="4" w:name="_Toc495671135"/>
      <w:bookmarkStart w:id="5" w:name="_Toc10549373"/>
      <w:bookmarkStart w:id="6" w:name="_Toc10551818"/>
      <w:bookmarkStart w:id="7" w:name="_Toc10551889"/>
      <w:bookmarkStart w:id="8" w:name="_Toc22286201"/>
      <w:bookmarkStart w:id="9" w:name="_Toc22294787"/>
      <w:bookmarkStart w:id="10" w:name="_Toc22294863"/>
      <w:bookmarkStart w:id="11" w:name="_Toc22708540"/>
      <w:bookmarkStart w:id="12" w:name="_Toc22708667"/>
      <w:bookmarkStart w:id="13" w:name="_Toc22728560"/>
      <w:bookmarkStart w:id="14" w:name="_Toc33180623"/>
      <w:bookmarkStart w:id="15" w:name="_Toc35248825"/>
      <w:bookmarkStart w:id="16" w:name="_Toc35249005"/>
      <w:r w:rsidRPr="0059256C">
        <w:lastRenderedPageBreak/>
        <w:t>Table of contents</w:t>
      </w:r>
      <w:bookmarkEnd w:id="3"/>
      <w:bookmarkEnd w:id="4"/>
      <w:bookmarkEnd w:id="5"/>
      <w:bookmarkEnd w:id="6"/>
      <w:bookmarkEnd w:id="7"/>
      <w:bookmarkEnd w:id="8"/>
      <w:bookmarkEnd w:id="9"/>
      <w:bookmarkEnd w:id="10"/>
      <w:bookmarkEnd w:id="11"/>
      <w:bookmarkEnd w:id="12"/>
      <w:bookmarkEnd w:id="13"/>
      <w:bookmarkEnd w:id="14"/>
      <w:bookmarkEnd w:id="15"/>
      <w:bookmarkEnd w:id="16"/>
      <w:r w:rsidR="0059256C">
        <w:rPr>
          <w:color w:val="auto"/>
          <w:sz w:val="22"/>
          <w:szCs w:val="22"/>
        </w:rPr>
        <w:fldChar w:fldCharType="begin"/>
      </w:r>
      <w:r w:rsidR="0059256C">
        <w:instrText xml:space="preserve"> TOC \o "1-3" \h \z \u </w:instrText>
      </w:r>
      <w:r w:rsidR="0059256C">
        <w:rPr>
          <w:color w:val="auto"/>
          <w:sz w:val="22"/>
          <w:szCs w:val="22"/>
        </w:rPr>
        <w:fldChar w:fldCharType="separate"/>
      </w:r>
    </w:p>
    <w:p w14:paraId="64284E2A" w14:textId="3DA4D2EC" w:rsidR="00711FD6" w:rsidRDefault="00075A0C">
      <w:pPr>
        <w:pStyle w:val="TOC1"/>
        <w:rPr>
          <w:rFonts w:asciiTheme="minorHAnsi" w:eastAsiaTheme="minorEastAsia" w:hAnsiTheme="minorHAnsi" w:cstheme="minorBidi"/>
          <w:b w:val="0"/>
          <w:noProof/>
          <w:lang w:eastAsia="en-AU"/>
        </w:rPr>
      </w:pPr>
      <w:hyperlink w:anchor="_Toc35249006" w:history="1">
        <w:r w:rsidR="00711FD6" w:rsidRPr="00DC02BC">
          <w:rPr>
            <w:rStyle w:val="Hyperlink"/>
            <w:noProof/>
          </w:rPr>
          <w:t>Foreword</w:t>
        </w:r>
        <w:r w:rsidR="00711FD6">
          <w:rPr>
            <w:noProof/>
            <w:webHidden/>
          </w:rPr>
          <w:tab/>
        </w:r>
        <w:r w:rsidR="00711FD6">
          <w:rPr>
            <w:noProof/>
            <w:webHidden/>
          </w:rPr>
          <w:fldChar w:fldCharType="begin"/>
        </w:r>
        <w:r w:rsidR="00711FD6">
          <w:rPr>
            <w:noProof/>
            <w:webHidden/>
          </w:rPr>
          <w:instrText xml:space="preserve"> PAGEREF _Toc35249006 \h </w:instrText>
        </w:r>
        <w:r w:rsidR="00711FD6">
          <w:rPr>
            <w:noProof/>
            <w:webHidden/>
          </w:rPr>
        </w:r>
        <w:r w:rsidR="00711FD6">
          <w:rPr>
            <w:noProof/>
            <w:webHidden/>
          </w:rPr>
          <w:fldChar w:fldCharType="separate"/>
        </w:r>
        <w:r w:rsidR="00711FD6">
          <w:rPr>
            <w:noProof/>
            <w:webHidden/>
          </w:rPr>
          <w:t>3</w:t>
        </w:r>
        <w:r w:rsidR="00711FD6">
          <w:rPr>
            <w:noProof/>
            <w:webHidden/>
          </w:rPr>
          <w:fldChar w:fldCharType="end"/>
        </w:r>
      </w:hyperlink>
    </w:p>
    <w:p w14:paraId="794B9804" w14:textId="7E58E735" w:rsidR="00711FD6" w:rsidRDefault="00075A0C">
      <w:pPr>
        <w:pStyle w:val="TOC1"/>
        <w:rPr>
          <w:rFonts w:asciiTheme="minorHAnsi" w:eastAsiaTheme="minorEastAsia" w:hAnsiTheme="minorHAnsi" w:cstheme="minorBidi"/>
          <w:b w:val="0"/>
          <w:noProof/>
          <w:lang w:eastAsia="en-AU"/>
        </w:rPr>
      </w:pPr>
      <w:hyperlink w:anchor="_Toc35249007" w:history="1">
        <w:r w:rsidR="00711FD6" w:rsidRPr="00DC02BC">
          <w:rPr>
            <w:rStyle w:val="Hyperlink"/>
            <w:noProof/>
          </w:rPr>
          <w:t>Introduction</w:t>
        </w:r>
        <w:r w:rsidR="00711FD6">
          <w:rPr>
            <w:noProof/>
            <w:webHidden/>
          </w:rPr>
          <w:tab/>
        </w:r>
        <w:r w:rsidR="00711FD6">
          <w:rPr>
            <w:noProof/>
            <w:webHidden/>
          </w:rPr>
          <w:fldChar w:fldCharType="begin"/>
        </w:r>
        <w:r w:rsidR="00711FD6">
          <w:rPr>
            <w:noProof/>
            <w:webHidden/>
          </w:rPr>
          <w:instrText xml:space="preserve"> PAGEREF _Toc35249007 \h </w:instrText>
        </w:r>
        <w:r w:rsidR="00711FD6">
          <w:rPr>
            <w:noProof/>
            <w:webHidden/>
          </w:rPr>
        </w:r>
        <w:r w:rsidR="00711FD6">
          <w:rPr>
            <w:noProof/>
            <w:webHidden/>
          </w:rPr>
          <w:fldChar w:fldCharType="separate"/>
        </w:r>
        <w:r w:rsidR="00711FD6">
          <w:rPr>
            <w:noProof/>
            <w:webHidden/>
          </w:rPr>
          <w:t>4</w:t>
        </w:r>
        <w:r w:rsidR="00711FD6">
          <w:rPr>
            <w:noProof/>
            <w:webHidden/>
          </w:rPr>
          <w:fldChar w:fldCharType="end"/>
        </w:r>
      </w:hyperlink>
    </w:p>
    <w:p w14:paraId="6413CDD5" w14:textId="6C1A557C" w:rsidR="00711FD6" w:rsidRDefault="00075A0C">
      <w:pPr>
        <w:pStyle w:val="TOC2"/>
        <w:rPr>
          <w:rFonts w:asciiTheme="minorHAnsi" w:eastAsiaTheme="minorEastAsia" w:hAnsiTheme="minorHAnsi" w:cstheme="minorBidi"/>
          <w:noProof/>
          <w:lang w:eastAsia="en-AU"/>
        </w:rPr>
      </w:pPr>
      <w:hyperlink w:anchor="_Toc35249008" w:history="1">
        <w:r w:rsidR="00711FD6" w:rsidRPr="00DC02BC">
          <w:rPr>
            <w:rStyle w:val="Hyperlink"/>
            <w:noProof/>
          </w:rPr>
          <w:t>Poor recordkeeping impacts vulnerable persons</w:t>
        </w:r>
        <w:r w:rsidR="00711FD6">
          <w:rPr>
            <w:noProof/>
            <w:webHidden/>
          </w:rPr>
          <w:tab/>
        </w:r>
        <w:r w:rsidR="00711FD6">
          <w:rPr>
            <w:noProof/>
            <w:webHidden/>
          </w:rPr>
          <w:fldChar w:fldCharType="begin"/>
        </w:r>
        <w:r w:rsidR="00711FD6">
          <w:rPr>
            <w:noProof/>
            <w:webHidden/>
          </w:rPr>
          <w:instrText xml:space="preserve"> PAGEREF _Toc35249008 \h </w:instrText>
        </w:r>
        <w:r w:rsidR="00711FD6">
          <w:rPr>
            <w:noProof/>
            <w:webHidden/>
          </w:rPr>
        </w:r>
        <w:r w:rsidR="00711FD6">
          <w:rPr>
            <w:noProof/>
            <w:webHidden/>
          </w:rPr>
          <w:fldChar w:fldCharType="separate"/>
        </w:r>
        <w:r w:rsidR="00711FD6">
          <w:rPr>
            <w:noProof/>
            <w:webHidden/>
          </w:rPr>
          <w:t>4</w:t>
        </w:r>
        <w:r w:rsidR="00711FD6">
          <w:rPr>
            <w:noProof/>
            <w:webHidden/>
          </w:rPr>
          <w:fldChar w:fldCharType="end"/>
        </w:r>
      </w:hyperlink>
    </w:p>
    <w:p w14:paraId="66CC524C" w14:textId="623C6E06" w:rsidR="00711FD6" w:rsidRDefault="00075A0C">
      <w:pPr>
        <w:pStyle w:val="TOC1"/>
        <w:rPr>
          <w:rFonts w:asciiTheme="minorHAnsi" w:eastAsiaTheme="minorEastAsia" w:hAnsiTheme="minorHAnsi" w:cstheme="minorBidi"/>
          <w:b w:val="0"/>
          <w:noProof/>
          <w:lang w:eastAsia="en-AU"/>
        </w:rPr>
      </w:pPr>
      <w:hyperlink w:anchor="_Toc35249009" w:history="1">
        <w:r w:rsidR="00711FD6" w:rsidRPr="00DC02BC">
          <w:rPr>
            <w:rStyle w:val="Hyperlink"/>
            <w:noProof/>
          </w:rPr>
          <w:t>Relationship to existing recordkeeping requirements</w:t>
        </w:r>
        <w:r w:rsidR="00711FD6">
          <w:rPr>
            <w:noProof/>
            <w:webHidden/>
          </w:rPr>
          <w:tab/>
        </w:r>
        <w:r w:rsidR="00711FD6">
          <w:rPr>
            <w:noProof/>
            <w:webHidden/>
          </w:rPr>
          <w:fldChar w:fldCharType="begin"/>
        </w:r>
        <w:r w:rsidR="00711FD6">
          <w:rPr>
            <w:noProof/>
            <w:webHidden/>
          </w:rPr>
          <w:instrText xml:space="preserve"> PAGEREF _Toc35249009 \h </w:instrText>
        </w:r>
        <w:r w:rsidR="00711FD6">
          <w:rPr>
            <w:noProof/>
            <w:webHidden/>
          </w:rPr>
        </w:r>
        <w:r w:rsidR="00711FD6">
          <w:rPr>
            <w:noProof/>
            <w:webHidden/>
          </w:rPr>
          <w:fldChar w:fldCharType="separate"/>
        </w:r>
        <w:r w:rsidR="00711FD6">
          <w:rPr>
            <w:noProof/>
            <w:webHidden/>
          </w:rPr>
          <w:t>4</w:t>
        </w:r>
        <w:r w:rsidR="00711FD6">
          <w:rPr>
            <w:noProof/>
            <w:webHidden/>
          </w:rPr>
          <w:fldChar w:fldCharType="end"/>
        </w:r>
      </w:hyperlink>
    </w:p>
    <w:p w14:paraId="477E195B" w14:textId="78DFC364" w:rsidR="00711FD6" w:rsidRDefault="00075A0C">
      <w:pPr>
        <w:pStyle w:val="TOC1"/>
        <w:rPr>
          <w:rFonts w:asciiTheme="minorHAnsi" w:eastAsiaTheme="minorEastAsia" w:hAnsiTheme="minorHAnsi" w:cstheme="minorBidi"/>
          <w:b w:val="0"/>
          <w:noProof/>
          <w:lang w:eastAsia="en-AU"/>
        </w:rPr>
      </w:pPr>
      <w:hyperlink w:anchor="_Toc35249010" w:history="1">
        <w:r w:rsidR="00711FD6" w:rsidRPr="00DC02BC">
          <w:rPr>
            <w:rStyle w:val="Hyperlink"/>
            <w:noProof/>
          </w:rPr>
          <w:t>Relationship to other legislative requirements</w:t>
        </w:r>
        <w:r w:rsidR="00711FD6">
          <w:rPr>
            <w:noProof/>
            <w:webHidden/>
          </w:rPr>
          <w:tab/>
        </w:r>
        <w:r w:rsidR="00711FD6">
          <w:rPr>
            <w:noProof/>
            <w:webHidden/>
          </w:rPr>
          <w:fldChar w:fldCharType="begin"/>
        </w:r>
        <w:r w:rsidR="00711FD6">
          <w:rPr>
            <w:noProof/>
            <w:webHidden/>
          </w:rPr>
          <w:instrText xml:space="preserve"> PAGEREF _Toc35249010 \h </w:instrText>
        </w:r>
        <w:r w:rsidR="00711FD6">
          <w:rPr>
            <w:noProof/>
            <w:webHidden/>
          </w:rPr>
        </w:r>
        <w:r w:rsidR="00711FD6">
          <w:rPr>
            <w:noProof/>
            <w:webHidden/>
          </w:rPr>
          <w:fldChar w:fldCharType="separate"/>
        </w:r>
        <w:r w:rsidR="00711FD6">
          <w:rPr>
            <w:noProof/>
            <w:webHidden/>
          </w:rPr>
          <w:t>5</w:t>
        </w:r>
        <w:r w:rsidR="00711FD6">
          <w:rPr>
            <w:noProof/>
            <w:webHidden/>
          </w:rPr>
          <w:fldChar w:fldCharType="end"/>
        </w:r>
      </w:hyperlink>
    </w:p>
    <w:p w14:paraId="4B9F998A" w14:textId="638DEBF2" w:rsidR="00711FD6" w:rsidRDefault="00075A0C">
      <w:pPr>
        <w:pStyle w:val="TOC1"/>
        <w:rPr>
          <w:rFonts w:asciiTheme="minorHAnsi" w:eastAsiaTheme="minorEastAsia" w:hAnsiTheme="minorHAnsi" w:cstheme="minorBidi"/>
          <w:b w:val="0"/>
          <w:noProof/>
          <w:lang w:eastAsia="en-AU"/>
        </w:rPr>
      </w:pPr>
      <w:hyperlink w:anchor="_Toc35249011" w:history="1">
        <w:r w:rsidR="00711FD6" w:rsidRPr="00DC02BC">
          <w:rPr>
            <w:rStyle w:val="Hyperlink"/>
            <w:noProof/>
          </w:rPr>
          <w:t>Purpose</w:t>
        </w:r>
        <w:r w:rsidR="00711FD6">
          <w:rPr>
            <w:noProof/>
            <w:webHidden/>
          </w:rPr>
          <w:tab/>
        </w:r>
        <w:r w:rsidR="00711FD6">
          <w:rPr>
            <w:noProof/>
            <w:webHidden/>
          </w:rPr>
          <w:fldChar w:fldCharType="begin"/>
        </w:r>
        <w:r w:rsidR="00711FD6">
          <w:rPr>
            <w:noProof/>
            <w:webHidden/>
          </w:rPr>
          <w:instrText xml:space="preserve"> PAGEREF _Toc35249011 \h </w:instrText>
        </w:r>
        <w:r w:rsidR="00711FD6">
          <w:rPr>
            <w:noProof/>
            <w:webHidden/>
          </w:rPr>
        </w:r>
        <w:r w:rsidR="00711FD6">
          <w:rPr>
            <w:noProof/>
            <w:webHidden/>
          </w:rPr>
          <w:fldChar w:fldCharType="separate"/>
        </w:r>
        <w:r w:rsidR="00711FD6">
          <w:rPr>
            <w:noProof/>
            <w:webHidden/>
          </w:rPr>
          <w:t>5</w:t>
        </w:r>
        <w:r w:rsidR="00711FD6">
          <w:rPr>
            <w:noProof/>
            <w:webHidden/>
          </w:rPr>
          <w:fldChar w:fldCharType="end"/>
        </w:r>
      </w:hyperlink>
    </w:p>
    <w:p w14:paraId="44D22909" w14:textId="6C13FDDB" w:rsidR="00711FD6" w:rsidRDefault="00075A0C">
      <w:pPr>
        <w:pStyle w:val="TOC1"/>
        <w:rPr>
          <w:rFonts w:asciiTheme="minorHAnsi" w:eastAsiaTheme="minorEastAsia" w:hAnsiTheme="minorHAnsi" w:cstheme="minorBidi"/>
          <w:b w:val="0"/>
          <w:noProof/>
          <w:lang w:eastAsia="en-AU"/>
        </w:rPr>
      </w:pPr>
      <w:hyperlink w:anchor="_Toc35249012" w:history="1">
        <w:r w:rsidR="00711FD6" w:rsidRPr="00DC02BC">
          <w:rPr>
            <w:rStyle w:val="Hyperlink"/>
            <w:noProof/>
          </w:rPr>
          <w:t>Definitions</w:t>
        </w:r>
        <w:r w:rsidR="00711FD6">
          <w:rPr>
            <w:noProof/>
            <w:webHidden/>
          </w:rPr>
          <w:tab/>
        </w:r>
        <w:r w:rsidR="00711FD6">
          <w:rPr>
            <w:noProof/>
            <w:webHidden/>
          </w:rPr>
          <w:fldChar w:fldCharType="begin"/>
        </w:r>
        <w:r w:rsidR="00711FD6">
          <w:rPr>
            <w:noProof/>
            <w:webHidden/>
          </w:rPr>
          <w:instrText xml:space="preserve"> PAGEREF _Toc35249012 \h </w:instrText>
        </w:r>
        <w:r w:rsidR="00711FD6">
          <w:rPr>
            <w:noProof/>
            <w:webHidden/>
          </w:rPr>
        </w:r>
        <w:r w:rsidR="00711FD6">
          <w:rPr>
            <w:noProof/>
            <w:webHidden/>
          </w:rPr>
          <w:fldChar w:fldCharType="separate"/>
        </w:r>
        <w:r w:rsidR="00711FD6">
          <w:rPr>
            <w:noProof/>
            <w:webHidden/>
          </w:rPr>
          <w:t>6</w:t>
        </w:r>
        <w:r w:rsidR="00711FD6">
          <w:rPr>
            <w:noProof/>
            <w:webHidden/>
          </w:rPr>
          <w:fldChar w:fldCharType="end"/>
        </w:r>
      </w:hyperlink>
    </w:p>
    <w:p w14:paraId="4D7D194F" w14:textId="153D0D7F" w:rsidR="00711FD6" w:rsidRDefault="00075A0C">
      <w:pPr>
        <w:pStyle w:val="TOC1"/>
        <w:rPr>
          <w:rFonts w:asciiTheme="minorHAnsi" w:eastAsiaTheme="minorEastAsia" w:hAnsiTheme="minorHAnsi" w:cstheme="minorBidi"/>
          <w:b w:val="0"/>
          <w:noProof/>
          <w:lang w:eastAsia="en-AU"/>
        </w:rPr>
      </w:pPr>
      <w:hyperlink w:anchor="_Toc35249013" w:history="1">
        <w:r w:rsidR="00711FD6" w:rsidRPr="00DC02BC">
          <w:rPr>
            <w:rStyle w:val="Hyperlink"/>
            <w:noProof/>
          </w:rPr>
          <w:t>Scope and related documents</w:t>
        </w:r>
        <w:r w:rsidR="00711FD6">
          <w:rPr>
            <w:noProof/>
            <w:webHidden/>
          </w:rPr>
          <w:tab/>
        </w:r>
        <w:r w:rsidR="00711FD6">
          <w:rPr>
            <w:noProof/>
            <w:webHidden/>
          </w:rPr>
          <w:fldChar w:fldCharType="begin"/>
        </w:r>
        <w:r w:rsidR="00711FD6">
          <w:rPr>
            <w:noProof/>
            <w:webHidden/>
          </w:rPr>
          <w:instrText xml:space="preserve"> PAGEREF _Toc35249013 \h </w:instrText>
        </w:r>
        <w:r w:rsidR="00711FD6">
          <w:rPr>
            <w:noProof/>
            <w:webHidden/>
          </w:rPr>
        </w:r>
        <w:r w:rsidR="00711FD6">
          <w:rPr>
            <w:noProof/>
            <w:webHidden/>
          </w:rPr>
          <w:fldChar w:fldCharType="separate"/>
        </w:r>
        <w:r w:rsidR="00711FD6">
          <w:rPr>
            <w:noProof/>
            <w:webHidden/>
          </w:rPr>
          <w:t>6</w:t>
        </w:r>
        <w:r w:rsidR="00711FD6">
          <w:rPr>
            <w:noProof/>
            <w:webHidden/>
          </w:rPr>
          <w:fldChar w:fldCharType="end"/>
        </w:r>
      </w:hyperlink>
    </w:p>
    <w:p w14:paraId="5340B9C6" w14:textId="4A7991F3" w:rsidR="00711FD6" w:rsidRDefault="00075A0C">
      <w:pPr>
        <w:pStyle w:val="TOC1"/>
        <w:rPr>
          <w:rFonts w:asciiTheme="minorHAnsi" w:eastAsiaTheme="minorEastAsia" w:hAnsiTheme="minorHAnsi" w:cstheme="minorBidi"/>
          <w:b w:val="0"/>
          <w:noProof/>
          <w:lang w:eastAsia="en-AU"/>
        </w:rPr>
      </w:pPr>
      <w:hyperlink w:anchor="_Toc35249014" w:history="1">
        <w:r w:rsidR="00711FD6" w:rsidRPr="00DC02BC">
          <w:rPr>
            <w:rStyle w:val="Hyperlink"/>
            <w:noProof/>
          </w:rPr>
          <w:t>Authority</w:t>
        </w:r>
        <w:r w:rsidR="00711FD6">
          <w:rPr>
            <w:noProof/>
            <w:webHidden/>
          </w:rPr>
          <w:tab/>
        </w:r>
        <w:r w:rsidR="00711FD6">
          <w:rPr>
            <w:noProof/>
            <w:webHidden/>
          </w:rPr>
          <w:fldChar w:fldCharType="begin"/>
        </w:r>
        <w:r w:rsidR="00711FD6">
          <w:rPr>
            <w:noProof/>
            <w:webHidden/>
          </w:rPr>
          <w:instrText xml:space="preserve"> PAGEREF _Toc35249014 \h </w:instrText>
        </w:r>
        <w:r w:rsidR="00711FD6">
          <w:rPr>
            <w:noProof/>
            <w:webHidden/>
          </w:rPr>
        </w:r>
        <w:r w:rsidR="00711FD6">
          <w:rPr>
            <w:noProof/>
            <w:webHidden/>
          </w:rPr>
          <w:fldChar w:fldCharType="separate"/>
        </w:r>
        <w:r w:rsidR="00711FD6">
          <w:rPr>
            <w:noProof/>
            <w:webHidden/>
          </w:rPr>
          <w:t>7</w:t>
        </w:r>
        <w:r w:rsidR="00711FD6">
          <w:rPr>
            <w:noProof/>
            <w:webHidden/>
          </w:rPr>
          <w:fldChar w:fldCharType="end"/>
        </w:r>
      </w:hyperlink>
    </w:p>
    <w:p w14:paraId="7523C51B" w14:textId="0113B892" w:rsidR="00711FD6" w:rsidRDefault="00075A0C">
      <w:pPr>
        <w:pStyle w:val="TOC1"/>
        <w:rPr>
          <w:rFonts w:asciiTheme="minorHAnsi" w:eastAsiaTheme="minorEastAsia" w:hAnsiTheme="minorHAnsi" w:cstheme="minorBidi"/>
          <w:b w:val="0"/>
          <w:noProof/>
          <w:lang w:eastAsia="en-AU"/>
        </w:rPr>
      </w:pPr>
      <w:hyperlink w:anchor="_Toc35249015" w:history="1">
        <w:r w:rsidR="00711FD6" w:rsidRPr="00DC02BC">
          <w:rPr>
            <w:rStyle w:val="Hyperlink"/>
            <w:noProof/>
          </w:rPr>
          <w:t>Relevant records – vulnerable persons</w:t>
        </w:r>
        <w:r w:rsidR="00711FD6">
          <w:rPr>
            <w:noProof/>
            <w:webHidden/>
          </w:rPr>
          <w:tab/>
        </w:r>
        <w:r w:rsidR="00711FD6">
          <w:rPr>
            <w:noProof/>
            <w:webHidden/>
          </w:rPr>
          <w:fldChar w:fldCharType="begin"/>
        </w:r>
        <w:r w:rsidR="00711FD6">
          <w:rPr>
            <w:noProof/>
            <w:webHidden/>
          </w:rPr>
          <w:instrText xml:space="preserve"> PAGEREF _Toc35249015 \h </w:instrText>
        </w:r>
        <w:r w:rsidR="00711FD6">
          <w:rPr>
            <w:noProof/>
            <w:webHidden/>
          </w:rPr>
        </w:r>
        <w:r w:rsidR="00711FD6">
          <w:rPr>
            <w:noProof/>
            <w:webHidden/>
          </w:rPr>
          <w:fldChar w:fldCharType="separate"/>
        </w:r>
        <w:r w:rsidR="00711FD6">
          <w:rPr>
            <w:noProof/>
            <w:webHidden/>
          </w:rPr>
          <w:t>7</w:t>
        </w:r>
        <w:r w:rsidR="00711FD6">
          <w:rPr>
            <w:noProof/>
            <w:webHidden/>
          </w:rPr>
          <w:fldChar w:fldCharType="end"/>
        </w:r>
      </w:hyperlink>
    </w:p>
    <w:p w14:paraId="784D9763" w14:textId="45D50EF8" w:rsidR="00711FD6" w:rsidRDefault="00075A0C">
      <w:pPr>
        <w:pStyle w:val="TOC2"/>
        <w:rPr>
          <w:rFonts w:asciiTheme="minorHAnsi" w:eastAsiaTheme="minorEastAsia" w:hAnsiTheme="minorHAnsi" w:cstheme="minorBidi"/>
          <w:noProof/>
          <w:lang w:eastAsia="en-AU"/>
        </w:rPr>
      </w:pPr>
      <w:hyperlink w:anchor="_Toc35249016" w:history="1">
        <w:r w:rsidR="00711FD6" w:rsidRPr="00DC02BC">
          <w:rPr>
            <w:rStyle w:val="Hyperlink"/>
            <w:noProof/>
          </w:rPr>
          <w:t>Disposal authorisations – an overview</w:t>
        </w:r>
        <w:r w:rsidR="00711FD6">
          <w:rPr>
            <w:noProof/>
            <w:webHidden/>
          </w:rPr>
          <w:tab/>
        </w:r>
        <w:r w:rsidR="00711FD6">
          <w:rPr>
            <w:noProof/>
            <w:webHidden/>
          </w:rPr>
          <w:fldChar w:fldCharType="begin"/>
        </w:r>
        <w:r w:rsidR="00711FD6">
          <w:rPr>
            <w:noProof/>
            <w:webHidden/>
          </w:rPr>
          <w:instrText xml:space="preserve"> PAGEREF _Toc35249016 \h </w:instrText>
        </w:r>
        <w:r w:rsidR="00711FD6">
          <w:rPr>
            <w:noProof/>
            <w:webHidden/>
          </w:rPr>
        </w:r>
        <w:r w:rsidR="00711FD6">
          <w:rPr>
            <w:noProof/>
            <w:webHidden/>
          </w:rPr>
          <w:fldChar w:fldCharType="separate"/>
        </w:r>
        <w:r w:rsidR="00711FD6">
          <w:rPr>
            <w:noProof/>
            <w:webHidden/>
          </w:rPr>
          <w:t>7</w:t>
        </w:r>
        <w:r w:rsidR="00711FD6">
          <w:rPr>
            <w:noProof/>
            <w:webHidden/>
          </w:rPr>
          <w:fldChar w:fldCharType="end"/>
        </w:r>
      </w:hyperlink>
    </w:p>
    <w:p w14:paraId="53B5B776" w14:textId="36DEA84D" w:rsidR="00711FD6" w:rsidRDefault="00075A0C">
      <w:pPr>
        <w:pStyle w:val="TOC1"/>
        <w:rPr>
          <w:rFonts w:asciiTheme="minorHAnsi" w:eastAsiaTheme="minorEastAsia" w:hAnsiTheme="minorHAnsi" w:cstheme="minorBidi"/>
          <w:b w:val="0"/>
          <w:noProof/>
          <w:lang w:eastAsia="en-AU"/>
        </w:rPr>
      </w:pPr>
      <w:hyperlink w:anchor="_Toc35249017" w:history="1">
        <w:r w:rsidR="00711FD6" w:rsidRPr="00DC02BC">
          <w:rPr>
            <w:rStyle w:val="Hyperlink"/>
            <w:noProof/>
          </w:rPr>
          <w:t>Creating and managing complete and reliable records</w:t>
        </w:r>
        <w:r w:rsidR="00711FD6">
          <w:rPr>
            <w:noProof/>
            <w:webHidden/>
          </w:rPr>
          <w:tab/>
        </w:r>
        <w:r w:rsidR="00711FD6">
          <w:rPr>
            <w:noProof/>
            <w:webHidden/>
          </w:rPr>
          <w:fldChar w:fldCharType="begin"/>
        </w:r>
        <w:r w:rsidR="00711FD6">
          <w:rPr>
            <w:noProof/>
            <w:webHidden/>
          </w:rPr>
          <w:instrText xml:space="preserve"> PAGEREF _Toc35249017 \h </w:instrText>
        </w:r>
        <w:r w:rsidR="00711FD6">
          <w:rPr>
            <w:noProof/>
            <w:webHidden/>
          </w:rPr>
        </w:r>
        <w:r w:rsidR="00711FD6">
          <w:rPr>
            <w:noProof/>
            <w:webHidden/>
          </w:rPr>
          <w:fldChar w:fldCharType="separate"/>
        </w:r>
        <w:r w:rsidR="00711FD6">
          <w:rPr>
            <w:noProof/>
            <w:webHidden/>
          </w:rPr>
          <w:t>8</w:t>
        </w:r>
        <w:r w:rsidR="00711FD6">
          <w:rPr>
            <w:noProof/>
            <w:webHidden/>
          </w:rPr>
          <w:fldChar w:fldCharType="end"/>
        </w:r>
      </w:hyperlink>
    </w:p>
    <w:p w14:paraId="7D4C0580" w14:textId="2AF05D3F" w:rsidR="00711FD6" w:rsidRDefault="00075A0C">
      <w:pPr>
        <w:pStyle w:val="TOC2"/>
        <w:rPr>
          <w:rFonts w:asciiTheme="minorHAnsi" w:eastAsiaTheme="minorEastAsia" w:hAnsiTheme="minorHAnsi" w:cstheme="minorBidi"/>
          <w:noProof/>
          <w:lang w:eastAsia="en-AU"/>
        </w:rPr>
      </w:pPr>
      <w:hyperlink w:anchor="_Toc35249018" w:history="1">
        <w:r w:rsidR="00711FD6" w:rsidRPr="00DC02BC">
          <w:rPr>
            <w:rStyle w:val="Hyperlink"/>
            <w:noProof/>
          </w:rPr>
          <w:t>Incidents, allegations and disclosures of abuse – vulnerable persons</w:t>
        </w:r>
        <w:r w:rsidR="00711FD6">
          <w:rPr>
            <w:noProof/>
            <w:webHidden/>
          </w:rPr>
          <w:tab/>
        </w:r>
        <w:r w:rsidR="00711FD6">
          <w:rPr>
            <w:noProof/>
            <w:webHidden/>
          </w:rPr>
          <w:fldChar w:fldCharType="begin"/>
        </w:r>
        <w:r w:rsidR="00711FD6">
          <w:rPr>
            <w:noProof/>
            <w:webHidden/>
          </w:rPr>
          <w:instrText xml:space="preserve"> PAGEREF _Toc35249018 \h </w:instrText>
        </w:r>
        <w:r w:rsidR="00711FD6">
          <w:rPr>
            <w:noProof/>
            <w:webHidden/>
          </w:rPr>
        </w:r>
        <w:r w:rsidR="00711FD6">
          <w:rPr>
            <w:noProof/>
            <w:webHidden/>
          </w:rPr>
          <w:fldChar w:fldCharType="separate"/>
        </w:r>
        <w:r w:rsidR="00711FD6">
          <w:rPr>
            <w:noProof/>
            <w:webHidden/>
          </w:rPr>
          <w:t>8</w:t>
        </w:r>
        <w:r w:rsidR="00711FD6">
          <w:rPr>
            <w:noProof/>
            <w:webHidden/>
          </w:rPr>
          <w:fldChar w:fldCharType="end"/>
        </w:r>
      </w:hyperlink>
    </w:p>
    <w:p w14:paraId="687C0552" w14:textId="077D017F" w:rsidR="00711FD6" w:rsidRDefault="00075A0C">
      <w:pPr>
        <w:pStyle w:val="TOC2"/>
        <w:rPr>
          <w:rFonts w:asciiTheme="minorHAnsi" w:eastAsiaTheme="minorEastAsia" w:hAnsiTheme="minorHAnsi" w:cstheme="minorBidi"/>
          <w:noProof/>
          <w:lang w:eastAsia="en-AU"/>
        </w:rPr>
      </w:pPr>
      <w:hyperlink w:anchor="_Toc35249019" w:history="1">
        <w:r w:rsidR="00711FD6" w:rsidRPr="00DC02BC">
          <w:rPr>
            <w:rStyle w:val="Hyperlink"/>
            <w:noProof/>
          </w:rPr>
          <w:t>How to identify relevant records for the proactive protection of vulnerable persons</w:t>
        </w:r>
        <w:r w:rsidR="00711FD6">
          <w:rPr>
            <w:noProof/>
            <w:webHidden/>
          </w:rPr>
          <w:tab/>
        </w:r>
        <w:r w:rsidR="00711FD6">
          <w:rPr>
            <w:noProof/>
            <w:webHidden/>
          </w:rPr>
          <w:fldChar w:fldCharType="begin"/>
        </w:r>
        <w:r w:rsidR="00711FD6">
          <w:rPr>
            <w:noProof/>
            <w:webHidden/>
          </w:rPr>
          <w:instrText xml:space="preserve"> PAGEREF _Toc35249019 \h </w:instrText>
        </w:r>
        <w:r w:rsidR="00711FD6">
          <w:rPr>
            <w:noProof/>
            <w:webHidden/>
          </w:rPr>
        </w:r>
        <w:r w:rsidR="00711FD6">
          <w:rPr>
            <w:noProof/>
            <w:webHidden/>
          </w:rPr>
          <w:fldChar w:fldCharType="separate"/>
        </w:r>
        <w:r w:rsidR="00711FD6">
          <w:rPr>
            <w:noProof/>
            <w:webHidden/>
          </w:rPr>
          <w:t>8</w:t>
        </w:r>
        <w:r w:rsidR="00711FD6">
          <w:rPr>
            <w:noProof/>
            <w:webHidden/>
          </w:rPr>
          <w:fldChar w:fldCharType="end"/>
        </w:r>
      </w:hyperlink>
    </w:p>
    <w:p w14:paraId="78E50482" w14:textId="4C9B286E" w:rsidR="00711FD6" w:rsidRDefault="00075A0C">
      <w:pPr>
        <w:pStyle w:val="TOC2"/>
        <w:rPr>
          <w:rFonts w:asciiTheme="minorHAnsi" w:eastAsiaTheme="minorEastAsia" w:hAnsiTheme="minorHAnsi" w:cstheme="minorBidi"/>
          <w:noProof/>
          <w:lang w:eastAsia="en-AU"/>
        </w:rPr>
      </w:pPr>
      <w:hyperlink w:anchor="_Toc35249020" w:history="1">
        <w:r w:rsidR="00711FD6" w:rsidRPr="00DC02BC">
          <w:rPr>
            <w:rStyle w:val="Hyperlink"/>
            <w:noProof/>
          </w:rPr>
          <w:t>Risk analysis workflow – Proactive protection of vulnerable persons</w:t>
        </w:r>
        <w:r w:rsidR="00711FD6">
          <w:rPr>
            <w:noProof/>
            <w:webHidden/>
          </w:rPr>
          <w:tab/>
        </w:r>
        <w:r w:rsidR="00711FD6">
          <w:rPr>
            <w:noProof/>
            <w:webHidden/>
          </w:rPr>
          <w:fldChar w:fldCharType="begin"/>
        </w:r>
        <w:r w:rsidR="00711FD6">
          <w:rPr>
            <w:noProof/>
            <w:webHidden/>
          </w:rPr>
          <w:instrText xml:space="preserve"> PAGEREF _Toc35249020 \h </w:instrText>
        </w:r>
        <w:r w:rsidR="00711FD6">
          <w:rPr>
            <w:noProof/>
            <w:webHidden/>
          </w:rPr>
        </w:r>
        <w:r w:rsidR="00711FD6">
          <w:rPr>
            <w:noProof/>
            <w:webHidden/>
          </w:rPr>
          <w:fldChar w:fldCharType="separate"/>
        </w:r>
        <w:r w:rsidR="00711FD6">
          <w:rPr>
            <w:noProof/>
            <w:webHidden/>
          </w:rPr>
          <w:t>9</w:t>
        </w:r>
        <w:r w:rsidR="00711FD6">
          <w:rPr>
            <w:noProof/>
            <w:webHidden/>
          </w:rPr>
          <w:fldChar w:fldCharType="end"/>
        </w:r>
      </w:hyperlink>
    </w:p>
    <w:p w14:paraId="04EAFABF" w14:textId="19C7BA51" w:rsidR="00711FD6" w:rsidRDefault="00075A0C">
      <w:pPr>
        <w:pStyle w:val="TOC2"/>
        <w:rPr>
          <w:rFonts w:asciiTheme="minorHAnsi" w:eastAsiaTheme="minorEastAsia" w:hAnsiTheme="minorHAnsi" w:cstheme="minorBidi"/>
          <w:noProof/>
          <w:lang w:eastAsia="en-AU"/>
        </w:rPr>
      </w:pPr>
      <w:hyperlink w:anchor="_Toc35249021" w:history="1">
        <w:r w:rsidR="00711FD6" w:rsidRPr="00DC02BC">
          <w:rPr>
            <w:rStyle w:val="Hyperlink"/>
            <w:noProof/>
          </w:rPr>
          <w:t>Unpacking the workflow</w:t>
        </w:r>
        <w:r w:rsidR="00711FD6">
          <w:rPr>
            <w:noProof/>
            <w:webHidden/>
          </w:rPr>
          <w:tab/>
        </w:r>
        <w:r w:rsidR="00711FD6">
          <w:rPr>
            <w:noProof/>
            <w:webHidden/>
          </w:rPr>
          <w:fldChar w:fldCharType="begin"/>
        </w:r>
        <w:r w:rsidR="00711FD6">
          <w:rPr>
            <w:noProof/>
            <w:webHidden/>
          </w:rPr>
          <w:instrText xml:space="preserve"> PAGEREF _Toc35249021 \h </w:instrText>
        </w:r>
        <w:r w:rsidR="00711FD6">
          <w:rPr>
            <w:noProof/>
            <w:webHidden/>
          </w:rPr>
        </w:r>
        <w:r w:rsidR="00711FD6">
          <w:rPr>
            <w:noProof/>
            <w:webHidden/>
          </w:rPr>
          <w:fldChar w:fldCharType="separate"/>
        </w:r>
        <w:r w:rsidR="00711FD6">
          <w:rPr>
            <w:noProof/>
            <w:webHidden/>
          </w:rPr>
          <w:t>10</w:t>
        </w:r>
        <w:r w:rsidR="00711FD6">
          <w:rPr>
            <w:noProof/>
            <w:webHidden/>
          </w:rPr>
          <w:fldChar w:fldCharType="end"/>
        </w:r>
      </w:hyperlink>
    </w:p>
    <w:p w14:paraId="45A22D41" w14:textId="613AFD74" w:rsidR="00711FD6" w:rsidRDefault="00075A0C">
      <w:pPr>
        <w:pStyle w:val="TOC3"/>
        <w:rPr>
          <w:rFonts w:asciiTheme="minorHAnsi" w:eastAsiaTheme="minorEastAsia" w:hAnsiTheme="minorHAnsi" w:cstheme="minorBidi"/>
          <w:i w:val="0"/>
          <w:noProof/>
          <w:lang w:eastAsia="en-AU"/>
        </w:rPr>
      </w:pPr>
      <w:hyperlink w:anchor="_Toc35249022" w:history="1">
        <w:r w:rsidR="00711FD6" w:rsidRPr="00DC02BC">
          <w:rPr>
            <w:rStyle w:val="Hyperlink"/>
            <w:noProof/>
          </w:rPr>
          <w:t>Example</w:t>
        </w:r>
        <w:r w:rsidR="00711FD6">
          <w:rPr>
            <w:noProof/>
            <w:webHidden/>
          </w:rPr>
          <w:tab/>
        </w:r>
        <w:r w:rsidR="00711FD6">
          <w:rPr>
            <w:noProof/>
            <w:webHidden/>
          </w:rPr>
          <w:fldChar w:fldCharType="begin"/>
        </w:r>
        <w:r w:rsidR="00711FD6">
          <w:rPr>
            <w:noProof/>
            <w:webHidden/>
          </w:rPr>
          <w:instrText xml:space="preserve"> PAGEREF _Toc35249022 \h </w:instrText>
        </w:r>
        <w:r w:rsidR="00711FD6">
          <w:rPr>
            <w:noProof/>
            <w:webHidden/>
          </w:rPr>
        </w:r>
        <w:r w:rsidR="00711FD6">
          <w:rPr>
            <w:noProof/>
            <w:webHidden/>
          </w:rPr>
          <w:fldChar w:fldCharType="separate"/>
        </w:r>
        <w:r w:rsidR="00711FD6">
          <w:rPr>
            <w:noProof/>
            <w:webHidden/>
          </w:rPr>
          <w:t>10</w:t>
        </w:r>
        <w:r w:rsidR="00711FD6">
          <w:rPr>
            <w:noProof/>
            <w:webHidden/>
          </w:rPr>
          <w:fldChar w:fldCharType="end"/>
        </w:r>
      </w:hyperlink>
    </w:p>
    <w:p w14:paraId="79AEF578" w14:textId="41124107" w:rsidR="00711FD6" w:rsidRDefault="00075A0C">
      <w:pPr>
        <w:pStyle w:val="TOC2"/>
        <w:rPr>
          <w:rFonts w:asciiTheme="minorHAnsi" w:eastAsiaTheme="minorEastAsia" w:hAnsiTheme="minorHAnsi" w:cstheme="minorBidi"/>
          <w:noProof/>
          <w:lang w:eastAsia="en-AU"/>
        </w:rPr>
      </w:pPr>
      <w:hyperlink w:anchor="_Toc35249023" w:history="1">
        <w:r w:rsidR="00711FD6" w:rsidRPr="00DC02BC">
          <w:rPr>
            <w:rStyle w:val="Hyperlink"/>
            <w:noProof/>
          </w:rPr>
          <w:t>Nature of interactions and evaluation of risk – contact or interactions with vulnerable persons</w:t>
        </w:r>
        <w:r w:rsidR="00711FD6">
          <w:rPr>
            <w:noProof/>
            <w:webHidden/>
          </w:rPr>
          <w:tab/>
        </w:r>
        <w:r w:rsidR="00711FD6">
          <w:rPr>
            <w:noProof/>
            <w:webHidden/>
          </w:rPr>
          <w:fldChar w:fldCharType="begin"/>
        </w:r>
        <w:r w:rsidR="00711FD6">
          <w:rPr>
            <w:noProof/>
            <w:webHidden/>
          </w:rPr>
          <w:instrText xml:space="preserve"> PAGEREF _Toc35249023 \h </w:instrText>
        </w:r>
        <w:r w:rsidR="00711FD6">
          <w:rPr>
            <w:noProof/>
            <w:webHidden/>
          </w:rPr>
        </w:r>
        <w:r w:rsidR="00711FD6">
          <w:rPr>
            <w:noProof/>
            <w:webHidden/>
          </w:rPr>
          <w:fldChar w:fldCharType="separate"/>
        </w:r>
        <w:r w:rsidR="00711FD6">
          <w:rPr>
            <w:noProof/>
            <w:webHidden/>
          </w:rPr>
          <w:t>10</w:t>
        </w:r>
        <w:r w:rsidR="00711FD6">
          <w:rPr>
            <w:noProof/>
            <w:webHidden/>
          </w:rPr>
          <w:fldChar w:fldCharType="end"/>
        </w:r>
      </w:hyperlink>
    </w:p>
    <w:p w14:paraId="480BFB26" w14:textId="383AFDB0" w:rsidR="00711FD6" w:rsidRDefault="00075A0C">
      <w:pPr>
        <w:pStyle w:val="TOC3"/>
        <w:rPr>
          <w:rFonts w:asciiTheme="minorHAnsi" w:eastAsiaTheme="minorEastAsia" w:hAnsiTheme="minorHAnsi" w:cstheme="minorBidi"/>
          <w:i w:val="0"/>
          <w:noProof/>
          <w:lang w:eastAsia="en-AU"/>
        </w:rPr>
      </w:pPr>
      <w:hyperlink w:anchor="_Toc35249024" w:history="1">
        <w:r w:rsidR="00711FD6" w:rsidRPr="00DC02BC">
          <w:rPr>
            <w:rStyle w:val="Hyperlink"/>
            <w:noProof/>
          </w:rPr>
          <w:t>Examples</w:t>
        </w:r>
        <w:r w:rsidR="00711FD6">
          <w:rPr>
            <w:rStyle w:val="Hyperlink"/>
            <w:noProof/>
          </w:rPr>
          <w:tab/>
        </w:r>
        <w:r w:rsidR="00711FD6">
          <w:rPr>
            <w:noProof/>
            <w:webHidden/>
          </w:rPr>
          <w:fldChar w:fldCharType="begin"/>
        </w:r>
        <w:r w:rsidR="00711FD6">
          <w:rPr>
            <w:noProof/>
            <w:webHidden/>
          </w:rPr>
          <w:instrText xml:space="preserve"> PAGEREF _Toc35249024 \h </w:instrText>
        </w:r>
        <w:r w:rsidR="00711FD6">
          <w:rPr>
            <w:noProof/>
            <w:webHidden/>
          </w:rPr>
        </w:r>
        <w:r w:rsidR="00711FD6">
          <w:rPr>
            <w:noProof/>
            <w:webHidden/>
          </w:rPr>
          <w:fldChar w:fldCharType="separate"/>
        </w:r>
        <w:r w:rsidR="00711FD6">
          <w:rPr>
            <w:noProof/>
            <w:webHidden/>
          </w:rPr>
          <w:t>11</w:t>
        </w:r>
        <w:r w:rsidR="00711FD6">
          <w:rPr>
            <w:noProof/>
            <w:webHidden/>
          </w:rPr>
          <w:fldChar w:fldCharType="end"/>
        </w:r>
      </w:hyperlink>
    </w:p>
    <w:p w14:paraId="0EAEB2B4" w14:textId="4079FFB3" w:rsidR="00711FD6" w:rsidRDefault="00075A0C">
      <w:pPr>
        <w:pStyle w:val="TOC2"/>
        <w:rPr>
          <w:rFonts w:asciiTheme="minorHAnsi" w:eastAsiaTheme="minorEastAsia" w:hAnsiTheme="minorHAnsi" w:cstheme="minorBidi"/>
          <w:noProof/>
          <w:lang w:eastAsia="en-AU"/>
        </w:rPr>
      </w:pPr>
      <w:hyperlink w:anchor="_Toc35249025" w:history="1">
        <w:r w:rsidR="00711FD6" w:rsidRPr="00DC02BC">
          <w:rPr>
            <w:rStyle w:val="Hyperlink"/>
            <w:noProof/>
          </w:rPr>
          <w:t>Mitigate risk and decide on best evidence</w:t>
        </w:r>
        <w:r w:rsidR="00711FD6">
          <w:rPr>
            <w:noProof/>
            <w:webHidden/>
          </w:rPr>
          <w:tab/>
        </w:r>
        <w:r w:rsidR="00711FD6">
          <w:rPr>
            <w:noProof/>
            <w:webHidden/>
          </w:rPr>
          <w:fldChar w:fldCharType="begin"/>
        </w:r>
        <w:r w:rsidR="00711FD6">
          <w:rPr>
            <w:noProof/>
            <w:webHidden/>
          </w:rPr>
          <w:instrText xml:space="preserve"> PAGEREF _Toc35249025 \h </w:instrText>
        </w:r>
        <w:r w:rsidR="00711FD6">
          <w:rPr>
            <w:noProof/>
            <w:webHidden/>
          </w:rPr>
        </w:r>
        <w:r w:rsidR="00711FD6">
          <w:rPr>
            <w:noProof/>
            <w:webHidden/>
          </w:rPr>
          <w:fldChar w:fldCharType="separate"/>
        </w:r>
        <w:r w:rsidR="00711FD6">
          <w:rPr>
            <w:noProof/>
            <w:webHidden/>
          </w:rPr>
          <w:t>12</w:t>
        </w:r>
        <w:r w:rsidR="00711FD6">
          <w:rPr>
            <w:noProof/>
            <w:webHidden/>
          </w:rPr>
          <w:fldChar w:fldCharType="end"/>
        </w:r>
      </w:hyperlink>
    </w:p>
    <w:p w14:paraId="5F0A6B52" w14:textId="585F09C9" w:rsidR="00711FD6" w:rsidRDefault="00075A0C">
      <w:pPr>
        <w:pStyle w:val="TOC2"/>
        <w:rPr>
          <w:rFonts w:asciiTheme="minorHAnsi" w:eastAsiaTheme="minorEastAsia" w:hAnsiTheme="minorHAnsi" w:cstheme="minorBidi"/>
          <w:noProof/>
          <w:lang w:eastAsia="en-AU"/>
        </w:rPr>
      </w:pPr>
      <w:hyperlink w:anchor="_Toc35249026" w:history="1">
        <w:r w:rsidR="00711FD6" w:rsidRPr="00DC02BC">
          <w:rPr>
            <w:rStyle w:val="Hyperlink"/>
            <w:noProof/>
          </w:rPr>
          <w:t>Proactive protection of vulnerable persons</w:t>
        </w:r>
        <w:r w:rsidR="00711FD6">
          <w:rPr>
            <w:noProof/>
            <w:webHidden/>
          </w:rPr>
          <w:tab/>
        </w:r>
        <w:r w:rsidR="00711FD6">
          <w:rPr>
            <w:noProof/>
            <w:webHidden/>
          </w:rPr>
          <w:fldChar w:fldCharType="begin"/>
        </w:r>
        <w:r w:rsidR="00711FD6">
          <w:rPr>
            <w:noProof/>
            <w:webHidden/>
          </w:rPr>
          <w:instrText xml:space="preserve"> PAGEREF _Toc35249026 \h </w:instrText>
        </w:r>
        <w:r w:rsidR="00711FD6">
          <w:rPr>
            <w:noProof/>
            <w:webHidden/>
          </w:rPr>
        </w:r>
        <w:r w:rsidR="00711FD6">
          <w:rPr>
            <w:noProof/>
            <w:webHidden/>
          </w:rPr>
          <w:fldChar w:fldCharType="separate"/>
        </w:r>
        <w:r w:rsidR="00711FD6">
          <w:rPr>
            <w:noProof/>
            <w:webHidden/>
          </w:rPr>
          <w:t>13</w:t>
        </w:r>
        <w:r w:rsidR="00711FD6">
          <w:rPr>
            <w:noProof/>
            <w:webHidden/>
          </w:rPr>
          <w:fldChar w:fldCharType="end"/>
        </w:r>
      </w:hyperlink>
    </w:p>
    <w:p w14:paraId="2DC41104" w14:textId="5B8D2273" w:rsidR="00711FD6" w:rsidRDefault="00075A0C">
      <w:pPr>
        <w:pStyle w:val="TOC1"/>
        <w:rPr>
          <w:rFonts w:asciiTheme="minorHAnsi" w:eastAsiaTheme="minorEastAsia" w:hAnsiTheme="minorHAnsi" w:cstheme="minorBidi"/>
          <w:b w:val="0"/>
          <w:noProof/>
          <w:lang w:eastAsia="en-AU"/>
        </w:rPr>
      </w:pPr>
      <w:hyperlink w:anchor="_Toc35249027" w:history="1">
        <w:r w:rsidR="00711FD6" w:rsidRPr="00DC02BC">
          <w:rPr>
            <w:rStyle w:val="Hyperlink"/>
            <w:noProof/>
          </w:rPr>
          <w:t>Further information and resources</w:t>
        </w:r>
        <w:r w:rsidR="00711FD6">
          <w:rPr>
            <w:noProof/>
            <w:webHidden/>
          </w:rPr>
          <w:tab/>
        </w:r>
        <w:r w:rsidR="00711FD6">
          <w:rPr>
            <w:noProof/>
            <w:webHidden/>
          </w:rPr>
          <w:fldChar w:fldCharType="begin"/>
        </w:r>
        <w:r w:rsidR="00711FD6">
          <w:rPr>
            <w:noProof/>
            <w:webHidden/>
          </w:rPr>
          <w:instrText xml:space="preserve"> PAGEREF _Toc35249027 \h </w:instrText>
        </w:r>
        <w:r w:rsidR="00711FD6">
          <w:rPr>
            <w:noProof/>
            <w:webHidden/>
          </w:rPr>
        </w:r>
        <w:r w:rsidR="00711FD6">
          <w:rPr>
            <w:noProof/>
            <w:webHidden/>
          </w:rPr>
          <w:fldChar w:fldCharType="separate"/>
        </w:r>
        <w:r w:rsidR="00711FD6">
          <w:rPr>
            <w:noProof/>
            <w:webHidden/>
          </w:rPr>
          <w:t>14</w:t>
        </w:r>
        <w:r w:rsidR="00711FD6">
          <w:rPr>
            <w:noProof/>
            <w:webHidden/>
          </w:rPr>
          <w:fldChar w:fldCharType="end"/>
        </w:r>
      </w:hyperlink>
    </w:p>
    <w:p w14:paraId="72F5AC67" w14:textId="5010AAFE" w:rsidR="005C3FA2" w:rsidRDefault="0059256C" w:rsidP="005C3FA2">
      <w:r>
        <w:rPr>
          <w:i/>
          <w:iCs/>
          <w:color w:val="1A8859"/>
          <w:sz w:val="36"/>
          <w:szCs w:val="32"/>
        </w:rPr>
        <w:fldChar w:fldCharType="end"/>
      </w:r>
      <w:r w:rsidR="005C3FA2">
        <w:br w:type="page"/>
      </w:r>
    </w:p>
    <w:p w14:paraId="63FE07DD" w14:textId="77777777" w:rsidR="00027A41" w:rsidRDefault="00027A41" w:rsidP="00027A41">
      <w:bookmarkStart w:id="17" w:name="_Toc35249006"/>
      <w:r>
        <w:rPr>
          <w:noProof/>
        </w:rPr>
        <w:lastRenderedPageBreak/>
        <w:drawing>
          <wp:anchor distT="0" distB="0" distL="114300" distR="114300" simplePos="0" relativeHeight="251665408" behindDoc="1" locked="0" layoutInCell="1" allowOverlap="1" wp14:anchorId="56F7EA6C" wp14:editId="5C636114">
            <wp:simplePos x="0" y="0"/>
            <wp:positionH relativeFrom="margin">
              <wp:align>right</wp:align>
            </wp:positionH>
            <wp:positionV relativeFrom="margin">
              <wp:posOffset>209550</wp:posOffset>
            </wp:positionV>
            <wp:extent cx="2476500" cy="1428750"/>
            <wp:effectExtent l="0" t="0" r="0" b="0"/>
            <wp:wrapTight wrapText="bothSides">
              <wp:wrapPolygon edited="0">
                <wp:start x="0" y="0"/>
                <wp:lineTo x="0" y="21312"/>
                <wp:lineTo x="21434" y="21312"/>
                <wp:lineTo x="21434" y="0"/>
                <wp:lineTo x="0" y="0"/>
              </wp:wrapPolygon>
            </wp:wrapTight>
            <wp:docPr id="6" name="Picture 6" descr="Mr Robert (Bob) Atkinson, AO A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b Atkinson.JPG"/>
                    <pic:cNvPicPr/>
                  </pic:nvPicPr>
                  <pic:blipFill>
                    <a:blip r:embed="rId15">
                      <a:extLst>
                        <a:ext uri="{28A0092B-C50C-407E-A947-70E740481C1C}">
                          <a14:useLocalDpi xmlns:a14="http://schemas.microsoft.com/office/drawing/2010/main" val="0"/>
                        </a:ext>
                      </a:extLst>
                    </a:blip>
                    <a:stretch>
                      <a:fillRect/>
                    </a:stretch>
                  </pic:blipFill>
                  <pic:spPr>
                    <a:xfrm>
                      <a:off x="0" y="0"/>
                      <a:ext cx="2476500" cy="1428750"/>
                    </a:xfrm>
                    <a:prstGeom prst="rect">
                      <a:avLst/>
                    </a:prstGeom>
                  </pic:spPr>
                </pic:pic>
              </a:graphicData>
            </a:graphic>
          </wp:anchor>
        </w:drawing>
      </w:r>
    </w:p>
    <w:p w14:paraId="68A243FA" w14:textId="154A71D7" w:rsidR="00775928" w:rsidRPr="00027A41" w:rsidRDefault="00775928" w:rsidP="00027A41">
      <w:pPr>
        <w:pStyle w:val="Heading1"/>
      </w:pPr>
      <w:r w:rsidRPr="00027A41">
        <w:t>Foreword</w:t>
      </w:r>
      <w:bookmarkEnd w:id="17"/>
    </w:p>
    <w:p w14:paraId="3ED6AB02" w14:textId="65795904" w:rsidR="00775928" w:rsidRPr="00027A41" w:rsidRDefault="00775928" w:rsidP="00027A41">
      <w:pPr>
        <w:tabs>
          <w:tab w:val="left" w:pos="9477"/>
          <w:tab w:val="right" w:pos="9639"/>
        </w:tabs>
        <w:spacing w:after="1080"/>
        <w:rPr>
          <w:b/>
          <w:bCs/>
        </w:rPr>
      </w:pPr>
      <w:r w:rsidRPr="00027A41">
        <w:rPr>
          <w:b/>
          <w:bCs/>
        </w:rPr>
        <w:t>Mr Robert (Bob) Atkinson AO APM</w:t>
      </w:r>
    </w:p>
    <w:p w14:paraId="40E08E73" w14:textId="0F2A77C2" w:rsidR="00775928" w:rsidRDefault="00775928" w:rsidP="00775928">
      <w:pPr>
        <w:spacing w:after="0" w:line="240" w:lineRule="auto"/>
      </w:pPr>
      <w:r>
        <w:t>It is my privilege to provide this</w:t>
      </w:r>
      <w:r w:rsidRPr="007F315F">
        <w:t xml:space="preserve"> foreword for the Queensland State Archives’ </w:t>
      </w:r>
      <w:r w:rsidRPr="007F315F">
        <w:rPr>
          <w:i/>
        </w:rPr>
        <w:t>Guideline on Creating and Keeping Records for the Proactive Protection of Vulnerable Persons</w:t>
      </w:r>
      <w:r w:rsidRPr="007F315F">
        <w:t>.</w:t>
      </w:r>
      <w:r>
        <w:t xml:space="preserve"> </w:t>
      </w:r>
    </w:p>
    <w:p w14:paraId="15C0504F" w14:textId="51B26395" w:rsidR="00775928" w:rsidRDefault="00775928" w:rsidP="00775928">
      <w:pPr>
        <w:spacing w:after="0" w:line="240" w:lineRule="auto"/>
      </w:pPr>
      <w:r>
        <w:t xml:space="preserve">Throughout the Royal Commission into Institutional Response to Child Sexual Abuse (the Royal Commission), I heard first hand from many people with lived experience of institutional child sexual abuse about the associated impact recordkeeping had on their lives. </w:t>
      </w:r>
    </w:p>
    <w:p w14:paraId="574EF019" w14:textId="7AB17605" w:rsidR="00775928" w:rsidRDefault="00775928" w:rsidP="00775928">
      <w:pPr>
        <w:spacing w:after="0" w:line="240" w:lineRule="auto"/>
      </w:pPr>
      <w:r>
        <w:t xml:space="preserve">The past recordkeeping practices of many organisations failed the children in their care. For many institutions, records did not exist, were incomplete or were inaccurate and insensitive. Some records were deliberately destroyed or otherwise withheld from authorities. </w:t>
      </w:r>
    </w:p>
    <w:p w14:paraId="4CE600E7" w14:textId="05340894" w:rsidR="00775928" w:rsidRDefault="00775928" w:rsidP="00775928">
      <w:pPr>
        <w:spacing w:after="0" w:line="240" w:lineRule="auto"/>
      </w:pPr>
      <w:r>
        <w:t>It was common for an institution to approach recordkeeping from its own perspective, often to protect its reputation, its finances and its personnel.</w:t>
      </w:r>
    </w:p>
    <w:p w14:paraId="375D0B7E" w14:textId="77D314E0" w:rsidR="00775928" w:rsidRDefault="00775928" w:rsidP="00775928">
      <w:pPr>
        <w:spacing w:after="0" w:line="240" w:lineRule="auto"/>
      </w:pPr>
      <w:r w:rsidRPr="00AC1800">
        <w:t>We found during the Royal Commission that the impact of poor recordkeeping can add to the trauma associated with childhood abuse. We heard of the distress and frustration experienced when people received files about them that contained limited, inaccurate and inappropriate information.</w:t>
      </w:r>
    </w:p>
    <w:p w14:paraId="07A5C137" w14:textId="64498CFD" w:rsidR="00775928" w:rsidRDefault="00775928" w:rsidP="00775928">
      <w:pPr>
        <w:spacing w:after="0" w:line="240" w:lineRule="auto"/>
      </w:pPr>
      <w:r>
        <w:t xml:space="preserve">There is no doubt recordkeeping has greatly improved over the years. Contemporary organisations accept that recordkeeping is an important element of institutional leadership and culture as well as transparent and accountable governance. </w:t>
      </w:r>
    </w:p>
    <w:p w14:paraId="6B4A0562" w14:textId="77777777" w:rsidR="00775928" w:rsidRDefault="00775928" w:rsidP="00775928">
      <w:pPr>
        <w:spacing w:after="0" w:line="240" w:lineRule="auto"/>
      </w:pPr>
      <w:r>
        <w:t xml:space="preserve">Importantly, full, accurate and sensitive records have the potential to support people with lived experience and alleviate the lifelong impact of child sexual abuse. </w:t>
      </w:r>
    </w:p>
    <w:p w14:paraId="2BC44A73" w14:textId="3839CF89" w:rsidR="00775928" w:rsidRDefault="00775928" w:rsidP="00775928">
      <w:pPr>
        <w:spacing w:after="0" w:line="240" w:lineRule="auto"/>
      </w:pPr>
      <w:r>
        <w:t xml:space="preserve">I am grateful to the Queensland State Archives for producing this practical guide to assist Queensland public agencies in their recordkeeping responsibilities. </w:t>
      </w:r>
    </w:p>
    <w:p w14:paraId="67F370F5" w14:textId="0806824B" w:rsidR="00775928" w:rsidRDefault="00775928" w:rsidP="00775928">
      <w:pPr>
        <w:spacing w:after="0" w:line="240" w:lineRule="auto"/>
      </w:pPr>
      <w:r>
        <w:t>Queensland State Archives should be commended for placing the protection of children and vulnerable people at the core of its guidelines, and for raising the responsibilities of institutions to identify the risk of all forms abuse and respond appropriately when it does occur.</w:t>
      </w:r>
    </w:p>
    <w:p w14:paraId="45240DCC" w14:textId="77777777" w:rsidR="00775928" w:rsidRDefault="00775928" w:rsidP="00775928">
      <w:pPr>
        <w:spacing w:after="0" w:line="240" w:lineRule="auto"/>
      </w:pPr>
      <w:r>
        <w:t xml:space="preserve">My sincere thanks to all Queensland public agencies who will use this resource in the work you do. </w:t>
      </w:r>
    </w:p>
    <w:p w14:paraId="3D4ADB99" w14:textId="120D6BE2" w:rsidR="00775928" w:rsidRDefault="00775928" w:rsidP="00775928">
      <w:pPr>
        <w:spacing w:after="0" w:line="240" w:lineRule="auto"/>
      </w:pPr>
    </w:p>
    <w:p w14:paraId="29BEB1F6" w14:textId="77777777" w:rsidR="00027A41" w:rsidRDefault="00027A41">
      <w:pPr>
        <w:spacing w:before="0" w:after="0" w:line="240" w:lineRule="auto"/>
        <w:rPr>
          <w:b/>
          <w:color w:val="1A8859"/>
          <w:sz w:val="36"/>
          <w:szCs w:val="32"/>
        </w:rPr>
      </w:pPr>
      <w:bookmarkStart w:id="18" w:name="_Toc35249007"/>
      <w:r>
        <w:br w:type="page"/>
      </w:r>
    </w:p>
    <w:p w14:paraId="55E3D045" w14:textId="44F29804" w:rsidR="005C3FA2" w:rsidRPr="0059256C" w:rsidRDefault="005C3FA2" w:rsidP="0059256C">
      <w:pPr>
        <w:pStyle w:val="Heading1"/>
      </w:pPr>
      <w:r w:rsidRPr="0059256C">
        <w:lastRenderedPageBreak/>
        <w:t>Introduction</w:t>
      </w:r>
      <w:bookmarkEnd w:id="18"/>
    </w:p>
    <w:p w14:paraId="4D1FE2E4" w14:textId="77777777" w:rsidR="000B21B8" w:rsidRPr="0059256C" w:rsidRDefault="000B21B8" w:rsidP="0059256C">
      <w:pPr>
        <w:pStyle w:val="Heading2"/>
      </w:pPr>
      <w:bookmarkStart w:id="19" w:name="_Toc35249008"/>
      <w:r w:rsidRPr="0059256C">
        <w:t>Poor recordkeeping impacts vulnerable persons</w:t>
      </w:r>
      <w:bookmarkEnd w:id="19"/>
      <w:r w:rsidRPr="0059256C">
        <w:t xml:space="preserve"> </w:t>
      </w:r>
    </w:p>
    <w:p w14:paraId="36FEB55D" w14:textId="0E489A96" w:rsidR="005C3FA2" w:rsidRDefault="005C3FA2" w:rsidP="0059256C">
      <w:pPr>
        <w:spacing w:before="120" w:after="120"/>
      </w:pPr>
      <w:r w:rsidRPr="009C1D86">
        <w:t xml:space="preserve">The </w:t>
      </w:r>
      <w:r w:rsidRPr="00495A4C">
        <w:t>Royal Commission into Institutional Responses to Child Sexual Abuse</w:t>
      </w:r>
      <w:r>
        <w:rPr>
          <w:i/>
        </w:rPr>
        <w:t xml:space="preserve"> </w:t>
      </w:r>
      <w:r w:rsidRPr="00830203">
        <w:t>(</w:t>
      </w:r>
      <w:r>
        <w:t>RCIRCSA</w:t>
      </w:r>
      <w:r w:rsidRPr="00830203">
        <w:t>)</w:t>
      </w:r>
      <w:r>
        <w:rPr>
          <w:i/>
        </w:rPr>
        <w:t xml:space="preserve"> </w:t>
      </w:r>
      <w:r w:rsidRPr="008D3E74">
        <w:t>recognised</w:t>
      </w:r>
      <w:r>
        <w:t>:</w:t>
      </w:r>
    </w:p>
    <w:p w14:paraId="6480877A" w14:textId="77777777" w:rsidR="005C3FA2" w:rsidRDefault="005C3FA2" w:rsidP="0059256C">
      <w:pPr>
        <w:pStyle w:val="ListParagraph"/>
        <w:numPr>
          <w:ilvl w:val="0"/>
          <w:numId w:val="30"/>
        </w:numPr>
        <w:spacing w:before="120" w:after="120"/>
      </w:pPr>
      <w:r>
        <w:t>appropriate recordkeeping forms an important part of a public authority’s strategy to contribute to the proactive protection of children within our community</w:t>
      </w:r>
    </w:p>
    <w:p w14:paraId="31DA333B" w14:textId="77777777" w:rsidR="005C3FA2" w:rsidRDefault="005C3FA2" w:rsidP="0059256C">
      <w:pPr>
        <w:pStyle w:val="ListParagraph"/>
        <w:numPr>
          <w:ilvl w:val="0"/>
          <w:numId w:val="30"/>
        </w:numPr>
        <w:spacing w:before="120" w:after="120"/>
      </w:pPr>
      <w:r>
        <w:t xml:space="preserve">inadequate records and recordkeeping practices </w:t>
      </w:r>
      <w:r w:rsidRPr="00495A4C">
        <w:t>contribute to delays and failure</w:t>
      </w:r>
      <w:r>
        <w:t>s</w:t>
      </w:r>
      <w:r w:rsidRPr="00495A4C">
        <w:t xml:space="preserve"> to identify and respond to risks and incidents of child sexual abuse</w:t>
      </w:r>
      <w:r w:rsidRPr="009C1D86">
        <w:t>.</w:t>
      </w:r>
      <w:r>
        <w:t xml:space="preserve"> </w:t>
      </w:r>
    </w:p>
    <w:p w14:paraId="2EDAB429" w14:textId="69887A04" w:rsidR="00566C59" w:rsidRDefault="000945E9" w:rsidP="0059256C">
      <w:pPr>
        <w:spacing w:before="120" w:after="120"/>
      </w:pPr>
      <w:r>
        <w:t>In the context of the proactive protection of vulnerable persons, t</w:t>
      </w:r>
      <w:r w:rsidR="00566C59">
        <w:t>he creation of complete and reliable records is vital to:</w:t>
      </w:r>
    </w:p>
    <w:p w14:paraId="173E51A7" w14:textId="77777777" w:rsidR="00566C59" w:rsidRDefault="00566C59" w:rsidP="0059256C">
      <w:pPr>
        <w:pStyle w:val="ListParagraph"/>
        <w:numPr>
          <w:ilvl w:val="0"/>
          <w:numId w:val="30"/>
        </w:numPr>
        <w:spacing w:before="120" w:after="120"/>
      </w:pPr>
      <w:r>
        <w:t>identify risks of abuse and respond appropriately</w:t>
      </w:r>
    </w:p>
    <w:p w14:paraId="4CCF3574" w14:textId="77777777" w:rsidR="00566C59" w:rsidRDefault="00566C59" w:rsidP="0059256C">
      <w:pPr>
        <w:pStyle w:val="ListParagraph"/>
        <w:numPr>
          <w:ilvl w:val="0"/>
          <w:numId w:val="30"/>
        </w:numPr>
        <w:spacing w:before="120" w:after="120"/>
      </w:pPr>
      <w:r>
        <w:t>protect the rights and entitlements of victims and survivors of abuse.</w:t>
      </w:r>
    </w:p>
    <w:p w14:paraId="40BDEB54" w14:textId="77777777" w:rsidR="005C3FA2" w:rsidRDefault="005C3FA2" w:rsidP="0059256C">
      <w:pPr>
        <w:spacing w:before="120" w:after="120"/>
      </w:pPr>
      <w:bookmarkStart w:id="20" w:name="_Hlk23752891"/>
      <w:bookmarkStart w:id="21" w:name="_Hlk23752917"/>
      <w:r>
        <w:t>The RCIRCSA provided several standards to create child safe institutions. These can also apply in the broader context of proactive protection of vulnerable persons and generally highlight the need for a shared responsibility across a public authority. Considerations include:</w:t>
      </w:r>
    </w:p>
    <w:p w14:paraId="50F9D785" w14:textId="77777777" w:rsidR="005C3FA2" w:rsidRDefault="005C3FA2" w:rsidP="0059256C">
      <w:pPr>
        <w:pStyle w:val="ListParagraph"/>
        <w:numPr>
          <w:ilvl w:val="0"/>
          <w:numId w:val="30"/>
        </w:numPr>
        <w:spacing w:before="120" w:after="120"/>
      </w:pPr>
      <w:r>
        <w:t>proactive protection of vulnerable persons is embedded in public authority leadership, governance and culture</w:t>
      </w:r>
    </w:p>
    <w:p w14:paraId="1BCDF9A3" w14:textId="77777777" w:rsidR="005C3FA2" w:rsidRDefault="005C3FA2" w:rsidP="0059256C">
      <w:pPr>
        <w:pStyle w:val="ListParagraph"/>
        <w:numPr>
          <w:ilvl w:val="0"/>
          <w:numId w:val="30"/>
        </w:numPr>
        <w:spacing w:before="120" w:after="120"/>
      </w:pPr>
      <w:r>
        <w:t>physical and online environments minimise the opportunity of abuse to occur</w:t>
      </w:r>
    </w:p>
    <w:p w14:paraId="47EEA068" w14:textId="7796E83D" w:rsidR="005C3FA2" w:rsidRDefault="005C3FA2" w:rsidP="0059256C">
      <w:pPr>
        <w:pStyle w:val="ListParagraph"/>
        <w:numPr>
          <w:ilvl w:val="0"/>
          <w:numId w:val="30"/>
        </w:numPr>
        <w:spacing w:before="120" w:after="120"/>
      </w:pPr>
      <w:r>
        <w:t>policies and procedures document how the public authority manages the safety and wellbeing of vulnerable persons.</w:t>
      </w:r>
      <w:bookmarkEnd w:id="20"/>
    </w:p>
    <w:p w14:paraId="49F14D0C" w14:textId="77777777" w:rsidR="00CF7340" w:rsidRPr="0059256C" w:rsidRDefault="00CF7340" w:rsidP="0059256C">
      <w:pPr>
        <w:pStyle w:val="Heading1"/>
      </w:pPr>
      <w:bookmarkStart w:id="22" w:name="_Toc35249009"/>
      <w:r w:rsidRPr="0059256C">
        <w:t>Relationship to existing recordkeeping requirements</w:t>
      </w:r>
      <w:bookmarkEnd w:id="22"/>
    </w:p>
    <w:p w14:paraId="4AC3576B" w14:textId="64E9833C" w:rsidR="00985EC1" w:rsidRDefault="00CF7340" w:rsidP="0059256C">
      <w:pPr>
        <w:spacing w:before="120" w:after="120"/>
      </w:pPr>
      <w:r>
        <w:t xml:space="preserve">The advice outlined in this Guideline should be considered as an extension of your existing recordkeeping responsibilities under the </w:t>
      </w:r>
      <w:r>
        <w:rPr>
          <w:i/>
        </w:rPr>
        <w:t>Public Records Act 2002</w:t>
      </w:r>
      <w:r>
        <w:t xml:space="preserve"> – not a new set of requirements that your public authority is responsible for adhering to. </w:t>
      </w:r>
    </w:p>
    <w:p w14:paraId="49259682" w14:textId="70F787FF" w:rsidR="00CF7340" w:rsidRDefault="00CF7340" w:rsidP="0059256C">
      <w:pPr>
        <w:spacing w:before="120" w:after="120"/>
      </w:pPr>
      <w:r>
        <w:t xml:space="preserve">The advice in this Guideline is specific to recordkeeping considerations for the proactive protection of vulnerable </w:t>
      </w:r>
      <w:r w:rsidR="00985EC1">
        <w:t>persons but</w:t>
      </w:r>
      <w:r>
        <w:t xml:space="preserve"> could equally be applied to other business as usual activities carried ou</w:t>
      </w:r>
      <w:r w:rsidR="00985EC1">
        <w:t>t</w:t>
      </w:r>
      <w:r>
        <w:t xml:space="preserve"> by your public authority. For example:</w:t>
      </w:r>
    </w:p>
    <w:p w14:paraId="420BC834" w14:textId="77777777" w:rsidR="00CF7340" w:rsidRDefault="00CF7340" w:rsidP="0059256C">
      <w:pPr>
        <w:pStyle w:val="ListParagraph"/>
        <w:numPr>
          <w:ilvl w:val="0"/>
          <w:numId w:val="39"/>
        </w:numPr>
        <w:spacing w:before="120"/>
      </w:pPr>
      <w:r>
        <w:t>Your public authority will likely already have a risk management framework in place. This Guideline puts that risk framework into the context of interactions with vulnerable persons, and an assessment of the processes and recordkeeping considerations related to these interactions.</w:t>
      </w:r>
    </w:p>
    <w:p w14:paraId="590C3799" w14:textId="77777777" w:rsidR="00CF7340" w:rsidRDefault="00CF7340" w:rsidP="0059256C">
      <w:pPr>
        <w:pStyle w:val="ListParagraph"/>
        <w:numPr>
          <w:ilvl w:val="0"/>
          <w:numId w:val="39"/>
        </w:numPr>
        <w:spacing w:before="120"/>
      </w:pPr>
      <w:r>
        <w:t xml:space="preserve">Under the </w:t>
      </w:r>
      <w:r>
        <w:rPr>
          <w:i/>
        </w:rPr>
        <w:t>Public Records Act 2002</w:t>
      </w:r>
      <w:r>
        <w:t>, your public authority is responsible for ensuring digital records (e.g. records in business systems, CCTV etc.) remain able to be produced or made accessible for as long as they are required to be retained. Some of these digital records may already need to be retained for up to 120 years or even permanently. In the context of this Guideline, this may mean that certain digital records may need to be retained either on a long-term temporary basis (i.e. 100 years) or potentially permanently.</w:t>
      </w:r>
    </w:p>
    <w:p w14:paraId="44BDD813" w14:textId="004C25CA" w:rsidR="00CF7340" w:rsidRDefault="00CF7340" w:rsidP="0059256C">
      <w:pPr>
        <w:pStyle w:val="ListParagraph"/>
        <w:numPr>
          <w:ilvl w:val="0"/>
          <w:numId w:val="39"/>
        </w:numPr>
        <w:spacing w:before="120"/>
      </w:pPr>
      <w:r>
        <w:t>Most public authorities will already have processes in place for managing claims or investigations of abuse (whether physical, sexual or otherwise). This Guideline places this process within the context of interactions with vulnerable persons.</w:t>
      </w:r>
    </w:p>
    <w:p w14:paraId="42173588" w14:textId="17C69990" w:rsidR="00CF7340" w:rsidRDefault="00CF7340" w:rsidP="0059256C">
      <w:pPr>
        <w:pStyle w:val="ListParagraph"/>
        <w:numPr>
          <w:ilvl w:val="0"/>
          <w:numId w:val="39"/>
        </w:numPr>
        <w:spacing w:before="120" w:after="240"/>
        <w:ind w:left="714" w:hanging="357"/>
      </w:pPr>
      <w:r>
        <w:lastRenderedPageBreak/>
        <w:t xml:space="preserve">Many public authorities will deal with third-party service providers for various business functions. This Guideline recommends that you consider how records of interactions with vulnerable persons should be identified and incorporated into these arrangements. </w:t>
      </w:r>
    </w:p>
    <w:p w14:paraId="365789A9" w14:textId="194568E3" w:rsidR="0059256C" w:rsidRDefault="0059256C" w:rsidP="0059256C">
      <w:pPr>
        <w:pBdr>
          <w:top w:val="single" w:sz="4" w:space="1" w:color="auto"/>
          <w:left w:val="single" w:sz="4" w:space="4" w:color="auto"/>
          <w:bottom w:val="single" w:sz="4" w:space="1" w:color="auto"/>
          <w:right w:val="single" w:sz="4" w:space="4" w:color="auto"/>
        </w:pBdr>
        <w:shd w:val="clear" w:color="auto" w:fill="E2EFD9" w:themeFill="accent6" w:themeFillTint="33"/>
      </w:pPr>
      <w:r>
        <w:t xml:space="preserve">Separate to these specific recordkeeping requirements, it is important to note that records cannot be divorced from business processes and activities. Records are an element within </w:t>
      </w:r>
      <w:r w:rsidR="002C50A9">
        <w:t xml:space="preserve">a </w:t>
      </w:r>
      <w:r>
        <w:t xml:space="preserve">business process, not a standalone activity which happens in isolation. Recordkeeping is </w:t>
      </w:r>
      <w:r w:rsidR="00E160BE">
        <w:t xml:space="preserve">an organisational responsibility with </w:t>
      </w:r>
      <w:r>
        <w:t xml:space="preserve">the executive officer ultimately responsible under the </w:t>
      </w:r>
      <w:r w:rsidRPr="0059256C">
        <w:rPr>
          <w:i/>
        </w:rPr>
        <w:t>Public Records Act 2002</w:t>
      </w:r>
      <w:r>
        <w:t>.</w:t>
      </w:r>
    </w:p>
    <w:p w14:paraId="38FDECAC" w14:textId="16D57E98" w:rsidR="0059256C" w:rsidRDefault="0059256C" w:rsidP="0059256C">
      <w:pPr>
        <w:pBdr>
          <w:top w:val="single" w:sz="4" w:space="1" w:color="auto"/>
          <w:left w:val="single" w:sz="4" w:space="4" w:color="auto"/>
          <w:bottom w:val="single" w:sz="4" w:space="1" w:color="auto"/>
          <w:right w:val="single" w:sz="4" w:space="4" w:color="auto"/>
        </w:pBdr>
        <w:shd w:val="clear" w:color="auto" w:fill="E2EFD9" w:themeFill="accent6" w:themeFillTint="33"/>
      </w:pPr>
      <w:r>
        <w:t xml:space="preserve">Good recordkeeping ensures </w:t>
      </w:r>
      <w:r w:rsidRPr="0059256C">
        <w:rPr>
          <w:b/>
        </w:rPr>
        <w:t>all areas within a public authority</w:t>
      </w:r>
      <w:r>
        <w:t>, not just those with responsibility for records management, create cultures, adopt strategies and take action to prevent harm to vulnerable persons.</w:t>
      </w:r>
      <w:r w:rsidR="00E160BE">
        <w:t xml:space="preserve"> </w:t>
      </w:r>
    </w:p>
    <w:p w14:paraId="2E2C7C68" w14:textId="77777777" w:rsidR="00FC7556" w:rsidRPr="0059256C" w:rsidRDefault="00FC7556" w:rsidP="0059256C">
      <w:pPr>
        <w:pStyle w:val="Heading1"/>
      </w:pPr>
      <w:bookmarkStart w:id="23" w:name="_Toc35249010"/>
      <w:bookmarkEnd w:id="21"/>
      <w:r w:rsidRPr="0059256C">
        <w:t>Relationship to other legislative requirements</w:t>
      </w:r>
      <w:bookmarkEnd w:id="23"/>
    </w:p>
    <w:p w14:paraId="7BAD6597" w14:textId="3B960FEF" w:rsidR="00FC7556" w:rsidRDefault="00FC7556" w:rsidP="0059256C">
      <w:pPr>
        <w:spacing w:before="120" w:after="120"/>
      </w:pPr>
      <w:r>
        <w:t xml:space="preserve">In addition to the recordkeeping obligations established by the </w:t>
      </w:r>
      <w:r>
        <w:rPr>
          <w:i/>
        </w:rPr>
        <w:t>Public Records Act 2002</w:t>
      </w:r>
      <w:r>
        <w:t xml:space="preserve">, public authorities need to be aware of other legislative requirements for making and keeping records in the context of interactions with vulnerable persons. These include, but are not limited to: </w:t>
      </w:r>
    </w:p>
    <w:p w14:paraId="461F3A75" w14:textId="77777777" w:rsidR="00FC7556" w:rsidRPr="00FC7556" w:rsidRDefault="00FC7556" w:rsidP="0059256C">
      <w:pPr>
        <w:pStyle w:val="ListParagraph"/>
        <w:numPr>
          <w:ilvl w:val="0"/>
          <w:numId w:val="40"/>
        </w:numPr>
        <w:spacing w:before="120" w:after="120"/>
        <w:rPr>
          <w:i/>
          <w:iCs/>
        </w:rPr>
      </w:pPr>
      <w:r w:rsidRPr="00FC7556">
        <w:rPr>
          <w:i/>
          <w:iCs/>
        </w:rPr>
        <w:t>Civil Liability and Other Legislation Amendment Act 2019 (CLOLA)</w:t>
      </w:r>
    </w:p>
    <w:p w14:paraId="371263DC" w14:textId="77777777" w:rsidR="00FC7556" w:rsidRPr="00FC7556" w:rsidRDefault="00FC7556" w:rsidP="0059256C">
      <w:pPr>
        <w:pStyle w:val="ListParagraph"/>
        <w:numPr>
          <w:ilvl w:val="0"/>
          <w:numId w:val="40"/>
        </w:numPr>
        <w:spacing w:before="120" w:after="120"/>
        <w:rPr>
          <w:i/>
          <w:iCs/>
        </w:rPr>
      </w:pPr>
      <w:r w:rsidRPr="00FC7556">
        <w:rPr>
          <w:i/>
          <w:iCs/>
        </w:rPr>
        <w:t>Limitation of Actions (Child Sexual Abuse) and Other Legislation Amendment Act 2016</w:t>
      </w:r>
    </w:p>
    <w:p w14:paraId="578DC217" w14:textId="76038ACD" w:rsidR="00FC7556" w:rsidRDefault="00FC7556" w:rsidP="0059256C">
      <w:pPr>
        <w:pStyle w:val="ListParagraph"/>
        <w:numPr>
          <w:ilvl w:val="0"/>
          <w:numId w:val="40"/>
        </w:numPr>
        <w:spacing w:before="120" w:after="120"/>
        <w:rPr>
          <w:i/>
          <w:iCs/>
        </w:rPr>
      </w:pPr>
      <w:r w:rsidRPr="00FC7556">
        <w:rPr>
          <w:i/>
          <w:iCs/>
        </w:rPr>
        <w:t>Human Rights Act 2019</w:t>
      </w:r>
      <w:r w:rsidR="00A97E88">
        <w:rPr>
          <w:i/>
          <w:iCs/>
        </w:rPr>
        <w:t>.</w:t>
      </w:r>
    </w:p>
    <w:p w14:paraId="00F0CA45" w14:textId="1766548E" w:rsidR="00A97E88" w:rsidRPr="00A97E88" w:rsidRDefault="00A97E88" w:rsidP="0059256C">
      <w:pPr>
        <w:spacing w:before="120" w:after="120"/>
      </w:pPr>
      <w:r>
        <w:t xml:space="preserve">Further to these requirements, each public authority will likely have their own unique legislative and statutory obligations in relation to ensuring all reasonable care is taken for the safety and wellbeing of persons in their care and those they interact with. This Guideline is not intended to replace these existing </w:t>
      </w:r>
      <w:r w:rsidR="00646013">
        <w:t>obligations but</w:t>
      </w:r>
      <w:r>
        <w:t xml:space="preserve"> is designed to complement them and provide supporting advice from </w:t>
      </w:r>
      <w:r w:rsidR="002C50A9">
        <w:t>a</w:t>
      </w:r>
      <w:r>
        <w:t xml:space="preserve"> recordkeeping perspective. </w:t>
      </w:r>
    </w:p>
    <w:p w14:paraId="1D4BCC9F" w14:textId="183ECFDD" w:rsidR="005C3FA2" w:rsidRPr="0059256C" w:rsidRDefault="005C3FA2" w:rsidP="0059256C">
      <w:pPr>
        <w:pStyle w:val="Heading1"/>
      </w:pPr>
      <w:bookmarkStart w:id="24" w:name="_Toc35249011"/>
      <w:r w:rsidRPr="0059256C">
        <w:t>Purpose</w:t>
      </w:r>
      <w:bookmarkEnd w:id="24"/>
    </w:p>
    <w:p w14:paraId="7FF5ABED" w14:textId="77777777" w:rsidR="005C3FA2" w:rsidRDefault="005C3FA2" w:rsidP="0059256C">
      <w:pPr>
        <w:spacing w:before="120" w:after="120"/>
      </w:pPr>
      <w:r>
        <w:t>The purpose of this Guideline is to:</w:t>
      </w:r>
    </w:p>
    <w:p w14:paraId="0ED19DD5" w14:textId="77777777" w:rsidR="005C3FA2" w:rsidRDefault="005C3FA2" w:rsidP="0059256C">
      <w:pPr>
        <w:pStyle w:val="ListParagraph"/>
        <w:numPr>
          <w:ilvl w:val="0"/>
          <w:numId w:val="5"/>
        </w:numPr>
        <w:spacing w:before="120"/>
        <w:ind w:left="714" w:hanging="357"/>
        <w:rPr>
          <w:rFonts w:eastAsia="Times New Roman" w:cs="Times New Roman"/>
          <w:szCs w:val="24"/>
        </w:rPr>
      </w:pPr>
      <w:r>
        <w:rPr>
          <w:rFonts w:eastAsia="Times New Roman" w:cs="Times New Roman"/>
          <w:szCs w:val="24"/>
        </w:rPr>
        <w:t>contribute to the proactive protection of vulnerable persons</w:t>
      </w:r>
    </w:p>
    <w:p w14:paraId="23622B0E" w14:textId="2BCF16B2" w:rsidR="005C3FA2" w:rsidRPr="0079044B" w:rsidRDefault="005C3FA2" w:rsidP="0059256C">
      <w:pPr>
        <w:pStyle w:val="ListParagraph"/>
        <w:numPr>
          <w:ilvl w:val="0"/>
          <w:numId w:val="5"/>
        </w:numPr>
        <w:spacing w:before="120"/>
        <w:ind w:left="714" w:hanging="357"/>
        <w:rPr>
          <w:rFonts w:eastAsia="Times New Roman" w:cs="Times New Roman"/>
          <w:szCs w:val="24"/>
        </w:rPr>
      </w:pPr>
      <w:r w:rsidRPr="0079044B">
        <w:rPr>
          <w:rFonts w:eastAsia="Times New Roman" w:cs="Times New Roman"/>
          <w:szCs w:val="24"/>
        </w:rPr>
        <w:t xml:space="preserve">support disposal authorisations </w:t>
      </w:r>
      <w:r>
        <w:rPr>
          <w:rFonts w:eastAsia="Times New Roman" w:cs="Times New Roman"/>
          <w:szCs w:val="24"/>
        </w:rPr>
        <w:t xml:space="preserve">granted under the General Retention and Disposal Schedule (GRDS) described as, </w:t>
      </w:r>
      <w:r w:rsidRPr="00495A4C">
        <w:rPr>
          <w:rFonts w:eastAsia="Times New Roman" w:cs="Times New Roman"/>
          <w:i/>
          <w:szCs w:val="24"/>
        </w:rPr>
        <w:t>proactive protection of vulnerable persons – relevant records</w:t>
      </w:r>
    </w:p>
    <w:p w14:paraId="081A8916" w14:textId="77777777" w:rsidR="005C3FA2" w:rsidRPr="00EA5BFA" w:rsidRDefault="005C3FA2" w:rsidP="0059256C">
      <w:pPr>
        <w:pStyle w:val="ListParagraph"/>
        <w:numPr>
          <w:ilvl w:val="0"/>
          <w:numId w:val="5"/>
        </w:numPr>
        <w:spacing w:before="60"/>
        <w:ind w:left="714" w:hanging="357"/>
        <w:rPr>
          <w:rFonts w:eastAsia="Times New Roman" w:cs="Times New Roman"/>
          <w:szCs w:val="24"/>
        </w:rPr>
      </w:pPr>
      <w:r>
        <w:rPr>
          <w:rFonts w:eastAsia="Times New Roman"/>
          <w:sz w:val="23"/>
          <w:szCs w:val="23"/>
          <w:lang w:eastAsia="en-AU"/>
        </w:rPr>
        <w:t>guide public authorities in the identification of records that may provide corroborating evidence of contact with vulnerable persons in support of an incident, allegation, disclosure and investigation of abuse</w:t>
      </w:r>
    </w:p>
    <w:p w14:paraId="7D09D207" w14:textId="50F3B147" w:rsidR="005C3FA2" w:rsidRDefault="005C3FA2" w:rsidP="0059256C">
      <w:pPr>
        <w:pStyle w:val="ListParagraph"/>
        <w:numPr>
          <w:ilvl w:val="0"/>
          <w:numId w:val="5"/>
        </w:numPr>
        <w:spacing w:before="60"/>
        <w:ind w:left="714" w:hanging="357"/>
      </w:pPr>
      <w:r>
        <w:t xml:space="preserve">accept recommendations </w:t>
      </w:r>
      <w:r w:rsidRPr="00FD77A7">
        <w:t>8.1</w:t>
      </w:r>
      <w:r>
        <w:t xml:space="preserve"> (and provide a </w:t>
      </w:r>
      <w:r w:rsidR="00BB0376">
        <w:t>practical</w:t>
      </w:r>
      <w:r>
        <w:t xml:space="preserve"> response for recommendations 8.2 to 8.4) from the </w:t>
      </w:r>
      <w:hyperlink r:id="rId16" w:history="1">
        <w:r w:rsidRPr="004731CF">
          <w:rPr>
            <w:rStyle w:val="Hyperlink"/>
          </w:rPr>
          <w:t>Final Report, Volume 8: Recordkeeping and Information Sharing</w:t>
        </w:r>
      </w:hyperlink>
      <w:r>
        <w:t xml:space="preserve"> of the RCIRCSA</w:t>
      </w:r>
    </w:p>
    <w:p w14:paraId="6C0C187C" w14:textId="77777777" w:rsidR="00232B9F" w:rsidRPr="00985EC1" w:rsidRDefault="005C3FA2" w:rsidP="0059256C">
      <w:pPr>
        <w:pStyle w:val="ListParagraph"/>
        <w:numPr>
          <w:ilvl w:val="0"/>
          <w:numId w:val="5"/>
        </w:numPr>
        <w:spacing w:before="60" w:after="120"/>
        <w:ind w:left="714" w:hanging="357"/>
      </w:pPr>
      <w:r>
        <w:t xml:space="preserve">provide coverage for relevant records relating to the terms of reference for the </w:t>
      </w:r>
      <w:r w:rsidRPr="00D32EBE">
        <w:rPr>
          <w:i/>
          <w:iCs/>
        </w:rPr>
        <w:t xml:space="preserve">Royal Commission </w:t>
      </w:r>
      <w:r w:rsidRPr="00784426">
        <w:rPr>
          <w:i/>
          <w:lang w:eastAsia="en-AU"/>
        </w:rPr>
        <w:t xml:space="preserve">into Violence, Abuse, Neglect and Exploitation of People with Disability </w:t>
      </w:r>
      <w:r w:rsidRPr="00784426">
        <w:rPr>
          <w:lang w:eastAsia="en-AU"/>
        </w:rPr>
        <w:t>and</w:t>
      </w:r>
      <w:r w:rsidRPr="00784426">
        <w:rPr>
          <w:i/>
          <w:lang w:eastAsia="en-AU"/>
        </w:rPr>
        <w:t xml:space="preserve"> </w:t>
      </w:r>
      <w:r w:rsidRPr="00784426">
        <w:rPr>
          <w:lang w:eastAsia="en-AU"/>
        </w:rPr>
        <w:t>the</w:t>
      </w:r>
      <w:r w:rsidRPr="00784426">
        <w:rPr>
          <w:i/>
          <w:lang w:eastAsia="en-AU"/>
        </w:rPr>
        <w:t xml:space="preserve"> Royal Commission into Aged Care Quality and Safety</w:t>
      </w:r>
    </w:p>
    <w:p w14:paraId="7CCB49DB" w14:textId="14ED5DA2" w:rsidR="005C3FA2" w:rsidRPr="001E254B" w:rsidRDefault="00232B9F" w:rsidP="0059256C">
      <w:pPr>
        <w:pStyle w:val="ListParagraph"/>
        <w:numPr>
          <w:ilvl w:val="0"/>
          <w:numId w:val="5"/>
        </w:numPr>
        <w:spacing w:before="60" w:after="120"/>
        <w:ind w:left="714" w:hanging="357"/>
      </w:pPr>
      <w:r>
        <w:rPr>
          <w:lang w:eastAsia="en-AU"/>
        </w:rPr>
        <w:t xml:space="preserve">provide guidance </w:t>
      </w:r>
      <w:r w:rsidR="00A675F1">
        <w:rPr>
          <w:lang w:eastAsia="en-AU"/>
        </w:rPr>
        <w:t>that assists</w:t>
      </w:r>
      <w:r>
        <w:rPr>
          <w:lang w:eastAsia="en-AU"/>
        </w:rPr>
        <w:t xml:space="preserve"> public authorities implement broader whole-of-government initiatives related to the protection of vulnerable persons</w:t>
      </w:r>
      <w:r w:rsidR="000D71A4">
        <w:rPr>
          <w:lang w:eastAsia="en-AU"/>
        </w:rPr>
        <w:t>.</w:t>
      </w:r>
    </w:p>
    <w:p w14:paraId="1DDD4561" w14:textId="77777777" w:rsidR="005C3FA2" w:rsidRPr="0059256C" w:rsidRDefault="005C3FA2" w:rsidP="0059256C">
      <w:pPr>
        <w:pStyle w:val="Heading1"/>
      </w:pPr>
      <w:bookmarkStart w:id="25" w:name="_Toc35249012"/>
      <w:bookmarkStart w:id="26" w:name="_Hlk31890395"/>
      <w:r w:rsidRPr="0059256C">
        <w:lastRenderedPageBreak/>
        <w:t>Definitions</w:t>
      </w:r>
      <w:bookmarkEnd w:id="25"/>
    </w:p>
    <w:p w14:paraId="4CBB6697" w14:textId="77777777" w:rsidR="005C3FA2" w:rsidRPr="0083286E" w:rsidRDefault="005C3FA2" w:rsidP="0059256C">
      <w:r>
        <w:t>The Department of Social Service defines vulnerable persons as:</w:t>
      </w:r>
    </w:p>
    <w:p w14:paraId="4C5B8C37" w14:textId="77777777" w:rsidR="005C3FA2" w:rsidRPr="00D055A1" w:rsidRDefault="005C3FA2" w:rsidP="0059256C">
      <w:pPr>
        <w:spacing w:before="120" w:after="120"/>
        <w:rPr>
          <w:u w:val="single"/>
        </w:rPr>
      </w:pPr>
      <w:r w:rsidRPr="00D055A1">
        <w:rPr>
          <w:u w:val="single"/>
        </w:rPr>
        <w:t xml:space="preserve">Vulnerable Persons: </w:t>
      </w:r>
    </w:p>
    <w:p w14:paraId="6F1F0041" w14:textId="77777777" w:rsidR="005C3FA2" w:rsidRPr="002F1B24" w:rsidRDefault="005C3FA2" w:rsidP="0059256C">
      <w:pPr>
        <w:pStyle w:val="ListParagraph"/>
        <w:numPr>
          <w:ilvl w:val="0"/>
          <w:numId w:val="27"/>
        </w:numPr>
        <w:spacing w:before="120" w:after="120"/>
      </w:pPr>
      <w:r w:rsidRPr="002F1B24">
        <w:t>a Child or Children; or</w:t>
      </w:r>
    </w:p>
    <w:p w14:paraId="1359BB7F" w14:textId="2DDD78BC" w:rsidR="005C3FA2" w:rsidRPr="002F1B24" w:rsidRDefault="005C3FA2" w:rsidP="0059256C">
      <w:pPr>
        <w:pStyle w:val="ListParagraph"/>
        <w:numPr>
          <w:ilvl w:val="0"/>
          <w:numId w:val="27"/>
        </w:numPr>
        <w:spacing w:before="120" w:after="120"/>
      </w:pPr>
      <w:r w:rsidRPr="002F1B24">
        <w:t>an individual aged 18 years and above who is or may be unable to take care of themselves or is unable to protect themselves against harm or exploitation by reason of age, illness, trauma or disability, or any other reason.</w:t>
      </w:r>
      <w:r w:rsidR="00C976C8">
        <w:rPr>
          <w:rStyle w:val="FootnoteReference"/>
        </w:rPr>
        <w:footnoteReference w:id="1"/>
      </w:r>
    </w:p>
    <w:p w14:paraId="747AB09B" w14:textId="77777777" w:rsidR="005C3FA2" w:rsidRPr="00D055A1" w:rsidRDefault="005C3FA2" w:rsidP="0059256C">
      <w:pPr>
        <w:spacing w:before="120" w:after="120"/>
        <w:rPr>
          <w:u w:val="single"/>
        </w:rPr>
      </w:pPr>
      <w:r w:rsidRPr="00D055A1">
        <w:rPr>
          <w:u w:val="single"/>
        </w:rPr>
        <w:t>Abuse</w:t>
      </w:r>
    </w:p>
    <w:p w14:paraId="21D6105D" w14:textId="61E2FED5" w:rsidR="005C3FA2" w:rsidRPr="002F1B24" w:rsidRDefault="005C3FA2" w:rsidP="0059256C">
      <w:pPr>
        <w:spacing w:before="120" w:after="120"/>
      </w:pPr>
      <w:r w:rsidRPr="002F1B24">
        <w:t xml:space="preserve">There are multiple forms of abuse including, but not limited to, child sexual abuse, sexual abuse, physical abuse, </w:t>
      </w:r>
      <w:r w:rsidR="00C976C8">
        <w:t>psychological abuse perpetrated in connection with sexual abuse or serio</w:t>
      </w:r>
      <w:r w:rsidR="00985EC1">
        <w:t>u</w:t>
      </w:r>
      <w:r w:rsidR="00C976C8">
        <w:t xml:space="preserve">s physical abuse, </w:t>
      </w:r>
      <w:r w:rsidRPr="002F1B24">
        <w:t xml:space="preserve">emotional abuse, </w:t>
      </w:r>
      <w:r w:rsidR="00F7548C">
        <w:t>elder</w:t>
      </w:r>
      <w:r w:rsidRPr="002F1B24">
        <w:t xml:space="preserve"> abuse, financial abuse. Public authorities </w:t>
      </w:r>
      <w:r>
        <w:t>must</w:t>
      </w:r>
      <w:r w:rsidRPr="002F1B24">
        <w:t xml:space="preserve"> refer to the appropriate </w:t>
      </w:r>
      <w:r>
        <w:t>entity</w:t>
      </w:r>
      <w:r w:rsidRPr="002F1B24">
        <w:t xml:space="preserve"> for relevant definition</w:t>
      </w:r>
      <w:r>
        <w:t>s</w:t>
      </w:r>
      <w:r w:rsidRPr="002F1B24">
        <w:t xml:space="preserve">. For example: </w:t>
      </w:r>
    </w:p>
    <w:p w14:paraId="0D7D8661" w14:textId="77777777" w:rsidR="00C976C8" w:rsidRDefault="005C3FA2" w:rsidP="0059256C">
      <w:pPr>
        <w:spacing w:before="120" w:after="120"/>
        <w:rPr>
          <w:rFonts w:eastAsia="Times New Roman" w:cs="Times New Roman"/>
        </w:rPr>
      </w:pPr>
      <w:r w:rsidRPr="00D055A1">
        <w:t>Child</w:t>
      </w:r>
      <w:r w:rsidRPr="00D055A1">
        <w:rPr>
          <w:rFonts w:eastAsia="Times New Roman" w:cs="Times New Roman"/>
        </w:rPr>
        <w:t xml:space="preserve"> sexual abuse – an appropriate definition may be sourced from</w:t>
      </w:r>
      <w:r w:rsidR="00C976C8">
        <w:rPr>
          <w:rFonts w:eastAsia="Times New Roman" w:cs="Times New Roman"/>
        </w:rPr>
        <w:t>:</w:t>
      </w:r>
    </w:p>
    <w:p w14:paraId="1E5F0099" w14:textId="3B181B96" w:rsidR="00C976C8" w:rsidRDefault="005C3FA2" w:rsidP="0059256C">
      <w:pPr>
        <w:pStyle w:val="ListParagraph"/>
        <w:numPr>
          <w:ilvl w:val="0"/>
          <w:numId w:val="35"/>
        </w:numPr>
        <w:spacing w:before="120" w:after="120"/>
        <w:rPr>
          <w:rFonts w:eastAsia="Times New Roman" w:cs="Times New Roman"/>
          <w:i/>
        </w:rPr>
      </w:pPr>
      <w:r w:rsidRPr="00BA7D24">
        <w:rPr>
          <w:rFonts w:eastAsia="Times New Roman" w:cs="Times New Roman"/>
        </w:rPr>
        <w:t xml:space="preserve"> the </w:t>
      </w:r>
      <w:r w:rsidR="007E1BF9">
        <w:rPr>
          <w:rFonts w:eastAsia="Times New Roman" w:cs="Times New Roman"/>
          <w:i/>
        </w:rPr>
        <w:t>RCIRCSA</w:t>
      </w:r>
      <w:r w:rsidR="00C55317">
        <w:rPr>
          <w:rStyle w:val="FootnoteReference"/>
          <w:rFonts w:eastAsia="Times New Roman" w:cs="Times New Roman"/>
          <w:i/>
        </w:rPr>
        <w:footnoteReference w:id="2"/>
      </w:r>
    </w:p>
    <w:p w14:paraId="2C3E828C" w14:textId="61CAEAD8" w:rsidR="005C3FA2" w:rsidRPr="00BA7D24" w:rsidRDefault="00C976C8" w:rsidP="0059256C">
      <w:pPr>
        <w:pStyle w:val="ListParagraph"/>
        <w:numPr>
          <w:ilvl w:val="0"/>
          <w:numId w:val="35"/>
        </w:numPr>
        <w:spacing w:before="120" w:after="120"/>
        <w:rPr>
          <w:rFonts w:eastAsia="Times New Roman" w:cs="Times New Roman"/>
          <w:i/>
        </w:rPr>
      </w:pPr>
      <w:r>
        <w:rPr>
          <w:i/>
          <w:iCs/>
        </w:rPr>
        <w:t xml:space="preserve">Civil Liability and Other Legislation Amendment Act 2019 </w:t>
      </w:r>
      <w:r>
        <w:t>(CLOLA)</w:t>
      </w:r>
    </w:p>
    <w:p w14:paraId="752308A0" w14:textId="2A16F57F" w:rsidR="005C3FA2" w:rsidRDefault="005C3FA2" w:rsidP="0059256C">
      <w:pPr>
        <w:spacing w:before="120" w:after="120"/>
        <w:rPr>
          <w:rFonts w:eastAsia="Times New Roman" w:cs="Times New Roman"/>
          <w:i/>
        </w:rPr>
      </w:pPr>
      <w:r w:rsidRPr="00D055A1">
        <w:t>People</w:t>
      </w:r>
      <w:r w:rsidRPr="005D4852">
        <w:rPr>
          <w:rFonts w:eastAsia="Times New Roman" w:cs="Times New Roman"/>
          <w:color w:val="7030A0"/>
        </w:rPr>
        <w:t xml:space="preserve"> </w:t>
      </w:r>
      <w:r w:rsidRPr="00D055A1">
        <w:rPr>
          <w:rFonts w:eastAsia="Times New Roman" w:cs="Times New Roman"/>
        </w:rPr>
        <w:t xml:space="preserve">with disability – an appropriate definition may be sourced from the </w:t>
      </w:r>
      <w:r w:rsidRPr="00D055A1">
        <w:rPr>
          <w:rFonts w:eastAsia="Times New Roman" w:cs="Times New Roman"/>
          <w:i/>
        </w:rPr>
        <w:t>Royal Commission into Violence, Abuse, Neglect and Exploitation of People with Disability</w:t>
      </w:r>
      <w:r w:rsidR="00C55317">
        <w:rPr>
          <w:rStyle w:val="FootnoteReference"/>
          <w:rFonts w:eastAsia="Times New Roman" w:cs="Times New Roman"/>
          <w:i/>
        </w:rPr>
        <w:footnoteReference w:id="3"/>
      </w:r>
      <w:r>
        <w:rPr>
          <w:rFonts w:eastAsia="Times New Roman" w:cs="Times New Roman"/>
          <w:i/>
        </w:rPr>
        <w:t>.</w:t>
      </w:r>
    </w:p>
    <w:p w14:paraId="2BAFF77D" w14:textId="061613A2" w:rsidR="00F7548C" w:rsidRPr="005D4852" w:rsidRDefault="00F7548C" w:rsidP="0059256C">
      <w:pPr>
        <w:spacing w:before="120" w:after="120"/>
        <w:rPr>
          <w:color w:val="7030A0"/>
        </w:rPr>
      </w:pPr>
      <w:r w:rsidRPr="00F7548C">
        <w:t>Elder abuse</w:t>
      </w:r>
      <w:r>
        <w:rPr>
          <w:rFonts w:eastAsia="Times New Roman" w:cs="Times New Roman"/>
          <w:i/>
        </w:rPr>
        <w:t xml:space="preserve"> – </w:t>
      </w:r>
      <w:r w:rsidRPr="00F7548C">
        <w:rPr>
          <w:rFonts w:eastAsia="Times New Roman" w:cs="Times New Roman"/>
        </w:rPr>
        <w:t>an appropriate definition may be sourced from the</w:t>
      </w:r>
      <w:r>
        <w:rPr>
          <w:rFonts w:eastAsia="Times New Roman" w:cs="Times New Roman"/>
          <w:i/>
        </w:rPr>
        <w:t xml:space="preserve"> </w:t>
      </w:r>
      <w:r w:rsidRPr="00F7548C">
        <w:rPr>
          <w:rFonts w:eastAsia="Times New Roman" w:cs="Times New Roman"/>
          <w:i/>
        </w:rPr>
        <w:t>World Health Organization, The Toronto Declaration on the Global Prevention of Elder Abus</w:t>
      </w:r>
      <w:r>
        <w:rPr>
          <w:rFonts w:eastAsia="Times New Roman" w:cs="Times New Roman"/>
          <w:i/>
        </w:rPr>
        <w:t>e.</w:t>
      </w:r>
      <w:r>
        <w:rPr>
          <w:rStyle w:val="FootnoteReference"/>
          <w:rFonts w:eastAsia="Times New Roman" w:cs="Times New Roman"/>
          <w:i/>
        </w:rPr>
        <w:footnoteReference w:id="4"/>
      </w:r>
    </w:p>
    <w:p w14:paraId="5C0EE52C" w14:textId="77777777" w:rsidR="005C3FA2" w:rsidRPr="0059256C" w:rsidRDefault="005C3FA2" w:rsidP="0059256C">
      <w:pPr>
        <w:pStyle w:val="Heading1"/>
      </w:pPr>
      <w:bookmarkStart w:id="27" w:name="_Toc35249013"/>
      <w:bookmarkEnd w:id="26"/>
      <w:r w:rsidRPr="0059256C">
        <w:t>Scope and related documents</w:t>
      </w:r>
      <w:bookmarkEnd w:id="27"/>
    </w:p>
    <w:p w14:paraId="427ABD59" w14:textId="55EE1FF7" w:rsidR="005C3FA2" w:rsidRDefault="005C3FA2" w:rsidP="0059256C">
      <w:pPr>
        <w:spacing w:before="120" w:after="120"/>
      </w:pPr>
      <w:r>
        <w:t xml:space="preserve">This guideline is aimed at </w:t>
      </w:r>
      <w:r w:rsidRPr="005721BA">
        <w:rPr>
          <w:b/>
          <w:i/>
        </w:rPr>
        <w:t>all</w:t>
      </w:r>
      <w:r w:rsidRPr="005721BA">
        <w:rPr>
          <w:b/>
        </w:rPr>
        <w:t xml:space="preserve"> </w:t>
      </w:r>
      <w:r>
        <w:t xml:space="preserve">Queensland public authorities. </w:t>
      </w:r>
      <w:r w:rsidR="00D32EBE">
        <w:t>It includes</w:t>
      </w:r>
      <w:r>
        <w:t xml:space="preserve">: </w:t>
      </w:r>
    </w:p>
    <w:p w14:paraId="79BEDC8A" w14:textId="77777777" w:rsidR="005C3FA2" w:rsidRDefault="005C3FA2" w:rsidP="0059256C">
      <w:pPr>
        <w:pStyle w:val="ListParagraph"/>
        <w:numPr>
          <w:ilvl w:val="0"/>
          <w:numId w:val="6"/>
        </w:numPr>
        <w:spacing w:before="120"/>
        <w:ind w:left="714" w:hanging="357"/>
      </w:pPr>
      <w:r>
        <w:t xml:space="preserve">departments, local governments, statutory authorities and bodies, universities, Ministers, Assistant Ministers, courts and Government Owned Corporations </w:t>
      </w:r>
    </w:p>
    <w:p w14:paraId="2A1F98D7" w14:textId="77777777" w:rsidR="005C3FA2" w:rsidRDefault="005C3FA2" w:rsidP="0059256C">
      <w:pPr>
        <w:pStyle w:val="ListParagraph"/>
        <w:numPr>
          <w:ilvl w:val="0"/>
          <w:numId w:val="6"/>
        </w:numPr>
        <w:spacing w:before="120"/>
        <w:ind w:left="714" w:hanging="357"/>
      </w:pPr>
      <w:r>
        <w:t>entities</w:t>
      </w:r>
      <w:r w:rsidRPr="00D0210D">
        <w:t xml:space="preserve"> that provide services to vulnerable persons as a core function and public authorities that deliver services to a client base that includes vulnerable persons</w:t>
      </w:r>
    </w:p>
    <w:p w14:paraId="19372994" w14:textId="77777777" w:rsidR="005C3FA2" w:rsidRDefault="005C3FA2" w:rsidP="0059256C">
      <w:pPr>
        <w:pStyle w:val="ListParagraph"/>
        <w:numPr>
          <w:ilvl w:val="0"/>
          <w:numId w:val="6"/>
        </w:numPr>
        <w:spacing w:before="120"/>
        <w:ind w:left="714" w:hanging="357"/>
      </w:pPr>
      <w:r>
        <w:t xml:space="preserve">entities </w:t>
      </w:r>
      <w:r w:rsidRPr="008803BF">
        <w:t>that provide, or have at any time provided, activities, facilities, programs or services of any kind that provide the means through which staff have contact with vulnerable persons</w:t>
      </w:r>
    </w:p>
    <w:p w14:paraId="7442D274" w14:textId="77777777" w:rsidR="005C3FA2" w:rsidRDefault="005C3FA2" w:rsidP="0059256C">
      <w:pPr>
        <w:pStyle w:val="ListParagraph"/>
        <w:numPr>
          <w:ilvl w:val="0"/>
          <w:numId w:val="6"/>
        </w:numPr>
        <w:spacing w:before="120"/>
        <w:ind w:left="714" w:hanging="357"/>
      </w:pPr>
      <w:r w:rsidRPr="00D0210D">
        <w:t>paid staff, volunteers, visitors, contractors and outsourcing arrangements.</w:t>
      </w:r>
    </w:p>
    <w:p w14:paraId="4290951E" w14:textId="10A08490" w:rsidR="005C3FA2" w:rsidRDefault="005C3FA2" w:rsidP="0059256C">
      <w:pPr>
        <w:spacing w:before="120" w:after="120"/>
      </w:pPr>
      <w:r>
        <w:t xml:space="preserve">This guideline accompanies the statutory disposal authorisations approved by the State Archivist in the GRDS </w:t>
      </w:r>
      <w:r w:rsidR="004742A2">
        <w:t>1558</w:t>
      </w:r>
      <w:r w:rsidRPr="00D94AAA">
        <w:t xml:space="preserve">, </w:t>
      </w:r>
      <w:r w:rsidR="004742A2">
        <w:t>1559</w:t>
      </w:r>
      <w:r>
        <w:t xml:space="preserve"> and </w:t>
      </w:r>
      <w:r w:rsidR="004742A2">
        <w:t>1560</w:t>
      </w:r>
      <w:r>
        <w:t xml:space="preserve">  and should be read in conjunction with the </w:t>
      </w:r>
      <w:hyperlink r:id="rId17" w:history="1">
        <w:r w:rsidRPr="00C70EC0">
          <w:rPr>
            <w:rStyle w:val="Hyperlink"/>
          </w:rPr>
          <w:t>Records Governance Policy</w:t>
        </w:r>
      </w:hyperlink>
      <w:r>
        <w:t xml:space="preserve">. </w:t>
      </w:r>
    </w:p>
    <w:p w14:paraId="3FB565CF" w14:textId="77777777" w:rsidR="005C3FA2" w:rsidRPr="0059256C" w:rsidRDefault="005C3FA2" w:rsidP="0059256C">
      <w:pPr>
        <w:pStyle w:val="Heading1"/>
      </w:pPr>
      <w:bookmarkStart w:id="28" w:name="_Toc35249014"/>
      <w:r w:rsidRPr="0059256C">
        <w:lastRenderedPageBreak/>
        <w:t>Authority</w:t>
      </w:r>
      <w:bookmarkEnd w:id="28"/>
    </w:p>
    <w:p w14:paraId="2D0F7BBC" w14:textId="24289A7C" w:rsidR="005C3FA2" w:rsidRDefault="005C3FA2" w:rsidP="0059256C">
      <w:pPr>
        <w:spacing w:before="120" w:after="120"/>
      </w:pPr>
      <w:r>
        <w:t xml:space="preserve">This Guideline is issued by the State Archivist under s.25 (1) (f) of the </w:t>
      </w:r>
      <w:r w:rsidRPr="00A52A4B">
        <w:rPr>
          <w:i/>
        </w:rPr>
        <w:t>Public Records Act 2002</w:t>
      </w:r>
      <w:r w:rsidR="00D8108C">
        <w:rPr>
          <w:i/>
        </w:rPr>
        <w:t>.</w:t>
      </w:r>
      <w:r>
        <w:t xml:space="preserve"> </w:t>
      </w:r>
    </w:p>
    <w:p w14:paraId="460AA45A" w14:textId="77777777" w:rsidR="005C3FA2" w:rsidRPr="0059256C" w:rsidRDefault="005C3FA2" w:rsidP="0059256C">
      <w:pPr>
        <w:pStyle w:val="Heading1"/>
      </w:pPr>
      <w:bookmarkStart w:id="29" w:name="_Toc35249015"/>
      <w:r w:rsidRPr="0059256C">
        <w:t>Relevant records – vulnerable persons</w:t>
      </w:r>
      <w:bookmarkEnd w:id="29"/>
    </w:p>
    <w:p w14:paraId="214FEE5C" w14:textId="77777777" w:rsidR="005C3FA2" w:rsidRPr="0059256C" w:rsidRDefault="005C3FA2" w:rsidP="0059256C">
      <w:pPr>
        <w:pStyle w:val="Heading2"/>
      </w:pPr>
      <w:bookmarkStart w:id="30" w:name="_Toc35249016"/>
      <w:r w:rsidRPr="0059256C">
        <w:t>Disposal authorisations – an overview</w:t>
      </w:r>
      <w:bookmarkEnd w:id="30"/>
    </w:p>
    <w:p w14:paraId="1277F4D9" w14:textId="77777777" w:rsidR="005C3FA2" w:rsidRDefault="005C3FA2" w:rsidP="0059256C">
      <w:pPr>
        <w:spacing w:before="120" w:after="120"/>
      </w:pPr>
      <w:r w:rsidRPr="00495A4C">
        <w:t xml:space="preserve">Disposal authorisations relating to the </w:t>
      </w:r>
      <w:r w:rsidRPr="00495A4C">
        <w:rPr>
          <w:i/>
        </w:rPr>
        <w:t xml:space="preserve">Proactive protection of vulnerable persons – relevant records </w:t>
      </w:r>
      <w:r w:rsidRPr="00495A4C">
        <w:t>have been approved by the State Archivist in the GRDS</w:t>
      </w:r>
      <w:r w:rsidRPr="008D28DA">
        <w:t>.</w:t>
      </w:r>
      <w:r w:rsidRPr="00495A4C">
        <w:rPr>
          <w:i/>
        </w:rPr>
        <w:t xml:space="preserve"> </w:t>
      </w:r>
    </w:p>
    <w:tbl>
      <w:tblPr>
        <w:tblStyle w:val="TableGrid"/>
        <w:tblW w:w="9918" w:type="dxa"/>
        <w:tblLook w:val="04A0" w:firstRow="1" w:lastRow="0" w:firstColumn="1" w:lastColumn="0" w:noHBand="0" w:noVBand="1"/>
      </w:tblPr>
      <w:tblGrid>
        <w:gridCol w:w="3256"/>
        <w:gridCol w:w="6662"/>
      </w:tblGrid>
      <w:tr w:rsidR="005C3FA2" w14:paraId="03120612" w14:textId="77777777" w:rsidTr="00355314">
        <w:trPr>
          <w:cantSplit/>
          <w:tblHeader/>
        </w:trPr>
        <w:tc>
          <w:tcPr>
            <w:tcW w:w="3256" w:type="dxa"/>
            <w:shd w:val="clear" w:color="auto" w:fill="E2EFD9" w:themeFill="accent6" w:themeFillTint="33"/>
          </w:tcPr>
          <w:p w14:paraId="4F16D29E" w14:textId="77777777" w:rsidR="005C3FA2" w:rsidRPr="00A24ECF" w:rsidRDefault="005C3FA2" w:rsidP="0059256C">
            <w:pPr>
              <w:spacing w:before="120" w:after="120"/>
              <w:rPr>
                <w:b/>
              </w:rPr>
            </w:pPr>
            <w:r>
              <w:rPr>
                <w:b/>
              </w:rPr>
              <w:t>Disposal authorisation</w:t>
            </w:r>
          </w:p>
        </w:tc>
        <w:tc>
          <w:tcPr>
            <w:tcW w:w="6662" w:type="dxa"/>
            <w:shd w:val="clear" w:color="auto" w:fill="E2EFD9" w:themeFill="accent6" w:themeFillTint="33"/>
          </w:tcPr>
          <w:p w14:paraId="399ACF5D" w14:textId="77777777" w:rsidR="005C3FA2" w:rsidRPr="00A24ECF" w:rsidRDefault="005C3FA2" w:rsidP="0059256C">
            <w:pPr>
              <w:spacing w:before="120" w:after="120"/>
              <w:rPr>
                <w:b/>
              </w:rPr>
            </w:pPr>
            <w:r w:rsidRPr="00A24ECF">
              <w:rPr>
                <w:b/>
              </w:rPr>
              <w:t>Retention period unpacked</w:t>
            </w:r>
          </w:p>
        </w:tc>
      </w:tr>
      <w:tr w:rsidR="005C3FA2" w14:paraId="0ED6C220" w14:textId="77777777" w:rsidTr="00355314">
        <w:trPr>
          <w:cantSplit/>
        </w:trPr>
        <w:tc>
          <w:tcPr>
            <w:tcW w:w="3256" w:type="dxa"/>
          </w:tcPr>
          <w:p w14:paraId="657F8780" w14:textId="33D07504" w:rsidR="005C3FA2" w:rsidRDefault="004742A2" w:rsidP="0059256C">
            <w:pPr>
              <w:spacing w:before="60" w:line="240" w:lineRule="auto"/>
            </w:pPr>
            <w:r>
              <w:t>1558</w:t>
            </w:r>
            <w:r w:rsidR="00626B94">
              <w:t xml:space="preserve"> </w:t>
            </w:r>
            <w:r w:rsidR="005C3FA2">
              <w:t>Incidents and allegations of abuse – vulnerable persons</w:t>
            </w:r>
          </w:p>
        </w:tc>
        <w:tc>
          <w:tcPr>
            <w:tcW w:w="6662" w:type="dxa"/>
          </w:tcPr>
          <w:p w14:paraId="687E24B9" w14:textId="77777777" w:rsidR="005C3FA2" w:rsidRDefault="005C3FA2" w:rsidP="0059256C">
            <w:pPr>
              <w:pStyle w:val="ListParagraph"/>
              <w:numPr>
                <w:ilvl w:val="0"/>
                <w:numId w:val="8"/>
              </w:numPr>
              <w:spacing w:before="60" w:after="0" w:line="240" w:lineRule="auto"/>
              <w:ind w:left="318"/>
            </w:pPr>
            <w:r>
              <w:t>Retain 100 years after creation of record</w:t>
            </w:r>
          </w:p>
          <w:p w14:paraId="4A53BB47" w14:textId="77777777" w:rsidR="005C3FA2" w:rsidRDefault="005C3FA2" w:rsidP="0059256C">
            <w:pPr>
              <w:pStyle w:val="ListParagraph"/>
              <w:numPr>
                <w:ilvl w:val="0"/>
                <w:numId w:val="8"/>
              </w:numPr>
              <w:spacing w:before="60" w:after="0" w:line="240" w:lineRule="auto"/>
              <w:ind w:left="318"/>
            </w:pPr>
            <w:r>
              <w:t xml:space="preserve">Includes: </w:t>
            </w:r>
          </w:p>
          <w:p w14:paraId="0944661E" w14:textId="77777777" w:rsidR="005C3FA2" w:rsidRDefault="005C3FA2" w:rsidP="0059256C">
            <w:pPr>
              <w:pStyle w:val="ListParagraph"/>
              <w:numPr>
                <w:ilvl w:val="1"/>
                <w:numId w:val="8"/>
              </w:numPr>
              <w:spacing w:before="120" w:after="0" w:line="240" w:lineRule="auto"/>
              <w:ind w:left="743"/>
              <w:contextualSpacing/>
            </w:pPr>
            <w:r>
              <w:t>Allegations of abuse</w:t>
            </w:r>
          </w:p>
          <w:p w14:paraId="200E3FC7" w14:textId="77777777" w:rsidR="005C3FA2" w:rsidRDefault="005C3FA2" w:rsidP="0059256C">
            <w:pPr>
              <w:pStyle w:val="ListParagraph"/>
              <w:numPr>
                <w:ilvl w:val="1"/>
                <w:numId w:val="8"/>
              </w:numPr>
              <w:spacing w:before="120" w:after="0" w:line="240" w:lineRule="auto"/>
              <w:ind w:left="743"/>
              <w:contextualSpacing/>
            </w:pPr>
            <w:r>
              <w:t>Disclosure of abuse</w:t>
            </w:r>
          </w:p>
          <w:p w14:paraId="5DB17594" w14:textId="77777777" w:rsidR="005C3FA2" w:rsidRDefault="005C3FA2" w:rsidP="0059256C">
            <w:pPr>
              <w:pStyle w:val="ListParagraph"/>
              <w:numPr>
                <w:ilvl w:val="1"/>
                <w:numId w:val="8"/>
              </w:numPr>
              <w:spacing w:before="120" w:after="0" w:line="240" w:lineRule="auto"/>
              <w:ind w:left="743"/>
              <w:contextualSpacing/>
            </w:pPr>
            <w:r>
              <w:t>Incidents of abuse</w:t>
            </w:r>
          </w:p>
          <w:p w14:paraId="0D7CFBDB" w14:textId="246D8DA7" w:rsidR="005C3FA2" w:rsidRDefault="005C3FA2" w:rsidP="0059256C">
            <w:pPr>
              <w:pStyle w:val="ListParagraph"/>
              <w:numPr>
                <w:ilvl w:val="1"/>
                <w:numId w:val="8"/>
              </w:numPr>
              <w:spacing w:before="120" w:line="240" w:lineRule="auto"/>
              <w:ind w:left="743" w:hanging="357"/>
              <w:contextualSpacing/>
            </w:pPr>
            <w:r>
              <w:t>Investigations of abuse</w:t>
            </w:r>
          </w:p>
        </w:tc>
      </w:tr>
      <w:tr w:rsidR="005C3FA2" w14:paraId="5BCB126A" w14:textId="77777777" w:rsidTr="00355314">
        <w:tc>
          <w:tcPr>
            <w:tcW w:w="3256" w:type="dxa"/>
          </w:tcPr>
          <w:p w14:paraId="5FE1F6A0" w14:textId="511BC44C" w:rsidR="005C3FA2" w:rsidRDefault="004742A2" w:rsidP="0059256C">
            <w:pPr>
              <w:spacing w:before="60" w:line="240" w:lineRule="auto"/>
            </w:pPr>
            <w:bookmarkStart w:id="31" w:name="_Hlk21956823"/>
            <w:r>
              <w:t>1559</w:t>
            </w:r>
            <w:r w:rsidR="00626B94">
              <w:t xml:space="preserve"> </w:t>
            </w:r>
            <w:r w:rsidR="005C3FA2" w:rsidRPr="0031234C">
              <w:t>Evidence of interactions and contact with vulnerable persons</w:t>
            </w:r>
            <w:bookmarkEnd w:id="31"/>
          </w:p>
        </w:tc>
        <w:tc>
          <w:tcPr>
            <w:tcW w:w="6662" w:type="dxa"/>
          </w:tcPr>
          <w:p w14:paraId="7ABF5062" w14:textId="77777777" w:rsidR="005C3FA2" w:rsidRDefault="005C3FA2" w:rsidP="0059256C">
            <w:pPr>
              <w:pStyle w:val="ListParagraph"/>
              <w:numPr>
                <w:ilvl w:val="0"/>
                <w:numId w:val="33"/>
              </w:numPr>
              <w:autoSpaceDE w:val="0"/>
              <w:autoSpaceDN w:val="0"/>
              <w:adjustRightInd w:val="0"/>
              <w:spacing w:before="0"/>
              <w:ind w:left="318"/>
            </w:pPr>
            <w:r>
              <w:t>Retain until 31 December 2028</w:t>
            </w:r>
          </w:p>
          <w:p w14:paraId="187BADE6" w14:textId="464CCB8B" w:rsidR="005C3FA2" w:rsidRDefault="005C3FA2" w:rsidP="0059256C">
            <w:pPr>
              <w:pStyle w:val="ListParagraph"/>
            </w:pPr>
            <w:r>
              <w:t xml:space="preserve">QSA will undertake a reassessment of this retention period prior to 31 December 2028 </w:t>
            </w:r>
          </w:p>
        </w:tc>
      </w:tr>
      <w:tr w:rsidR="005C3FA2" w14:paraId="7D535813" w14:textId="77777777" w:rsidTr="00355314">
        <w:tc>
          <w:tcPr>
            <w:tcW w:w="3256" w:type="dxa"/>
          </w:tcPr>
          <w:p w14:paraId="188E5FC0" w14:textId="3B0AD1A5" w:rsidR="005C3FA2" w:rsidRDefault="004742A2" w:rsidP="0059256C">
            <w:pPr>
              <w:spacing w:before="60" w:line="240" w:lineRule="auto"/>
            </w:pPr>
            <w:r>
              <w:t>1560</w:t>
            </w:r>
            <w:r w:rsidR="00626B94">
              <w:t xml:space="preserve"> </w:t>
            </w:r>
            <w:r w:rsidR="005C3FA2">
              <w:t>Governance practices</w:t>
            </w:r>
          </w:p>
        </w:tc>
        <w:tc>
          <w:tcPr>
            <w:tcW w:w="6662" w:type="dxa"/>
          </w:tcPr>
          <w:p w14:paraId="28FC0A2A" w14:textId="77777777" w:rsidR="005C3FA2" w:rsidRDefault="005C3FA2" w:rsidP="0059256C">
            <w:pPr>
              <w:spacing w:before="60" w:line="240" w:lineRule="auto"/>
            </w:pPr>
            <w:r>
              <w:t xml:space="preserve">Permanent </w:t>
            </w:r>
          </w:p>
          <w:p w14:paraId="681EB6AF" w14:textId="77777777" w:rsidR="005C3FA2" w:rsidRDefault="005C3FA2" w:rsidP="0059256C">
            <w:pPr>
              <w:pStyle w:val="ListParagraph"/>
              <w:numPr>
                <w:ilvl w:val="0"/>
                <w:numId w:val="8"/>
              </w:numPr>
              <w:spacing w:before="60" w:line="240" w:lineRule="auto"/>
              <w:ind w:left="317" w:hanging="317"/>
            </w:pPr>
            <w:r>
              <w:t xml:space="preserve">Transfer the records to QSA when they become inactive </w:t>
            </w:r>
          </w:p>
        </w:tc>
      </w:tr>
    </w:tbl>
    <w:p w14:paraId="0166BE74" w14:textId="5628D9A0" w:rsidR="005C3FA2" w:rsidRDefault="005C3FA2" w:rsidP="0059256C">
      <w:pPr>
        <w:spacing w:before="120" w:after="240"/>
      </w:pPr>
      <w:r>
        <w:t>Additional information on</w:t>
      </w:r>
      <w:r w:rsidRPr="009C0163">
        <w:t xml:space="preserve"> the retention periods relating to disposal authorisations </w:t>
      </w:r>
      <w:r w:rsidR="004742A2">
        <w:t>1558</w:t>
      </w:r>
      <w:r w:rsidRPr="00D94AAA">
        <w:t xml:space="preserve">, </w:t>
      </w:r>
      <w:r w:rsidR="004742A2">
        <w:t>1559</w:t>
      </w:r>
      <w:r w:rsidRPr="00D94AAA">
        <w:t xml:space="preserve"> and </w:t>
      </w:r>
      <w:r w:rsidR="004742A2">
        <w:t>1560</w:t>
      </w:r>
      <w:r w:rsidRPr="009C0163">
        <w:t xml:space="preserve">, including relevance to </w:t>
      </w:r>
      <w:r>
        <w:t>RCIRCSA</w:t>
      </w:r>
      <w:r w:rsidRPr="009C0163">
        <w:t xml:space="preserve">, changes to the </w:t>
      </w:r>
      <w:r w:rsidRPr="009C0163">
        <w:rPr>
          <w:i/>
          <w:lang w:eastAsia="en-AU"/>
        </w:rPr>
        <w:t xml:space="preserve">Limitation of Actions </w:t>
      </w:r>
      <w:r>
        <w:rPr>
          <w:i/>
          <w:lang w:eastAsia="en-AU"/>
        </w:rPr>
        <w:t xml:space="preserve">Act 1974 </w:t>
      </w:r>
      <w:r w:rsidRPr="009C0163">
        <w:t xml:space="preserve">and the National Redress Scheme (NRS), refer to the </w:t>
      </w:r>
      <w:hyperlink r:id="rId18" w:history="1">
        <w:r w:rsidRPr="008814FC">
          <w:rPr>
            <w:rStyle w:val="Hyperlink"/>
          </w:rPr>
          <w:t>GRDS appraisal log</w:t>
        </w:r>
      </w:hyperlink>
      <w:r>
        <w:t>.</w:t>
      </w:r>
    </w:p>
    <w:p w14:paraId="39F3567F" w14:textId="77777777" w:rsidR="0059256C" w:rsidRPr="00863A06" w:rsidRDefault="0059256C" w:rsidP="0059256C">
      <w:pPr>
        <w:pBdr>
          <w:top w:val="single" w:sz="4" w:space="1" w:color="auto"/>
          <w:left w:val="single" w:sz="4" w:space="4" w:color="auto"/>
          <w:bottom w:val="single" w:sz="4" w:space="1" w:color="auto"/>
          <w:right w:val="single" w:sz="4" w:space="4" w:color="auto"/>
        </w:pBdr>
        <w:shd w:val="clear" w:color="auto" w:fill="E2EFD9" w:themeFill="accent6" w:themeFillTint="33"/>
        <w:spacing w:before="120" w:after="120" w:line="240" w:lineRule="auto"/>
        <w:rPr>
          <w:b/>
        </w:rPr>
      </w:pPr>
      <w:r w:rsidRPr="00863A06">
        <w:rPr>
          <w:b/>
        </w:rPr>
        <w:t xml:space="preserve">Special note: </w:t>
      </w:r>
    </w:p>
    <w:p w14:paraId="474A272B" w14:textId="77777777" w:rsidR="0059256C" w:rsidRPr="007577DE" w:rsidRDefault="0059256C" w:rsidP="0059256C">
      <w:pPr>
        <w:pBdr>
          <w:top w:val="single" w:sz="4" w:space="1" w:color="auto"/>
          <w:left w:val="single" w:sz="4" w:space="4" w:color="auto"/>
          <w:bottom w:val="single" w:sz="4" w:space="1" w:color="auto"/>
          <w:right w:val="single" w:sz="4" w:space="4" w:color="auto"/>
        </w:pBdr>
        <w:shd w:val="clear" w:color="auto" w:fill="E2EFD9" w:themeFill="accent6" w:themeFillTint="33"/>
        <w:spacing w:before="120" w:after="120" w:line="240" w:lineRule="auto"/>
        <w:rPr>
          <w:rFonts w:eastAsia="Times New Roman" w:cs="Times New Roman"/>
        </w:rPr>
      </w:pPr>
      <w:r>
        <w:rPr>
          <w:rFonts w:eastAsia="Times New Roman" w:cs="Times New Roman"/>
        </w:rPr>
        <w:t>The National Redress Scheme (NRS) was enacted in response to the RCIRCSA</w:t>
      </w:r>
      <w:r w:rsidRPr="00212588">
        <w:rPr>
          <w:rFonts w:eastAsia="Times New Roman" w:cs="Times New Roman"/>
        </w:rPr>
        <w:t>.</w:t>
      </w:r>
      <w:r w:rsidRPr="00085A1C">
        <w:rPr>
          <w:rFonts w:eastAsia="Times New Roman" w:cs="Times New Roman"/>
        </w:rPr>
        <w:t xml:space="preserve"> The Scheme provides support to people who</w:t>
      </w:r>
      <w:r>
        <w:rPr>
          <w:rFonts w:eastAsia="Times New Roman" w:cs="Times New Roman"/>
        </w:rPr>
        <w:t xml:space="preserve"> </w:t>
      </w:r>
      <w:r w:rsidRPr="00085A1C">
        <w:rPr>
          <w:rFonts w:eastAsia="Times New Roman" w:cs="Times New Roman"/>
        </w:rPr>
        <w:t>experienced institutional child sexual abuse and will run for 10 years from 1 July 2018.</w:t>
      </w:r>
      <w:r w:rsidRPr="00085A1C">
        <w:t xml:space="preserve"> </w:t>
      </w:r>
      <w:r>
        <w:t xml:space="preserve"> When responding to RCIRCSA, t</w:t>
      </w:r>
      <w:r w:rsidRPr="00085A1C">
        <w:rPr>
          <w:rFonts w:eastAsia="Times New Roman" w:cs="Times New Roman"/>
        </w:rPr>
        <w:t xml:space="preserve">he Queensland Government </w:t>
      </w:r>
      <w:r>
        <w:rPr>
          <w:rFonts w:eastAsia="Times New Roman" w:cs="Times New Roman"/>
        </w:rPr>
        <w:t>considered</w:t>
      </w:r>
      <w:r w:rsidRPr="00495A4C">
        <w:rPr>
          <w:rFonts w:eastAsia="Times New Roman" w:cs="Times New Roman"/>
        </w:rPr>
        <w:t xml:space="preserve"> the NRS to be critical </w:t>
      </w:r>
      <w:r>
        <w:rPr>
          <w:rFonts w:eastAsia="Times New Roman" w:cs="Times New Roman"/>
        </w:rPr>
        <w:t>for acknowledgement</w:t>
      </w:r>
      <w:r w:rsidRPr="00495A4C">
        <w:rPr>
          <w:rFonts w:eastAsia="Times New Roman" w:cs="Times New Roman"/>
        </w:rPr>
        <w:t xml:space="preserve"> </w:t>
      </w:r>
      <w:r>
        <w:rPr>
          <w:rFonts w:eastAsia="Times New Roman" w:cs="Times New Roman"/>
        </w:rPr>
        <w:t>of</w:t>
      </w:r>
      <w:r w:rsidRPr="00495A4C">
        <w:rPr>
          <w:rFonts w:eastAsia="Times New Roman" w:cs="Times New Roman"/>
        </w:rPr>
        <w:t xml:space="preserve"> the horrific experiences of child sexual abuse that people experienced in institutions that were supposed to care for and protect them</w:t>
      </w:r>
      <w:r w:rsidRPr="007577DE">
        <w:rPr>
          <w:rFonts w:eastAsia="Times New Roman" w:cs="Times New Roman"/>
        </w:rPr>
        <w:t>.</w:t>
      </w:r>
    </w:p>
    <w:p w14:paraId="668C588A" w14:textId="39748F6A" w:rsidR="0059256C" w:rsidRPr="0059256C" w:rsidRDefault="0059256C" w:rsidP="0059256C">
      <w:pPr>
        <w:pBdr>
          <w:top w:val="single" w:sz="4" w:space="1" w:color="auto"/>
          <w:left w:val="single" w:sz="4" w:space="4" w:color="auto"/>
          <w:bottom w:val="single" w:sz="4" w:space="1" w:color="auto"/>
          <w:right w:val="single" w:sz="4" w:space="4" w:color="auto"/>
        </w:pBdr>
        <w:shd w:val="clear" w:color="auto" w:fill="E2EFD9" w:themeFill="accent6" w:themeFillTint="33"/>
        <w:spacing w:before="120" w:after="120" w:line="240" w:lineRule="auto"/>
        <w:rPr>
          <w:rFonts w:eastAsia="Times New Roman" w:cs="Times New Roman"/>
        </w:rPr>
      </w:pPr>
      <w:r w:rsidRPr="0092640C">
        <w:rPr>
          <w:rFonts w:eastAsia="Times New Roman" w:cs="Times New Roman"/>
        </w:rPr>
        <w:t>Records covered by th</w:t>
      </w:r>
      <w:r>
        <w:rPr>
          <w:rFonts w:eastAsia="Times New Roman" w:cs="Times New Roman"/>
        </w:rPr>
        <w:t xml:space="preserve">e above disposal </w:t>
      </w:r>
      <w:r w:rsidRPr="0092640C">
        <w:rPr>
          <w:rFonts w:eastAsia="Times New Roman" w:cs="Times New Roman"/>
        </w:rPr>
        <w:t xml:space="preserve">authorisation </w:t>
      </w:r>
      <w:r w:rsidRPr="00495A4C">
        <w:rPr>
          <w:rFonts w:eastAsia="Times New Roman" w:cs="Times New Roman"/>
          <w:b/>
        </w:rPr>
        <w:t>do not</w:t>
      </w:r>
      <w:r>
        <w:rPr>
          <w:rFonts w:eastAsia="Times New Roman" w:cs="Times New Roman"/>
        </w:rPr>
        <w:t xml:space="preserve"> include </w:t>
      </w:r>
      <w:r w:rsidRPr="00495A4C">
        <w:rPr>
          <w:rFonts w:eastAsia="Times New Roman" w:cs="Times New Roman"/>
        </w:rPr>
        <w:t>records of applications</w:t>
      </w:r>
      <w:r w:rsidRPr="0092640C">
        <w:rPr>
          <w:rFonts w:eastAsia="Times New Roman" w:cs="Times New Roman"/>
        </w:rPr>
        <w:t xml:space="preserve"> </w:t>
      </w:r>
      <w:r>
        <w:rPr>
          <w:rFonts w:eastAsia="Times New Roman" w:cs="Times New Roman"/>
        </w:rPr>
        <w:t>made to t</w:t>
      </w:r>
      <w:r w:rsidRPr="0092640C">
        <w:rPr>
          <w:rFonts w:eastAsia="Times New Roman" w:cs="Times New Roman"/>
        </w:rPr>
        <w:t xml:space="preserve">he </w:t>
      </w:r>
      <w:r>
        <w:rPr>
          <w:rFonts w:eastAsia="Times New Roman" w:cs="Times New Roman"/>
        </w:rPr>
        <w:t>NRS</w:t>
      </w:r>
      <w:r>
        <w:rPr>
          <w:rFonts w:eastAsia="Times New Roman" w:cs="Times New Roman"/>
          <w:i/>
        </w:rPr>
        <w:t>.</w:t>
      </w:r>
      <w:r w:rsidRPr="005A6878">
        <w:rPr>
          <w:rFonts w:eastAsia="Times New Roman" w:cs="Times New Roman"/>
        </w:rPr>
        <w:t xml:space="preserve"> A</w:t>
      </w:r>
      <w:r w:rsidRPr="001A2E4A">
        <w:rPr>
          <w:rFonts w:eastAsia="Times New Roman" w:cs="Times New Roman"/>
        </w:rPr>
        <w:t xml:space="preserve"> separate </w:t>
      </w:r>
      <w:r>
        <w:rPr>
          <w:rFonts w:eastAsia="Times New Roman" w:cs="Times New Roman"/>
        </w:rPr>
        <w:t xml:space="preserve">appraisal of records generated during the operation of the </w:t>
      </w:r>
      <w:r w:rsidRPr="001A2E4A">
        <w:rPr>
          <w:rFonts w:eastAsia="Times New Roman" w:cs="Times New Roman"/>
        </w:rPr>
        <w:t xml:space="preserve">redress scheme will be </w:t>
      </w:r>
      <w:r>
        <w:rPr>
          <w:rFonts w:eastAsia="Times New Roman" w:cs="Times New Roman"/>
        </w:rPr>
        <w:t>undertaken</w:t>
      </w:r>
      <w:r w:rsidRPr="001A2E4A">
        <w:rPr>
          <w:rFonts w:eastAsia="Times New Roman" w:cs="Times New Roman"/>
        </w:rPr>
        <w:t xml:space="preserve"> in the future. </w:t>
      </w:r>
      <w:r w:rsidRPr="00085A1C">
        <w:rPr>
          <w:rFonts w:eastAsia="Times New Roman" w:cs="Times New Roman"/>
        </w:rPr>
        <w:t>For further information on the National Redress Scheme and how it relates to</w:t>
      </w:r>
      <w:r>
        <w:rPr>
          <w:rFonts w:eastAsia="Times New Roman" w:cs="Times New Roman"/>
        </w:rPr>
        <w:t xml:space="preserve"> RCIRCSA</w:t>
      </w:r>
      <w:r w:rsidRPr="00085A1C">
        <w:rPr>
          <w:rFonts w:eastAsia="Times New Roman" w:cs="Times New Roman"/>
        </w:rPr>
        <w:t xml:space="preserve"> see </w:t>
      </w:r>
      <w:hyperlink r:id="rId19" w:history="1">
        <w:r>
          <w:rPr>
            <w:rStyle w:val="Hyperlink"/>
            <w:rFonts w:eastAsia="Times New Roman" w:cs="Times New Roman"/>
          </w:rPr>
          <w:t>www.nationalredress.gov.au/</w:t>
        </w:r>
      </w:hyperlink>
      <w:r>
        <w:rPr>
          <w:rStyle w:val="Hyperlink"/>
          <w:rFonts w:eastAsia="Times New Roman" w:cs="Times New Roman"/>
        </w:rPr>
        <w:t>.</w:t>
      </w:r>
    </w:p>
    <w:p w14:paraId="30554362" w14:textId="77777777" w:rsidR="005C3FA2" w:rsidRPr="0059256C" w:rsidRDefault="005C3FA2" w:rsidP="007D64A0">
      <w:pPr>
        <w:pStyle w:val="Heading1"/>
        <w:pageBreakBefore/>
      </w:pPr>
      <w:bookmarkStart w:id="32" w:name="_Toc35249017"/>
      <w:r w:rsidRPr="0059256C">
        <w:lastRenderedPageBreak/>
        <w:t>Creating and managing complete and reliable records</w:t>
      </w:r>
      <w:bookmarkEnd w:id="32"/>
    </w:p>
    <w:p w14:paraId="5206D234" w14:textId="77777777" w:rsidR="005C3FA2" w:rsidRDefault="005C3FA2" w:rsidP="0059256C">
      <w:pPr>
        <w:spacing w:before="120" w:after="120"/>
      </w:pPr>
      <w:r>
        <w:t xml:space="preserve">A public authority must create complete and reliable records to comply with the </w:t>
      </w:r>
      <w:r w:rsidRPr="00495A4C">
        <w:rPr>
          <w:i/>
        </w:rPr>
        <w:t>Public Records Act 2002</w:t>
      </w:r>
      <w:r>
        <w:t xml:space="preserve">. This includes when a record is created or received in relation to an interaction with a vulnerable person and when it is created or received as part of a business process. </w:t>
      </w:r>
    </w:p>
    <w:p w14:paraId="6ABAF94B" w14:textId="64196917" w:rsidR="005C3FA2" w:rsidRDefault="005C3FA2" w:rsidP="0059256C">
      <w:pPr>
        <w:spacing w:before="120" w:after="120"/>
      </w:pPr>
      <w:r>
        <w:t xml:space="preserve">All public authorities must have established policies and processes which support the making of complete and reliable records.  Public authorities must ensure service providers and volunteers are aware of recordkeeping responsibilities. For further information refer to the </w:t>
      </w:r>
      <w:bookmarkStart w:id="33" w:name="_Hlk22025859"/>
      <w:r>
        <w:fldChar w:fldCharType="begin"/>
      </w:r>
      <w:r>
        <w:instrText xml:space="preserve"> HYPERLINK "https://www.qgcio.qld.gov.au/documents/records-governance-policy" </w:instrText>
      </w:r>
      <w:r>
        <w:fldChar w:fldCharType="separate"/>
      </w:r>
      <w:r w:rsidRPr="0013143A">
        <w:rPr>
          <w:rStyle w:val="Hyperlink"/>
        </w:rPr>
        <w:t>Records Governance Policy</w:t>
      </w:r>
      <w:r>
        <w:rPr>
          <w:rStyle w:val="Hyperlink"/>
        </w:rPr>
        <w:fldChar w:fldCharType="end"/>
      </w:r>
      <w:bookmarkEnd w:id="33"/>
      <w:r>
        <w:t xml:space="preserve"> and recommendation 8.4 of the RCIRCSA: </w:t>
      </w:r>
      <w:hyperlink r:id="rId20" w:history="1">
        <w:r w:rsidRPr="00EA18A0">
          <w:rPr>
            <w:rStyle w:val="Hyperlink"/>
          </w:rPr>
          <w:t>Records and recordkeeping principles</w:t>
        </w:r>
      </w:hyperlink>
      <w:r>
        <w:rPr>
          <w:rStyle w:val="Hyperlink"/>
        </w:rPr>
        <w:t xml:space="preserve"> </w:t>
      </w:r>
    </w:p>
    <w:p w14:paraId="21FA9B5F" w14:textId="77777777" w:rsidR="005C3FA2" w:rsidRPr="0059256C" w:rsidRDefault="005C3FA2" w:rsidP="0059256C">
      <w:pPr>
        <w:pStyle w:val="Heading2"/>
      </w:pPr>
      <w:bookmarkStart w:id="34" w:name="_Toc35249018"/>
      <w:r w:rsidRPr="0059256C">
        <w:t>Incidents, allegations and disclosures of abuse – vulnerable persons</w:t>
      </w:r>
      <w:bookmarkEnd w:id="34"/>
    </w:p>
    <w:p w14:paraId="26275F49" w14:textId="64297FBE" w:rsidR="005C3FA2" w:rsidRDefault="005C3FA2" w:rsidP="0059256C">
      <w:pPr>
        <w:spacing w:before="120" w:after="120"/>
      </w:pPr>
      <w:r>
        <w:t xml:space="preserve">A reliable and accurate record </w:t>
      </w:r>
      <w:r w:rsidR="00A97E88">
        <w:t>in relation to an incident, allegation or disclosure of abuse will likely include</w:t>
      </w:r>
      <w:r>
        <w:t xml:space="preserve">: </w:t>
      </w:r>
    </w:p>
    <w:p w14:paraId="4F7F29D8" w14:textId="77777777" w:rsidR="005C3FA2" w:rsidRDefault="005C3FA2" w:rsidP="0059256C">
      <w:pPr>
        <w:pStyle w:val="ListParagraph"/>
        <w:numPr>
          <w:ilvl w:val="0"/>
          <w:numId w:val="5"/>
        </w:numPr>
        <w:spacing w:before="120"/>
        <w:ind w:left="714" w:hanging="357"/>
        <w:rPr>
          <w:rFonts w:eastAsia="Times New Roman" w:cs="Times New Roman"/>
          <w:szCs w:val="24"/>
        </w:rPr>
      </w:pPr>
      <w:r>
        <w:rPr>
          <w:rFonts w:eastAsia="Times New Roman" w:cs="Times New Roman"/>
          <w:szCs w:val="24"/>
        </w:rPr>
        <w:t>details about the incident, allegation or disclosure including names of those involved, witnesses, locations, times and dates etc</w:t>
      </w:r>
    </w:p>
    <w:p w14:paraId="5C751165" w14:textId="77777777" w:rsidR="005C3FA2" w:rsidRPr="000E55EE" w:rsidRDefault="005C3FA2" w:rsidP="0059256C">
      <w:pPr>
        <w:pStyle w:val="ListParagraph"/>
        <w:numPr>
          <w:ilvl w:val="0"/>
          <w:numId w:val="5"/>
        </w:numPr>
        <w:spacing w:before="120"/>
        <w:ind w:left="714" w:hanging="357"/>
        <w:rPr>
          <w:rFonts w:eastAsia="Times New Roman" w:cs="Times New Roman"/>
          <w:szCs w:val="24"/>
        </w:rPr>
      </w:pPr>
      <w:r w:rsidRPr="000E55EE">
        <w:rPr>
          <w:rFonts w:eastAsia="Times New Roman" w:cs="Times New Roman"/>
          <w:szCs w:val="24"/>
        </w:rPr>
        <w:t xml:space="preserve">details of conversations and </w:t>
      </w:r>
      <w:r>
        <w:rPr>
          <w:rFonts w:eastAsia="Times New Roman" w:cs="Times New Roman"/>
          <w:szCs w:val="24"/>
        </w:rPr>
        <w:t xml:space="preserve">follow up </w:t>
      </w:r>
      <w:r w:rsidRPr="000E55EE">
        <w:rPr>
          <w:rFonts w:eastAsia="Times New Roman" w:cs="Times New Roman"/>
          <w:szCs w:val="24"/>
        </w:rPr>
        <w:t xml:space="preserve">actions </w:t>
      </w:r>
    </w:p>
    <w:p w14:paraId="122925F0" w14:textId="77777777" w:rsidR="005C3FA2" w:rsidRPr="000E55EE" w:rsidRDefault="005C3FA2" w:rsidP="0059256C">
      <w:pPr>
        <w:pStyle w:val="ListParagraph"/>
        <w:numPr>
          <w:ilvl w:val="0"/>
          <w:numId w:val="5"/>
        </w:numPr>
        <w:spacing w:before="120"/>
        <w:ind w:left="714" w:hanging="357"/>
        <w:rPr>
          <w:rFonts w:eastAsia="Times New Roman" w:cs="Times New Roman"/>
          <w:szCs w:val="24"/>
        </w:rPr>
      </w:pPr>
      <w:r w:rsidRPr="000E55EE">
        <w:rPr>
          <w:rFonts w:eastAsia="Times New Roman" w:cs="Times New Roman"/>
          <w:szCs w:val="24"/>
        </w:rPr>
        <w:t>contextual information so the record’s value as evidence remains relevant over time</w:t>
      </w:r>
      <w:r>
        <w:rPr>
          <w:rFonts w:eastAsia="Times New Roman" w:cs="Times New Roman"/>
          <w:szCs w:val="24"/>
        </w:rPr>
        <w:t>. For example, who created the record, when was it created, file reference numbers or parts of files to show linkages to other documents</w:t>
      </w:r>
    </w:p>
    <w:p w14:paraId="4FA11E49" w14:textId="13BC6C3B" w:rsidR="005C3FA2" w:rsidRDefault="005C3FA2" w:rsidP="0059256C">
      <w:pPr>
        <w:pStyle w:val="ListParagraph"/>
        <w:numPr>
          <w:ilvl w:val="0"/>
          <w:numId w:val="5"/>
        </w:numPr>
        <w:spacing w:before="120"/>
        <w:ind w:left="714" w:hanging="357"/>
        <w:rPr>
          <w:rFonts w:eastAsia="Times New Roman" w:cs="Times New Roman"/>
          <w:szCs w:val="24"/>
        </w:rPr>
      </w:pPr>
      <w:r w:rsidRPr="000E55EE">
        <w:rPr>
          <w:rFonts w:eastAsia="Times New Roman" w:cs="Times New Roman"/>
          <w:szCs w:val="24"/>
        </w:rPr>
        <w:t>refer</w:t>
      </w:r>
      <w:r>
        <w:rPr>
          <w:rFonts w:eastAsia="Times New Roman" w:cs="Times New Roman"/>
          <w:szCs w:val="24"/>
        </w:rPr>
        <w:t>ence</w:t>
      </w:r>
      <w:r w:rsidRPr="000E55EE">
        <w:rPr>
          <w:rFonts w:eastAsia="Times New Roman" w:cs="Times New Roman"/>
          <w:szCs w:val="24"/>
        </w:rPr>
        <w:t xml:space="preserve"> to other supporting documents so their relevance to the </w:t>
      </w:r>
      <w:r>
        <w:rPr>
          <w:rFonts w:eastAsia="Times New Roman" w:cs="Times New Roman"/>
          <w:szCs w:val="24"/>
        </w:rPr>
        <w:t xml:space="preserve">incident, </w:t>
      </w:r>
      <w:r w:rsidRPr="000E55EE">
        <w:rPr>
          <w:rFonts w:eastAsia="Times New Roman" w:cs="Times New Roman"/>
          <w:szCs w:val="24"/>
        </w:rPr>
        <w:t>allegation</w:t>
      </w:r>
      <w:r>
        <w:rPr>
          <w:rFonts w:eastAsia="Times New Roman" w:cs="Times New Roman"/>
          <w:szCs w:val="24"/>
        </w:rPr>
        <w:t xml:space="preserve"> or</w:t>
      </w:r>
      <w:r w:rsidRPr="000E55EE">
        <w:rPr>
          <w:rFonts w:eastAsia="Times New Roman" w:cs="Times New Roman"/>
          <w:szCs w:val="24"/>
        </w:rPr>
        <w:t xml:space="preserve"> disclosure is not lost.</w:t>
      </w:r>
    </w:p>
    <w:p w14:paraId="3E90D0BA" w14:textId="1A94DAEB" w:rsidR="00861636" w:rsidRPr="00861636" w:rsidRDefault="00861636" w:rsidP="0059256C">
      <w:pPr>
        <w:spacing w:before="120"/>
        <w:rPr>
          <w:rFonts w:eastAsia="Times New Roman" w:cs="Times New Roman"/>
          <w:szCs w:val="24"/>
        </w:rPr>
      </w:pPr>
      <w:r>
        <w:rPr>
          <w:rFonts w:eastAsia="Times New Roman" w:cs="Times New Roman"/>
          <w:szCs w:val="24"/>
        </w:rPr>
        <w:t xml:space="preserve">Records relating to vulnerable persons </w:t>
      </w:r>
      <w:r w:rsidR="00542E2D">
        <w:rPr>
          <w:rFonts w:eastAsia="Times New Roman" w:cs="Times New Roman"/>
          <w:szCs w:val="24"/>
        </w:rPr>
        <w:t>may</w:t>
      </w:r>
      <w:r>
        <w:rPr>
          <w:rFonts w:eastAsia="Times New Roman" w:cs="Times New Roman"/>
          <w:szCs w:val="24"/>
        </w:rPr>
        <w:t xml:space="preserve"> contain sensitive information. Public authorities should ensure that appropriate steps are taken to ensure these records are stored in a secure manner. The </w:t>
      </w:r>
      <w:r w:rsidRPr="00861636">
        <w:rPr>
          <w:rFonts w:eastAsia="Times New Roman" w:cs="Times New Roman"/>
          <w:i/>
          <w:iCs/>
          <w:szCs w:val="24"/>
        </w:rPr>
        <w:t>Information security policy (IS18:2018)</w:t>
      </w:r>
      <w:r>
        <w:rPr>
          <w:rStyle w:val="FootnoteReference"/>
          <w:rFonts w:eastAsia="Times New Roman" w:cs="Times New Roman"/>
          <w:szCs w:val="24"/>
        </w:rPr>
        <w:footnoteReference w:id="5"/>
      </w:r>
      <w:r>
        <w:rPr>
          <w:rFonts w:eastAsia="Times New Roman" w:cs="Times New Roman"/>
          <w:szCs w:val="24"/>
        </w:rPr>
        <w:t xml:space="preserve"> establishes the policy requirements related to the implementation of information security </w:t>
      </w:r>
      <w:r w:rsidR="009C2854">
        <w:rPr>
          <w:rFonts w:eastAsia="Times New Roman" w:cs="Times New Roman"/>
          <w:szCs w:val="24"/>
        </w:rPr>
        <w:t>to</w:t>
      </w:r>
      <w:r>
        <w:rPr>
          <w:rFonts w:eastAsia="Times New Roman" w:cs="Times New Roman"/>
          <w:szCs w:val="24"/>
        </w:rPr>
        <w:t xml:space="preserve"> maintain the confidentiality, integrity and availability of information</w:t>
      </w:r>
      <w:r w:rsidR="005D19E4">
        <w:rPr>
          <w:rFonts w:eastAsia="Times New Roman" w:cs="Times New Roman"/>
          <w:szCs w:val="24"/>
        </w:rPr>
        <w:t>.</w:t>
      </w:r>
    </w:p>
    <w:p w14:paraId="7313B5E7" w14:textId="77777777" w:rsidR="005C3FA2" w:rsidRPr="0059256C" w:rsidRDefault="005C3FA2" w:rsidP="0059256C">
      <w:pPr>
        <w:pStyle w:val="Heading2"/>
      </w:pPr>
      <w:bookmarkStart w:id="35" w:name="_Toc35249019"/>
      <w:r w:rsidRPr="0059256C">
        <w:t>How to identify relevant records for the proactive protection of vulnerable persons</w:t>
      </w:r>
      <w:bookmarkEnd w:id="35"/>
      <w:r w:rsidRPr="0059256C">
        <w:t xml:space="preserve"> </w:t>
      </w:r>
    </w:p>
    <w:p w14:paraId="56364186" w14:textId="6367A795" w:rsidR="005C3FA2" w:rsidRDefault="005C3FA2" w:rsidP="0059256C">
      <w:pPr>
        <w:spacing w:before="120" w:after="120"/>
      </w:pPr>
      <w:r>
        <w:t xml:space="preserve">Public records provide corroborating evidence of interactions and contact with vulnerable persons which may be relevant to </w:t>
      </w:r>
      <w:r w:rsidR="0067772F">
        <w:t xml:space="preserve">future allegations </w:t>
      </w:r>
      <w:r w:rsidR="00D32EBE">
        <w:t xml:space="preserve">and/or </w:t>
      </w:r>
      <w:r>
        <w:t>investigation</w:t>
      </w:r>
      <w:r w:rsidR="0067772F">
        <w:t>s</w:t>
      </w:r>
      <w:r>
        <w:t xml:space="preserve"> of abuse. </w:t>
      </w:r>
      <w:r w:rsidR="001914AC">
        <w:t>Public authorities should be aware that records that relate to general operations (and not specifically services delivered to vulnerable persons) may become relevant to an actual or alleged incident of abuse.</w:t>
      </w:r>
    </w:p>
    <w:p w14:paraId="7A7C8D04" w14:textId="1901DC23" w:rsidR="005C3FA2" w:rsidRDefault="005C3FA2" w:rsidP="0059256C">
      <w:pPr>
        <w:spacing w:before="120" w:after="120"/>
      </w:pPr>
      <w:r>
        <w:t xml:space="preserve">To protect a person’s legal rights and entitlements, public authorities have </w:t>
      </w:r>
      <w:r w:rsidR="00EA7515">
        <w:t xml:space="preserve">a </w:t>
      </w:r>
      <w:r>
        <w:t>responsibility to maintain records which may provide corroborating evidence for any incidents, allegations, disclosures and investigations relevant to the proactive protection of vulnerable persons.</w:t>
      </w:r>
      <w:r w:rsidR="0037285C">
        <w:t xml:space="preserve"> </w:t>
      </w:r>
      <w:r w:rsidR="001914AC">
        <w:t xml:space="preserve">Each public authority is likely to have different records that may be relevant to a current </w:t>
      </w:r>
      <w:r w:rsidR="00646013">
        <w:t>or</w:t>
      </w:r>
      <w:r w:rsidR="001914AC">
        <w:t xml:space="preserve"> future abuse incident or allegation. This will likely depend on the type of services provided to, and </w:t>
      </w:r>
      <w:r w:rsidR="009C2854">
        <w:t xml:space="preserve">the </w:t>
      </w:r>
      <w:r w:rsidR="001914AC">
        <w:t>nature and extent of interaction with vulnerable persons.</w:t>
      </w:r>
    </w:p>
    <w:p w14:paraId="173ABC68" w14:textId="1784044C" w:rsidR="005C3FA2" w:rsidRDefault="005C3FA2" w:rsidP="0059256C">
      <w:pPr>
        <w:spacing w:before="120" w:after="120"/>
      </w:pPr>
      <w:bookmarkStart w:id="36" w:name="_Hlk22888146"/>
      <w:r>
        <w:t xml:space="preserve">A risk analysis can assist in identifying records which may be </w:t>
      </w:r>
      <w:r w:rsidR="00937327">
        <w:t xml:space="preserve">regarded as </w:t>
      </w:r>
      <w:r>
        <w:t>corroborating evidence.</w:t>
      </w:r>
      <w:bookmarkEnd w:id="36"/>
    </w:p>
    <w:p w14:paraId="2F27B95C" w14:textId="77777777" w:rsidR="0059256C" w:rsidRPr="00A27AAC" w:rsidRDefault="0059256C" w:rsidP="007D64A0">
      <w:pPr>
        <w:keepNext/>
        <w:keepLines/>
        <w:pBdr>
          <w:top w:val="single" w:sz="4" w:space="1" w:color="auto"/>
          <w:left w:val="single" w:sz="4" w:space="4" w:color="auto"/>
          <w:bottom w:val="single" w:sz="4" w:space="1" w:color="auto"/>
          <w:right w:val="single" w:sz="4" w:space="4" w:color="auto"/>
        </w:pBdr>
        <w:shd w:val="clear" w:color="auto" w:fill="E2EFD9" w:themeFill="accent6" w:themeFillTint="33"/>
        <w:rPr>
          <w:b/>
        </w:rPr>
      </w:pPr>
      <w:r w:rsidRPr="00A27AAC">
        <w:rPr>
          <w:b/>
        </w:rPr>
        <w:lastRenderedPageBreak/>
        <w:t xml:space="preserve">This Guideline does </w:t>
      </w:r>
      <w:r>
        <w:rPr>
          <w:b/>
        </w:rPr>
        <w:t>NOT</w:t>
      </w:r>
      <w:r w:rsidRPr="00A27AAC">
        <w:rPr>
          <w:b/>
        </w:rPr>
        <w:t xml:space="preserve"> require your public authority to keep records of every interaction with vulnerable persons. </w:t>
      </w:r>
    </w:p>
    <w:p w14:paraId="21FEC023" w14:textId="77777777" w:rsidR="0059256C" w:rsidRDefault="0059256C" w:rsidP="007D64A0">
      <w:pPr>
        <w:keepNext/>
        <w:keepLines/>
        <w:pBdr>
          <w:top w:val="single" w:sz="4" w:space="1" w:color="auto"/>
          <w:left w:val="single" w:sz="4" w:space="4" w:color="auto"/>
          <w:bottom w:val="single" w:sz="4" w:space="1" w:color="auto"/>
          <w:right w:val="single" w:sz="4" w:space="4" w:color="auto"/>
        </w:pBdr>
        <w:shd w:val="clear" w:color="auto" w:fill="E2EFD9" w:themeFill="accent6" w:themeFillTint="33"/>
      </w:pPr>
      <w:r>
        <w:t>Public authorities need to consider which records might be needed in case an allegation of abuse is made in the future. Public authorities need to consider which records may be relevant, based on the type and level of interaction they have with vulnerable persons.</w:t>
      </w:r>
    </w:p>
    <w:p w14:paraId="41AD4473" w14:textId="451DBDA8" w:rsidR="0059256C" w:rsidRPr="008D28DA" w:rsidRDefault="0059256C" w:rsidP="007D64A0">
      <w:pPr>
        <w:keepNext/>
        <w:keepLines/>
        <w:pBdr>
          <w:top w:val="single" w:sz="4" w:space="1" w:color="auto"/>
          <w:left w:val="single" w:sz="4" w:space="4" w:color="auto"/>
          <w:bottom w:val="single" w:sz="4" w:space="1" w:color="auto"/>
          <w:right w:val="single" w:sz="4" w:space="4" w:color="auto"/>
        </w:pBdr>
        <w:shd w:val="clear" w:color="auto" w:fill="E2EFD9" w:themeFill="accent6" w:themeFillTint="33"/>
        <w:spacing w:before="120" w:after="120"/>
      </w:pPr>
      <w:r>
        <w:t xml:space="preserve">Use the workflow and advice below to identify interactions, identify risk and manage interactions for the proactive protection of vulnerable persons.  </w:t>
      </w:r>
    </w:p>
    <w:p w14:paraId="53383644" w14:textId="3996984E" w:rsidR="005C3FA2" w:rsidRPr="0059256C" w:rsidRDefault="005C3FA2" w:rsidP="0059256C">
      <w:pPr>
        <w:pStyle w:val="Heading2"/>
      </w:pPr>
      <w:bookmarkStart w:id="37" w:name="_Toc35249020"/>
      <w:r w:rsidRPr="0059256C">
        <w:t>Risk analysis workflow – Proactive protection of vulnerable persons</w:t>
      </w:r>
      <w:bookmarkEnd w:id="37"/>
      <w:r w:rsidRPr="0059256C">
        <w:t xml:space="preserve"> </w:t>
      </w:r>
    </w:p>
    <w:p w14:paraId="025DE73F" w14:textId="77777777" w:rsidR="005C3FA2" w:rsidRDefault="005C3FA2" w:rsidP="0059256C">
      <w:pPr>
        <w:spacing w:before="0" w:after="0" w:line="259" w:lineRule="auto"/>
        <w:contextualSpacing/>
        <w:rPr>
          <w:sz w:val="16"/>
          <w:szCs w:val="16"/>
        </w:rPr>
      </w:pPr>
      <w:r>
        <w:rPr>
          <w:noProof/>
        </w:rPr>
        <w:drawing>
          <wp:inline distT="0" distB="0" distL="0" distR="0" wp14:anchorId="413A6C5E" wp14:editId="795C1AAD">
            <wp:extent cx="5572125" cy="4914900"/>
            <wp:effectExtent l="0" t="0" r="0" b="1905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41C66B5A" w14:textId="7729ACCF" w:rsidR="005C3FA2" w:rsidRPr="0059256C" w:rsidRDefault="005C3FA2" w:rsidP="0059256C">
      <w:pPr>
        <w:pStyle w:val="Heading2"/>
      </w:pPr>
      <w:bookmarkStart w:id="38" w:name="_Toc35249021"/>
      <w:r w:rsidRPr="0059256C">
        <w:lastRenderedPageBreak/>
        <w:t>Unpacking the workflow</w:t>
      </w:r>
      <w:bookmarkEnd w:id="38"/>
    </w:p>
    <w:p w14:paraId="7411263F" w14:textId="77777777" w:rsidR="005C3FA2" w:rsidRDefault="005C3FA2" w:rsidP="0059256C">
      <w:r>
        <w:rPr>
          <w:noProof/>
        </w:rPr>
        <w:drawing>
          <wp:inline distT="0" distB="0" distL="0" distR="0" wp14:anchorId="5D785874" wp14:editId="26006481">
            <wp:extent cx="6089650" cy="3727450"/>
            <wp:effectExtent l="38100" t="19050" r="25400" b="444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50F534D3" w14:textId="5B9F3067" w:rsidR="005C3FA2" w:rsidRDefault="005C3FA2" w:rsidP="0059256C">
      <w:pPr>
        <w:spacing w:before="120" w:after="120"/>
      </w:pPr>
      <w:r>
        <w:t xml:space="preserve">Public authorities must carefully assess how their business interacts with vulnerable persons. This includes public authorities that infrequently interact with vulnerable persons (e.g. apprentices building </w:t>
      </w:r>
      <w:r w:rsidR="00937327">
        <w:t xml:space="preserve">or maintaining </w:t>
      </w:r>
      <w:r>
        <w:t>roads).</w:t>
      </w:r>
      <w:r w:rsidRPr="0016429F">
        <w:t xml:space="preserve"> </w:t>
      </w:r>
      <w:r>
        <w:t xml:space="preserve">In this situation consider embedding strong governance practices and raising staff awareness of general responsibilities for infrequent interactions with vulnerable people. </w:t>
      </w:r>
    </w:p>
    <w:p w14:paraId="2BFF6E50" w14:textId="77777777" w:rsidR="0059256C" w:rsidRPr="0059256C" w:rsidRDefault="0059256C" w:rsidP="0036621F">
      <w:pPr>
        <w:pStyle w:val="Heading3"/>
      </w:pPr>
      <w:bookmarkStart w:id="39" w:name="_Toc35249022"/>
      <w:r w:rsidRPr="0059256C">
        <w:t>Example</w:t>
      </w:r>
      <w:bookmarkEnd w:id="39"/>
    </w:p>
    <w:p w14:paraId="532E22F2" w14:textId="0510C0C1" w:rsidR="0059256C" w:rsidRDefault="0059256C" w:rsidP="0036621F">
      <w:r>
        <w:t>The main function of a water authority may revolve around</w:t>
      </w:r>
      <w:r>
        <w:rPr>
          <w:rStyle w:val="e24kjd"/>
        </w:rPr>
        <w:t xml:space="preserve"> </w:t>
      </w:r>
      <w:r w:rsidRPr="00B746D2">
        <w:rPr>
          <w:rStyle w:val="e24kjd"/>
          <w:bCs/>
        </w:rPr>
        <w:t>water</w:t>
      </w:r>
      <w:r>
        <w:rPr>
          <w:rStyle w:val="e24kjd"/>
        </w:rPr>
        <w:t xml:space="preserve"> supply, drainage, sewerage, salinity mitigation services etc but they may also occasionally conduct tours of their facilities.  These may include vulnerable persons e.g. school groups or senior citizens groups. In this instance the water authority will need to consider the nature of the interaction and any risk </w:t>
      </w:r>
      <w:r w:rsidR="00937327">
        <w:rPr>
          <w:rStyle w:val="e24kjd"/>
        </w:rPr>
        <w:t xml:space="preserve">of abuse occurring. </w:t>
      </w:r>
    </w:p>
    <w:p w14:paraId="75D47066" w14:textId="348BB6E9" w:rsidR="005C3FA2" w:rsidRPr="0059256C" w:rsidRDefault="005C3FA2" w:rsidP="0059256C">
      <w:pPr>
        <w:pStyle w:val="Heading2"/>
      </w:pPr>
      <w:bookmarkStart w:id="40" w:name="_Toc35249023"/>
      <w:r w:rsidRPr="0059256C">
        <w:t>Nature of interactions and evaluation of risk</w:t>
      </w:r>
      <w:r w:rsidR="00711FD6">
        <w:t xml:space="preserve"> </w:t>
      </w:r>
      <w:r w:rsidR="00D749CD">
        <w:t>–</w:t>
      </w:r>
      <w:r w:rsidR="00711FD6">
        <w:t xml:space="preserve"> </w:t>
      </w:r>
      <w:r w:rsidRPr="0059256C">
        <w:t>contact or interactions with vulnerable persons</w:t>
      </w:r>
      <w:bookmarkEnd w:id="40"/>
    </w:p>
    <w:p w14:paraId="71E901B9" w14:textId="1C3E7908" w:rsidR="005C3FA2" w:rsidRDefault="001914AC" w:rsidP="0059256C">
      <w:pPr>
        <w:spacing w:before="120" w:after="120"/>
      </w:pPr>
      <w:r>
        <w:t xml:space="preserve">Not all public authorities have the same level of risk that an incident or allegation of abuse could occur. </w:t>
      </w:r>
      <w:r w:rsidR="005C3FA2">
        <w:t xml:space="preserve">To implement this guideline, it is critical to analyse identified interactions between a public authority and vulnerable persons and </w:t>
      </w:r>
      <w:r w:rsidR="005C3FA2" w:rsidRPr="005E7E84">
        <w:rPr>
          <w:b/>
          <w:bCs/>
        </w:rPr>
        <w:t>assess if the nature of the interaction carries a level of risk to the vulnerable person</w:t>
      </w:r>
      <w:r w:rsidR="005C3FA2" w:rsidRPr="005E7E84">
        <w:t>.</w:t>
      </w:r>
    </w:p>
    <w:p w14:paraId="13A82506" w14:textId="77777777" w:rsidR="0059256C" w:rsidRPr="0059256C" w:rsidRDefault="0059256C" w:rsidP="0059256C">
      <w:pPr>
        <w:keepNext/>
        <w:keepLines/>
        <w:pBdr>
          <w:top w:val="single" w:sz="4" w:space="1" w:color="auto"/>
          <w:left w:val="single" w:sz="4" w:space="4" w:color="auto"/>
          <w:bottom w:val="single" w:sz="4" w:space="1" w:color="auto"/>
          <w:right w:val="single" w:sz="4" w:space="4" w:color="auto"/>
        </w:pBdr>
        <w:shd w:val="clear" w:color="auto" w:fill="E2EFD9" w:themeFill="accent6" w:themeFillTint="33"/>
        <w:rPr>
          <w:b/>
          <w:bCs/>
        </w:rPr>
      </w:pPr>
      <w:r w:rsidRPr="0059256C">
        <w:rPr>
          <w:b/>
          <w:bCs/>
        </w:rPr>
        <w:lastRenderedPageBreak/>
        <w:t>Risk management within the context of interactions with vulnerable persons</w:t>
      </w:r>
    </w:p>
    <w:p w14:paraId="34A1234F" w14:textId="77777777" w:rsidR="0059256C" w:rsidRDefault="0059256C" w:rsidP="0059256C">
      <w:pPr>
        <w:keepNext/>
        <w:keepLines/>
        <w:pBdr>
          <w:top w:val="single" w:sz="4" w:space="1" w:color="auto"/>
          <w:left w:val="single" w:sz="4" w:space="4" w:color="auto"/>
          <w:bottom w:val="single" w:sz="4" w:space="1" w:color="auto"/>
          <w:right w:val="single" w:sz="4" w:space="4" w:color="auto"/>
        </w:pBdr>
        <w:shd w:val="clear" w:color="auto" w:fill="E2EFD9" w:themeFill="accent6" w:themeFillTint="33"/>
      </w:pPr>
      <w:r>
        <w:t xml:space="preserve">When analysing the risk associated with any interactions your public authority may have with vulnerable persons, it is important to remember that risk should be considered within the context of the vulnerable person. This requires flipping the traditional risk lens to assess the risk on behalf of someone else – not necessarily just the risk to the public authority. </w:t>
      </w:r>
    </w:p>
    <w:p w14:paraId="23B5E1E7" w14:textId="24D45628" w:rsidR="0059256C" w:rsidRDefault="0059256C" w:rsidP="0059256C">
      <w:pPr>
        <w:keepNext/>
        <w:keepLines/>
        <w:pBdr>
          <w:top w:val="single" w:sz="4" w:space="1" w:color="auto"/>
          <w:left w:val="single" w:sz="4" w:space="4" w:color="auto"/>
          <w:bottom w:val="single" w:sz="4" w:space="1" w:color="auto"/>
          <w:right w:val="single" w:sz="4" w:space="4" w:color="auto"/>
        </w:pBdr>
        <w:shd w:val="clear" w:color="auto" w:fill="E2EFD9" w:themeFill="accent6" w:themeFillTint="33"/>
      </w:pPr>
      <w:r>
        <w:t xml:space="preserve">The flipping of the traditional risk lens is consistent with legislative changes being made to the </w:t>
      </w:r>
      <w:r w:rsidRPr="00305C25">
        <w:rPr>
          <w:i/>
        </w:rPr>
        <w:t>Civil Liability Act 2003</w:t>
      </w:r>
      <w:r>
        <w:t>, which reverses the onus of proof to the public authority. Changes to legislation requires the institution to demonstrate that they took all reasonable steps to prevent abuse to a vulnerable person.</w:t>
      </w:r>
    </w:p>
    <w:p w14:paraId="1D3C1DD8" w14:textId="0DBA27C0" w:rsidR="00157020" w:rsidRDefault="00157020" w:rsidP="0059256C">
      <w:r>
        <w:t xml:space="preserve">Each public authority will likely have their own risk management framework. </w:t>
      </w:r>
      <w:r w:rsidR="000F7DC9">
        <w:t>Consider how these frameworks can be applied r</w:t>
      </w:r>
      <w:r>
        <w:t>ather than developing a new framework for the context of interactions with vulnerable persons.</w:t>
      </w:r>
    </w:p>
    <w:p w14:paraId="3A48551F" w14:textId="6EBF5DB7" w:rsidR="00157020" w:rsidRPr="00D32EBE" w:rsidRDefault="00157020" w:rsidP="0059256C">
      <w:pPr>
        <w:rPr>
          <w:i/>
          <w:iCs/>
        </w:rPr>
      </w:pPr>
      <w:r>
        <w:t xml:space="preserve">If your public authority does not have a risk management framework in place, there </w:t>
      </w:r>
      <w:r w:rsidR="000F7DC9">
        <w:t>are</w:t>
      </w:r>
      <w:r>
        <w:t xml:space="preserve"> </w:t>
      </w:r>
      <w:proofErr w:type="gramStart"/>
      <w:r>
        <w:t xml:space="preserve">a </w:t>
      </w:r>
      <w:r w:rsidR="00937327">
        <w:t>number</w:t>
      </w:r>
      <w:r>
        <w:t xml:space="preserve"> of</w:t>
      </w:r>
      <w:proofErr w:type="gramEnd"/>
      <w:r>
        <w:t xml:space="preserve"> resources available</w:t>
      </w:r>
      <w:r w:rsidR="00BB1E54">
        <w:t xml:space="preserve"> that can assist</w:t>
      </w:r>
      <w:r>
        <w:t xml:space="preserve">. </w:t>
      </w:r>
      <w:r w:rsidR="00D92333">
        <w:t>For example, t</w:t>
      </w:r>
      <w:r>
        <w:t xml:space="preserve">he Queensland Treasury </w:t>
      </w:r>
      <w:r>
        <w:rPr>
          <w:i/>
        </w:rPr>
        <w:t>Guide to Risk Management</w:t>
      </w:r>
      <w:r>
        <w:rPr>
          <w:rStyle w:val="FootnoteReference"/>
          <w:i/>
        </w:rPr>
        <w:footnoteReference w:id="6"/>
      </w:r>
      <w:r>
        <w:rPr>
          <w:i/>
        </w:rPr>
        <w:t xml:space="preserve"> </w:t>
      </w:r>
      <w:r>
        <w:t xml:space="preserve">provides an overview of the key concepts of risk management, and guidance on how the risk management process can be practically applied by any Queensland public authority. This advice is based on </w:t>
      </w:r>
      <w:r w:rsidRPr="00D32EBE">
        <w:rPr>
          <w:i/>
          <w:iCs/>
        </w:rPr>
        <w:t>AS/NZS ISO 31000:2009 Risk management – Principles and Guidelines</w:t>
      </w:r>
      <w:r w:rsidR="00FE0081" w:rsidRPr="00D32EBE">
        <w:rPr>
          <w:i/>
          <w:iCs/>
        </w:rPr>
        <w:t>.</w:t>
      </w:r>
    </w:p>
    <w:p w14:paraId="5446C4A4" w14:textId="756282F6" w:rsidR="001348E7" w:rsidRPr="00B817EB" w:rsidRDefault="001348E7" w:rsidP="0059256C">
      <w:r>
        <w:t xml:space="preserve">The examples developed below provide generic examples of the types of interactions a public authority may have with vulnerable persons. These examples are intended to be generic in nature. Individual scenarios within each public authority will likely differ and carry different levels of risk to a vulnerable person. The following examples highlight the </w:t>
      </w:r>
      <w:r>
        <w:rPr>
          <w:b/>
        </w:rPr>
        <w:t>potential</w:t>
      </w:r>
      <w:r>
        <w:t xml:space="preserve"> of abuse occurring. Use the risk management framework in place within your public authority to identify risks associated with interactions that are specific to your circumstances.</w:t>
      </w:r>
    </w:p>
    <w:p w14:paraId="3518B96A" w14:textId="6124CF05" w:rsidR="005C3FA2" w:rsidRPr="001C2FA7" w:rsidRDefault="005C3FA2" w:rsidP="0059256C">
      <w:pPr>
        <w:pStyle w:val="Heading3"/>
      </w:pPr>
      <w:bookmarkStart w:id="41" w:name="_Toc35249024"/>
      <w:r w:rsidRPr="001C2FA7">
        <w:t>Examples</w:t>
      </w:r>
      <w:bookmarkEnd w:id="41"/>
    </w:p>
    <w:p w14:paraId="108DF0AD" w14:textId="77777777" w:rsidR="005C3FA2" w:rsidRDefault="005C3FA2" w:rsidP="0059256C">
      <w:pPr>
        <w:spacing w:before="600" w:after="0"/>
        <w:ind w:left="1701"/>
      </w:pPr>
      <w:r>
        <w:rPr>
          <w:b/>
          <w:noProof/>
        </w:rPr>
        <w:drawing>
          <wp:anchor distT="0" distB="0" distL="114300" distR="114300" simplePos="0" relativeHeight="251662336" behindDoc="0" locked="0" layoutInCell="1" allowOverlap="1" wp14:anchorId="5B054092" wp14:editId="53474BE7">
            <wp:simplePos x="0" y="0"/>
            <wp:positionH relativeFrom="margin">
              <wp:align>left</wp:align>
            </wp:positionH>
            <wp:positionV relativeFrom="paragraph">
              <wp:posOffset>280035</wp:posOffset>
            </wp:positionV>
            <wp:extent cx="914400" cy="914400"/>
            <wp:effectExtent l="0" t="0" r="0" b="0"/>
            <wp:wrapSquare wrapText="bothSides"/>
            <wp:docPr id="9" name="Graphic 9"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grammer.sv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914400" cy="914400"/>
                    </a:xfrm>
                    <a:prstGeom prst="rect">
                      <a:avLst/>
                    </a:prstGeom>
                  </pic:spPr>
                </pic:pic>
              </a:graphicData>
            </a:graphic>
          </wp:anchor>
        </w:drawing>
      </w:r>
      <w:r w:rsidRPr="00146DF7">
        <w:rPr>
          <w:b/>
        </w:rPr>
        <w:t>Interaction</w:t>
      </w:r>
      <w:r>
        <w:t xml:space="preserve">: online homework help session </w:t>
      </w:r>
    </w:p>
    <w:p w14:paraId="3056D62B" w14:textId="77777777" w:rsidR="005C3FA2" w:rsidRDefault="005C3FA2" w:rsidP="0059256C">
      <w:pPr>
        <w:spacing w:before="120" w:after="120"/>
        <w:ind w:left="1701"/>
      </w:pPr>
      <w:r w:rsidRPr="00146DF7">
        <w:rPr>
          <w:b/>
        </w:rPr>
        <w:t>Nature of the interaction</w:t>
      </w:r>
      <w:r>
        <w:t xml:space="preserve">: one to many </w:t>
      </w:r>
    </w:p>
    <w:p w14:paraId="0E6307BD" w14:textId="77777777" w:rsidR="005C3FA2" w:rsidRDefault="005C3FA2" w:rsidP="0059256C">
      <w:pPr>
        <w:spacing w:before="120" w:after="120"/>
        <w:ind w:left="1701"/>
      </w:pPr>
      <w:r w:rsidRPr="00146DF7">
        <w:rPr>
          <w:b/>
        </w:rPr>
        <w:t>Setting</w:t>
      </w:r>
      <w:r>
        <w:t xml:space="preserve">: public forum with the whole class, teacher and teacher’s assistant </w:t>
      </w:r>
    </w:p>
    <w:p w14:paraId="082CA884" w14:textId="77777777" w:rsidR="005C3FA2" w:rsidRDefault="005C3FA2" w:rsidP="0059256C">
      <w:pPr>
        <w:spacing w:before="120" w:after="120"/>
        <w:ind w:left="1701"/>
      </w:pPr>
      <w:r w:rsidRPr="00146DF7">
        <w:rPr>
          <w:b/>
        </w:rPr>
        <w:t>Risk</w:t>
      </w:r>
      <w:r>
        <w:t xml:space="preserve">: incident of abuse occurring in that setting is unlikely  </w:t>
      </w:r>
    </w:p>
    <w:p w14:paraId="3449950A" w14:textId="77777777" w:rsidR="005C3FA2" w:rsidRDefault="005C3FA2" w:rsidP="0059256C">
      <w:pPr>
        <w:spacing w:before="120" w:after="120"/>
        <w:ind w:left="1701"/>
      </w:pPr>
      <w:bookmarkStart w:id="42" w:name="_Hlk21692000"/>
      <w:r>
        <w:rPr>
          <w:b/>
        </w:rPr>
        <w:t>Action</w:t>
      </w:r>
      <w:r w:rsidRPr="00FA375A">
        <w:t>:</w:t>
      </w:r>
      <w:r>
        <w:t xml:space="preserve"> </w:t>
      </w:r>
      <w:bookmarkEnd w:id="42"/>
      <w:r>
        <w:t>manage records as per business as usual</w:t>
      </w:r>
    </w:p>
    <w:p w14:paraId="194A288D" w14:textId="7A0C6BEF" w:rsidR="005C3FA2" w:rsidRDefault="005C3FA2" w:rsidP="0059256C">
      <w:pPr>
        <w:spacing w:before="600" w:after="0"/>
        <w:ind w:left="1701"/>
      </w:pPr>
      <w:r w:rsidRPr="00146DF7">
        <w:rPr>
          <w:b/>
          <w:noProof/>
        </w:rPr>
        <w:drawing>
          <wp:anchor distT="0" distB="0" distL="114300" distR="114300" simplePos="0" relativeHeight="251659264" behindDoc="0" locked="0" layoutInCell="1" allowOverlap="1" wp14:anchorId="3A002AC9" wp14:editId="7655D844">
            <wp:simplePos x="0" y="0"/>
            <wp:positionH relativeFrom="margin">
              <wp:align>left</wp:align>
            </wp:positionH>
            <wp:positionV relativeFrom="paragraph">
              <wp:posOffset>314325</wp:posOffset>
            </wp:positionV>
            <wp:extent cx="914400" cy="914400"/>
            <wp:effectExtent l="0" t="0" r="0" b="0"/>
            <wp:wrapSquare wrapText="bothSides"/>
            <wp:docPr id="27" name="Picture 27"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bwMode="auto">
                    <a:xfrm>
                      <a:off x="0" y="0"/>
                      <a:ext cx="914400" cy="914400"/>
                    </a:xfrm>
                    <a:prstGeom prst="rect">
                      <a:avLst/>
                    </a:prstGeom>
                  </pic:spPr>
                </pic:pic>
              </a:graphicData>
            </a:graphic>
          </wp:anchor>
        </w:drawing>
      </w:r>
      <w:r w:rsidRPr="00146DF7">
        <w:rPr>
          <w:b/>
        </w:rPr>
        <w:t>Interaction</w:t>
      </w:r>
      <w:r>
        <w:t>: counselling session</w:t>
      </w:r>
    </w:p>
    <w:p w14:paraId="4D025C66" w14:textId="77777777" w:rsidR="005C3FA2" w:rsidRDefault="005C3FA2" w:rsidP="0059256C">
      <w:pPr>
        <w:spacing w:before="120" w:after="120"/>
        <w:ind w:left="1701"/>
      </w:pPr>
      <w:r w:rsidRPr="00146DF7">
        <w:rPr>
          <w:b/>
        </w:rPr>
        <w:t>Nature of the interaction</w:t>
      </w:r>
      <w:r>
        <w:t>: one on one</w:t>
      </w:r>
    </w:p>
    <w:p w14:paraId="6E9F9137" w14:textId="77777777" w:rsidR="005C3FA2" w:rsidRDefault="005C3FA2" w:rsidP="0059256C">
      <w:pPr>
        <w:spacing w:before="120" w:after="120"/>
        <w:ind w:left="1701"/>
      </w:pPr>
      <w:r w:rsidRPr="00146DF7">
        <w:rPr>
          <w:b/>
        </w:rPr>
        <w:t>Setting</w:t>
      </w:r>
      <w:r>
        <w:t xml:space="preserve">: private setting away from scrutiny </w:t>
      </w:r>
    </w:p>
    <w:p w14:paraId="7A92D4DA" w14:textId="77777777" w:rsidR="005C3FA2" w:rsidRDefault="005C3FA2" w:rsidP="0059256C">
      <w:pPr>
        <w:spacing w:before="120" w:after="120"/>
        <w:ind w:left="1701"/>
      </w:pPr>
      <w:r w:rsidRPr="00146DF7">
        <w:rPr>
          <w:b/>
        </w:rPr>
        <w:t>Risk</w:t>
      </w:r>
      <w:r>
        <w:t>: incident of abuse occurring in that setting is possible</w:t>
      </w:r>
    </w:p>
    <w:p w14:paraId="6DFCA25C" w14:textId="77777777" w:rsidR="005C3FA2" w:rsidRDefault="005C3FA2" w:rsidP="0059256C">
      <w:pPr>
        <w:spacing w:before="120" w:after="120"/>
        <w:ind w:left="1701"/>
      </w:pPr>
      <w:bookmarkStart w:id="43" w:name="_Hlk21692044"/>
      <w:r>
        <w:rPr>
          <w:b/>
        </w:rPr>
        <w:t>Action</w:t>
      </w:r>
      <w:r w:rsidRPr="00FA375A">
        <w:t>:</w:t>
      </w:r>
      <w:r>
        <w:t xml:space="preserve"> refer to </w:t>
      </w:r>
      <w:hyperlink w:anchor="MitigateRisk" w:history="1">
        <w:r w:rsidRPr="00FA375A">
          <w:rPr>
            <w:rStyle w:val="Hyperlink"/>
          </w:rPr>
          <w:t xml:space="preserve">Mitigate risk </w:t>
        </w:r>
        <w:r>
          <w:rPr>
            <w:rStyle w:val="Hyperlink"/>
          </w:rPr>
          <w:t>and</w:t>
        </w:r>
        <w:r w:rsidRPr="00FA375A">
          <w:rPr>
            <w:rStyle w:val="Hyperlink"/>
          </w:rPr>
          <w:t xml:space="preserve"> decide on best evidence</w:t>
        </w:r>
      </w:hyperlink>
      <w:bookmarkEnd w:id="43"/>
      <w:r>
        <w:t xml:space="preserve"> </w:t>
      </w:r>
    </w:p>
    <w:p w14:paraId="25F978EF" w14:textId="77777777" w:rsidR="005C3FA2" w:rsidRDefault="005C3FA2" w:rsidP="0059256C">
      <w:pPr>
        <w:spacing w:before="600" w:after="0"/>
        <w:ind w:left="1701"/>
      </w:pPr>
      <w:r>
        <w:rPr>
          <w:noProof/>
        </w:rPr>
        <w:lastRenderedPageBreak/>
        <w:drawing>
          <wp:anchor distT="0" distB="0" distL="114300" distR="114300" simplePos="0" relativeHeight="251660288" behindDoc="1" locked="0" layoutInCell="1" allowOverlap="1" wp14:anchorId="577275FA" wp14:editId="24C042EC">
            <wp:simplePos x="0" y="0"/>
            <wp:positionH relativeFrom="margin">
              <wp:align>left</wp:align>
            </wp:positionH>
            <wp:positionV relativeFrom="paragraph">
              <wp:posOffset>0</wp:posOffset>
            </wp:positionV>
            <wp:extent cx="914400" cy="914400"/>
            <wp:effectExtent l="0" t="0" r="0" b="0"/>
            <wp:wrapSquare wrapText="bothSides"/>
            <wp:docPr id="3" name="Graphic 3" descr="Board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ardroom.svg"/>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914400" cy="914400"/>
                    </a:xfrm>
                    <a:prstGeom prst="rect">
                      <a:avLst/>
                    </a:prstGeom>
                  </pic:spPr>
                </pic:pic>
              </a:graphicData>
            </a:graphic>
          </wp:anchor>
        </w:drawing>
      </w:r>
      <w:r w:rsidRPr="00666748">
        <w:rPr>
          <w:b/>
        </w:rPr>
        <w:t>Interaction</w:t>
      </w:r>
      <w:r>
        <w:t>: social inclusion program at council community centre</w:t>
      </w:r>
    </w:p>
    <w:p w14:paraId="6EA11F12" w14:textId="77777777" w:rsidR="005C3FA2" w:rsidRDefault="005C3FA2" w:rsidP="0059256C">
      <w:pPr>
        <w:spacing w:before="120" w:after="120"/>
        <w:ind w:left="1701"/>
      </w:pPr>
      <w:r w:rsidRPr="00666748">
        <w:rPr>
          <w:b/>
        </w:rPr>
        <w:t>Nature of the Interaction</w:t>
      </w:r>
      <w:r>
        <w:t>: many to many</w:t>
      </w:r>
    </w:p>
    <w:p w14:paraId="3631E2DC" w14:textId="77777777" w:rsidR="005C3FA2" w:rsidRDefault="005C3FA2" w:rsidP="0059256C">
      <w:pPr>
        <w:spacing w:before="120" w:after="120"/>
        <w:ind w:left="1701"/>
      </w:pPr>
      <w:r w:rsidRPr="00666748">
        <w:rPr>
          <w:b/>
        </w:rPr>
        <w:t>Setting</w:t>
      </w:r>
      <w:r>
        <w:t>: public area of community centre with multiple support staff/facilitators</w:t>
      </w:r>
    </w:p>
    <w:p w14:paraId="32D8EC5D" w14:textId="77777777" w:rsidR="005C3FA2" w:rsidRDefault="005C3FA2" w:rsidP="0059256C">
      <w:pPr>
        <w:spacing w:before="120" w:after="120"/>
        <w:ind w:left="1701"/>
      </w:pPr>
      <w:r w:rsidRPr="00666748">
        <w:rPr>
          <w:b/>
        </w:rPr>
        <w:t>Risk</w:t>
      </w:r>
      <w:r>
        <w:t>: incident of abuse occurring in that setting is unlikely</w:t>
      </w:r>
    </w:p>
    <w:p w14:paraId="46F0687A" w14:textId="77777777" w:rsidR="005C3FA2" w:rsidRDefault="005C3FA2" w:rsidP="0059256C">
      <w:pPr>
        <w:spacing w:before="120" w:after="120"/>
        <w:ind w:left="1701"/>
      </w:pPr>
      <w:r>
        <w:rPr>
          <w:b/>
        </w:rPr>
        <w:t>Action</w:t>
      </w:r>
      <w:r w:rsidRPr="00FA375A">
        <w:t>:</w:t>
      </w:r>
      <w:r>
        <w:t xml:space="preserve"> manage records as per business as usual</w:t>
      </w:r>
    </w:p>
    <w:p w14:paraId="5CB5B008" w14:textId="372891A1" w:rsidR="005C3FA2" w:rsidRDefault="0059256C" w:rsidP="0059256C">
      <w:pPr>
        <w:spacing w:before="600" w:after="0"/>
        <w:ind w:left="1701"/>
      </w:pPr>
      <w:r>
        <w:rPr>
          <w:noProof/>
        </w:rPr>
        <w:drawing>
          <wp:anchor distT="0" distB="0" distL="114300" distR="114300" simplePos="0" relativeHeight="251661312" behindDoc="0" locked="0" layoutInCell="1" allowOverlap="1" wp14:anchorId="67FC5888" wp14:editId="7667477C">
            <wp:simplePos x="0" y="0"/>
            <wp:positionH relativeFrom="margin">
              <wp:posOffset>19050</wp:posOffset>
            </wp:positionH>
            <wp:positionV relativeFrom="paragraph">
              <wp:posOffset>313690</wp:posOffset>
            </wp:positionV>
            <wp:extent cx="914400" cy="914400"/>
            <wp:effectExtent l="0" t="0" r="0" b="0"/>
            <wp:wrapSquare wrapText="bothSides"/>
            <wp:docPr id="5" name="Graphic 5" descr="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ower.svg"/>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914400" cy="914400"/>
                    </a:xfrm>
                    <a:prstGeom prst="rect">
                      <a:avLst/>
                    </a:prstGeom>
                  </pic:spPr>
                </pic:pic>
              </a:graphicData>
            </a:graphic>
          </wp:anchor>
        </w:drawing>
      </w:r>
      <w:r w:rsidR="005C3FA2" w:rsidRPr="00526374">
        <w:rPr>
          <w:b/>
        </w:rPr>
        <w:t>Interaction</w:t>
      </w:r>
      <w:r w:rsidR="005C3FA2">
        <w:t>: personal care program - assistance with showering and dressing</w:t>
      </w:r>
    </w:p>
    <w:p w14:paraId="412EF8D9" w14:textId="77777777" w:rsidR="005C3FA2" w:rsidRDefault="005C3FA2" w:rsidP="0059256C">
      <w:pPr>
        <w:spacing w:before="120" w:after="120"/>
        <w:ind w:left="1701"/>
      </w:pPr>
      <w:r w:rsidRPr="00526374">
        <w:rPr>
          <w:b/>
        </w:rPr>
        <w:t>Nature of the interaction</w:t>
      </w:r>
      <w:r>
        <w:t>: one on one</w:t>
      </w:r>
    </w:p>
    <w:p w14:paraId="420D83C9" w14:textId="77777777" w:rsidR="005C3FA2" w:rsidRDefault="005C3FA2" w:rsidP="0059256C">
      <w:pPr>
        <w:spacing w:before="120" w:after="120"/>
        <w:ind w:left="1701"/>
      </w:pPr>
      <w:r w:rsidRPr="00526374">
        <w:rPr>
          <w:b/>
        </w:rPr>
        <w:t>Setting</w:t>
      </w:r>
      <w:r>
        <w:t>: private setting away from scrutiny</w:t>
      </w:r>
    </w:p>
    <w:p w14:paraId="1B857F87" w14:textId="77777777" w:rsidR="005C3FA2" w:rsidRDefault="005C3FA2" w:rsidP="0059256C">
      <w:pPr>
        <w:spacing w:before="120" w:after="120"/>
        <w:ind w:left="1701"/>
      </w:pPr>
      <w:r w:rsidRPr="00526374">
        <w:rPr>
          <w:b/>
        </w:rPr>
        <w:t>Risk:</w:t>
      </w:r>
      <w:r>
        <w:t xml:space="preserve"> incident of abuse occurring in that setting is possible</w:t>
      </w:r>
    </w:p>
    <w:p w14:paraId="6B7A18C9" w14:textId="77777777" w:rsidR="005C3FA2" w:rsidRDefault="005C3FA2" w:rsidP="0059256C">
      <w:pPr>
        <w:spacing w:before="120" w:after="120"/>
        <w:ind w:left="1701"/>
      </w:pPr>
      <w:r>
        <w:rPr>
          <w:b/>
        </w:rPr>
        <w:t>Action</w:t>
      </w:r>
      <w:r w:rsidRPr="00FA375A">
        <w:t>:</w:t>
      </w:r>
      <w:r>
        <w:t xml:space="preserve"> refer to </w:t>
      </w:r>
      <w:hyperlink w:anchor="MitigateRisk" w:history="1">
        <w:r w:rsidRPr="00FA375A">
          <w:rPr>
            <w:rStyle w:val="Hyperlink"/>
          </w:rPr>
          <w:t xml:space="preserve">Mitigate risk </w:t>
        </w:r>
        <w:r>
          <w:rPr>
            <w:rStyle w:val="Hyperlink"/>
          </w:rPr>
          <w:t>and</w:t>
        </w:r>
        <w:r w:rsidRPr="00FA375A">
          <w:rPr>
            <w:rStyle w:val="Hyperlink"/>
          </w:rPr>
          <w:t xml:space="preserve"> decide on best evidence</w:t>
        </w:r>
      </w:hyperlink>
    </w:p>
    <w:p w14:paraId="4B849EC5" w14:textId="77777777" w:rsidR="005C3FA2" w:rsidRDefault="005C3FA2" w:rsidP="0059256C">
      <w:pPr>
        <w:spacing w:before="600" w:after="0"/>
        <w:ind w:left="1701"/>
        <w:rPr>
          <w:rFonts w:ascii="Calibri" w:eastAsiaTheme="minorHAnsi" w:hAnsi="Calibri" w:cs="Calibri"/>
        </w:rPr>
      </w:pPr>
      <w:r>
        <w:rPr>
          <w:noProof/>
        </w:rPr>
        <w:drawing>
          <wp:anchor distT="0" distB="0" distL="114300" distR="114300" simplePos="0" relativeHeight="251663360" behindDoc="0" locked="0" layoutInCell="1" allowOverlap="1" wp14:anchorId="0114B1C4" wp14:editId="2A3CD41F">
            <wp:simplePos x="0" y="0"/>
            <wp:positionH relativeFrom="margin">
              <wp:posOffset>-19050</wp:posOffset>
            </wp:positionH>
            <wp:positionV relativeFrom="paragraph">
              <wp:posOffset>317500</wp:posOffset>
            </wp:positionV>
            <wp:extent cx="914400" cy="914400"/>
            <wp:effectExtent l="0" t="0" r="0" b="0"/>
            <wp:wrapSquare wrapText="bothSides"/>
            <wp:docPr id="2" name="Graphic 2" descr="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atre.svg"/>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914400" cy="914400"/>
                    </a:xfrm>
                    <a:prstGeom prst="rect">
                      <a:avLst/>
                    </a:prstGeom>
                  </pic:spPr>
                </pic:pic>
              </a:graphicData>
            </a:graphic>
          </wp:anchor>
        </w:drawing>
      </w:r>
      <w:r w:rsidRPr="000B78A8">
        <w:rPr>
          <w:b/>
        </w:rPr>
        <w:t>Interaction</w:t>
      </w:r>
      <w:r>
        <w:t>: tour of new departmental exhibit by aged care facility residents</w:t>
      </w:r>
    </w:p>
    <w:p w14:paraId="39CBBEBD" w14:textId="77777777" w:rsidR="005C3FA2" w:rsidRDefault="005C3FA2" w:rsidP="0059256C">
      <w:pPr>
        <w:spacing w:before="120"/>
        <w:ind w:left="1701"/>
      </w:pPr>
      <w:r w:rsidRPr="000B78A8">
        <w:rPr>
          <w:b/>
        </w:rPr>
        <w:t>Nature of the interaction</w:t>
      </w:r>
      <w:r>
        <w:t>: one to many</w:t>
      </w:r>
    </w:p>
    <w:p w14:paraId="586123F6" w14:textId="77777777" w:rsidR="005C3FA2" w:rsidRDefault="005C3FA2" w:rsidP="0059256C">
      <w:pPr>
        <w:spacing w:before="120"/>
        <w:ind w:left="1701"/>
      </w:pPr>
      <w:r w:rsidRPr="000B78A8">
        <w:rPr>
          <w:b/>
        </w:rPr>
        <w:t>Setting</w:t>
      </w:r>
      <w:r>
        <w:t>: combination of public areas and private settings</w:t>
      </w:r>
    </w:p>
    <w:p w14:paraId="21AD8343" w14:textId="77777777" w:rsidR="005C3FA2" w:rsidRDefault="005C3FA2" w:rsidP="0059256C">
      <w:pPr>
        <w:spacing w:before="120"/>
        <w:ind w:left="1701"/>
      </w:pPr>
      <w:r w:rsidRPr="000B78A8">
        <w:rPr>
          <w:b/>
        </w:rPr>
        <w:t>Risk</w:t>
      </w:r>
      <w:r>
        <w:t>: incident of abuse occurring in that setting is unlikely</w:t>
      </w:r>
    </w:p>
    <w:p w14:paraId="18917497" w14:textId="77777777" w:rsidR="005C3FA2" w:rsidRDefault="005C3FA2" w:rsidP="0059256C">
      <w:pPr>
        <w:spacing w:before="120"/>
        <w:ind w:left="1701"/>
      </w:pPr>
      <w:r w:rsidRPr="000B78A8">
        <w:rPr>
          <w:b/>
        </w:rPr>
        <w:t>Action</w:t>
      </w:r>
      <w:r>
        <w:t>: manage records as per business as usual</w:t>
      </w:r>
    </w:p>
    <w:p w14:paraId="6D1CD39C" w14:textId="77777777" w:rsidR="005C3FA2" w:rsidRDefault="005C3FA2" w:rsidP="0059256C">
      <w:pPr>
        <w:spacing w:before="600" w:after="0"/>
        <w:ind w:left="1701"/>
        <w:rPr>
          <w:rFonts w:ascii="Calibri" w:eastAsiaTheme="minorHAnsi" w:hAnsi="Calibri" w:cs="Calibri"/>
        </w:rPr>
      </w:pPr>
      <w:r>
        <w:rPr>
          <w:noProof/>
        </w:rPr>
        <w:drawing>
          <wp:anchor distT="0" distB="0" distL="114300" distR="114300" simplePos="0" relativeHeight="251664384" behindDoc="0" locked="0" layoutInCell="1" allowOverlap="1" wp14:anchorId="684F1923" wp14:editId="534C70F8">
            <wp:simplePos x="0" y="0"/>
            <wp:positionH relativeFrom="margin">
              <wp:align>left</wp:align>
            </wp:positionH>
            <wp:positionV relativeFrom="paragraph">
              <wp:posOffset>354965</wp:posOffset>
            </wp:positionV>
            <wp:extent cx="914400" cy="914400"/>
            <wp:effectExtent l="0" t="0" r="0" b="0"/>
            <wp:wrapSquare wrapText="bothSides"/>
            <wp:docPr id="4" name="Graphic 4" descr="W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rench.svg"/>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914400" cy="914400"/>
                    </a:xfrm>
                    <a:prstGeom prst="rect">
                      <a:avLst/>
                    </a:prstGeom>
                  </pic:spPr>
                </pic:pic>
              </a:graphicData>
            </a:graphic>
          </wp:anchor>
        </w:drawing>
      </w:r>
      <w:r w:rsidRPr="000B78A8">
        <w:rPr>
          <w:b/>
        </w:rPr>
        <w:t>Interaction</w:t>
      </w:r>
      <w:r>
        <w:t>: apprentice working with supervisor</w:t>
      </w:r>
    </w:p>
    <w:p w14:paraId="05EF01A9" w14:textId="77777777" w:rsidR="005C3FA2" w:rsidRDefault="005C3FA2" w:rsidP="0059256C">
      <w:pPr>
        <w:spacing w:before="120"/>
        <w:ind w:left="1701"/>
      </w:pPr>
      <w:r w:rsidRPr="000B78A8">
        <w:rPr>
          <w:b/>
        </w:rPr>
        <w:t>Nature of the interaction</w:t>
      </w:r>
      <w:r>
        <w:t>: one to one</w:t>
      </w:r>
    </w:p>
    <w:p w14:paraId="3D1F58C8" w14:textId="77777777" w:rsidR="005C3FA2" w:rsidRDefault="005C3FA2" w:rsidP="0059256C">
      <w:pPr>
        <w:spacing w:before="120"/>
        <w:ind w:left="1701"/>
      </w:pPr>
      <w:r w:rsidRPr="000B78A8">
        <w:rPr>
          <w:b/>
        </w:rPr>
        <w:t>Setting</w:t>
      </w:r>
      <w:r>
        <w:t>: combination of public areas and private settings</w:t>
      </w:r>
    </w:p>
    <w:p w14:paraId="769DC6D2" w14:textId="77777777" w:rsidR="005C3FA2" w:rsidRDefault="005C3FA2" w:rsidP="0059256C">
      <w:pPr>
        <w:spacing w:before="120"/>
        <w:ind w:left="1701"/>
      </w:pPr>
      <w:r w:rsidRPr="000B78A8">
        <w:rPr>
          <w:b/>
        </w:rPr>
        <w:t>Risk</w:t>
      </w:r>
      <w:r>
        <w:t>: incident of abuse occurring in that setting is possible</w:t>
      </w:r>
    </w:p>
    <w:p w14:paraId="1DE16226" w14:textId="77777777" w:rsidR="005C3FA2" w:rsidRDefault="005C3FA2" w:rsidP="0059256C">
      <w:pPr>
        <w:spacing w:before="120"/>
        <w:ind w:left="1701"/>
      </w:pPr>
      <w:r w:rsidRPr="000B78A8">
        <w:rPr>
          <w:b/>
        </w:rPr>
        <w:t>Action</w:t>
      </w:r>
      <w:r>
        <w:t xml:space="preserve">: refer to </w:t>
      </w:r>
      <w:hyperlink w:anchor="MitigateRisk" w:history="1">
        <w:r w:rsidRPr="00FA375A">
          <w:rPr>
            <w:rStyle w:val="Hyperlink"/>
          </w:rPr>
          <w:t xml:space="preserve">Mitigate risk </w:t>
        </w:r>
        <w:r>
          <w:rPr>
            <w:rStyle w:val="Hyperlink"/>
          </w:rPr>
          <w:t>and</w:t>
        </w:r>
        <w:r w:rsidRPr="00FA375A">
          <w:rPr>
            <w:rStyle w:val="Hyperlink"/>
          </w:rPr>
          <w:t xml:space="preserve"> decide on best evidence</w:t>
        </w:r>
      </w:hyperlink>
    </w:p>
    <w:p w14:paraId="2689EE05" w14:textId="77777777" w:rsidR="005C3FA2" w:rsidRPr="0059256C" w:rsidRDefault="005C3FA2" w:rsidP="0059256C">
      <w:pPr>
        <w:pStyle w:val="Heading2"/>
      </w:pPr>
      <w:bookmarkStart w:id="44" w:name="_Toc35249025"/>
      <w:bookmarkStart w:id="45" w:name="MitigateRisk"/>
      <w:r w:rsidRPr="0059256C">
        <w:t>Mitigate risk and decide on best evidence</w:t>
      </w:r>
      <w:bookmarkEnd w:id="44"/>
    </w:p>
    <w:bookmarkEnd w:id="45"/>
    <w:p w14:paraId="147CEA32" w14:textId="2BFAC95D" w:rsidR="005C3FA2" w:rsidRDefault="005C3FA2" w:rsidP="0059256C">
      <w:pPr>
        <w:spacing w:before="120" w:after="120"/>
      </w:pPr>
      <w:r>
        <w:t>To d</w:t>
      </w:r>
      <w:r w:rsidRPr="00FD77A7">
        <w:t xml:space="preserve">etermine the best </w:t>
      </w:r>
      <w:r>
        <w:t xml:space="preserve">corroborating </w:t>
      </w:r>
      <w:r w:rsidRPr="00FD77A7">
        <w:t>evidence of</w:t>
      </w:r>
      <w:r>
        <w:t xml:space="preserve"> an</w:t>
      </w:r>
      <w:r w:rsidRPr="00FD77A7">
        <w:t xml:space="preserve"> interaction </w:t>
      </w:r>
      <w:r>
        <w:t>with vulnerable persons, the evidence will need</w:t>
      </w:r>
      <w:r w:rsidRPr="00FD77A7">
        <w:t xml:space="preserve"> to confirm the </w:t>
      </w:r>
      <w:r w:rsidR="00E55536">
        <w:t xml:space="preserve">who, </w:t>
      </w:r>
      <w:r w:rsidRPr="008D28DA">
        <w:t>when</w:t>
      </w:r>
      <w:r w:rsidRPr="00FD77A7">
        <w:t xml:space="preserve"> and </w:t>
      </w:r>
      <w:r w:rsidRPr="008D28DA">
        <w:t>what</w:t>
      </w:r>
      <w:r>
        <w:t xml:space="preserve"> (</w:t>
      </w:r>
      <w:r w:rsidRPr="00FD77A7">
        <w:t xml:space="preserve">evidence of the event, </w:t>
      </w:r>
      <w:r>
        <w:t>participants</w:t>
      </w:r>
      <w:r w:rsidRPr="00FD77A7">
        <w:t xml:space="preserve"> and activities</w:t>
      </w:r>
      <w:r>
        <w:t>)</w:t>
      </w:r>
      <w:r w:rsidRPr="00FD77A7">
        <w:t>.</w:t>
      </w:r>
      <w:r>
        <w:t xml:space="preserve"> The RCIRCSA recognised uncertainty exists for institutions regarding which records may provide evidence for, or be relevant to, a current or future allegation or disclosure of child </w:t>
      </w:r>
      <w:r w:rsidRPr="00B903E3">
        <w:t xml:space="preserve">sexual </w:t>
      </w:r>
      <w:r>
        <w:t xml:space="preserve">abuse. This also applies to records of interactions with vulnerable persons.  </w:t>
      </w:r>
    </w:p>
    <w:p w14:paraId="1731325E" w14:textId="1F842B24" w:rsidR="005C3FA2" w:rsidRDefault="005C3FA2" w:rsidP="0059256C">
      <w:pPr>
        <w:spacing w:before="120" w:after="120"/>
      </w:pPr>
      <w:r>
        <w:t xml:space="preserve">Evidence of an interaction may be a record provided for a different purpose.  For example, a vehicle log book could already provide evidence of when a staff member was at work.  In other situations, it may require the creation of a new record.  </w:t>
      </w:r>
    </w:p>
    <w:p w14:paraId="55660E73" w14:textId="77777777" w:rsidR="005C3FA2" w:rsidDel="00026795" w:rsidRDefault="005C3FA2" w:rsidP="0059256C">
      <w:pPr>
        <w:spacing w:before="120" w:after="120"/>
      </w:pPr>
      <w:r w:rsidDel="00026795">
        <w:t xml:space="preserve">Mitigation and treatment strategies </w:t>
      </w:r>
      <w:r>
        <w:t>may</w:t>
      </w:r>
      <w:r w:rsidDel="00026795">
        <w:t xml:space="preserve"> be developed once risk priorities are agreed upon. This may include: </w:t>
      </w:r>
    </w:p>
    <w:p w14:paraId="47452480" w14:textId="77777777" w:rsidR="005C3FA2" w:rsidRPr="000E55EE" w:rsidDel="00026795" w:rsidRDefault="005C3FA2" w:rsidP="0059256C">
      <w:pPr>
        <w:pStyle w:val="ListParagraph"/>
        <w:numPr>
          <w:ilvl w:val="0"/>
          <w:numId w:val="5"/>
        </w:numPr>
        <w:spacing w:before="120"/>
        <w:ind w:left="714" w:hanging="357"/>
        <w:rPr>
          <w:rFonts w:eastAsia="Times New Roman" w:cs="Times New Roman"/>
          <w:szCs w:val="24"/>
        </w:rPr>
      </w:pPr>
      <w:r w:rsidRPr="000E55EE" w:rsidDel="00026795">
        <w:rPr>
          <w:rFonts w:eastAsia="Times New Roman" w:cs="Times New Roman"/>
          <w:szCs w:val="24"/>
        </w:rPr>
        <w:t>redesigning business processes to reduce the risks of abuse occurring</w:t>
      </w:r>
    </w:p>
    <w:p w14:paraId="42960A5B" w14:textId="77777777" w:rsidR="005C3FA2" w:rsidRPr="000E55EE" w:rsidDel="00026795" w:rsidRDefault="005C3FA2" w:rsidP="0059256C">
      <w:pPr>
        <w:pStyle w:val="ListParagraph"/>
        <w:numPr>
          <w:ilvl w:val="0"/>
          <w:numId w:val="5"/>
        </w:numPr>
        <w:spacing w:before="120"/>
        <w:ind w:left="714" w:hanging="357"/>
        <w:rPr>
          <w:rFonts w:eastAsia="Times New Roman" w:cs="Times New Roman"/>
          <w:szCs w:val="24"/>
        </w:rPr>
      </w:pPr>
      <w:r w:rsidRPr="000E55EE" w:rsidDel="00026795">
        <w:rPr>
          <w:rFonts w:eastAsia="Times New Roman" w:cs="Times New Roman"/>
          <w:szCs w:val="24"/>
        </w:rPr>
        <w:t>creation of records to document interactions with vulnerable persons</w:t>
      </w:r>
    </w:p>
    <w:p w14:paraId="11182652" w14:textId="49DAB68A" w:rsidR="005C3FA2" w:rsidRPr="000E55EE" w:rsidDel="00026795" w:rsidRDefault="005C3FA2" w:rsidP="0059256C">
      <w:pPr>
        <w:pStyle w:val="ListParagraph"/>
        <w:numPr>
          <w:ilvl w:val="0"/>
          <w:numId w:val="5"/>
        </w:numPr>
        <w:spacing w:before="120"/>
        <w:ind w:left="714" w:hanging="357"/>
        <w:rPr>
          <w:rFonts w:eastAsia="Times New Roman" w:cs="Times New Roman"/>
          <w:szCs w:val="24"/>
        </w:rPr>
      </w:pPr>
      <w:r w:rsidRPr="000E55EE" w:rsidDel="00026795">
        <w:rPr>
          <w:rFonts w:eastAsia="Times New Roman" w:cs="Times New Roman"/>
          <w:szCs w:val="24"/>
        </w:rPr>
        <w:t xml:space="preserve">a combination of </w:t>
      </w:r>
      <w:r w:rsidR="000F7DC9">
        <w:rPr>
          <w:rFonts w:eastAsia="Times New Roman" w:cs="Times New Roman"/>
          <w:szCs w:val="24"/>
        </w:rPr>
        <w:t xml:space="preserve">the </w:t>
      </w:r>
      <w:r w:rsidRPr="000E55EE" w:rsidDel="00026795">
        <w:rPr>
          <w:rFonts w:eastAsia="Times New Roman" w:cs="Times New Roman"/>
          <w:szCs w:val="24"/>
        </w:rPr>
        <w:t xml:space="preserve">above two approaches. </w:t>
      </w:r>
    </w:p>
    <w:p w14:paraId="6682C26C" w14:textId="77777777" w:rsidR="005C3FA2" w:rsidDel="00026795" w:rsidRDefault="005C3FA2" w:rsidP="0059256C">
      <w:pPr>
        <w:spacing w:before="120" w:after="120"/>
      </w:pPr>
      <w:r w:rsidDel="00026795">
        <w:lastRenderedPageBreak/>
        <w:t>There may be a range of mitigation strategies to treat each identified risk</w:t>
      </w:r>
      <w:r>
        <w:t>. A</w:t>
      </w:r>
      <w:r w:rsidDel="00026795">
        <w:t xml:space="preserve">ssess each </w:t>
      </w:r>
      <w:r>
        <w:t>strategy</w:t>
      </w:r>
      <w:r w:rsidDel="00026795">
        <w:t xml:space="preserve"> for </w:t>
      </w:r>
      <w:r>
        <w:t xml:space="preserve">its </w:t>
      </w:r>
      <w:r w:rsidDel="00026795">
        <w:t>likely effectiveness</w:t>
      </w:r>
      <w:r>
        <w:t xml:space="preserve">. </w:t>
      </w:r>
    </w:p>
    <w:p w14:paraId="40FD70AA" w14:textId="77777777" w:rsidR="000F7DC9" w:rsidRDefault="000F7DC9" w:rsidP="0059256C">
      <w:pPr>
        <w:spacing w:before="120" w:after="120"/>
      </w:pPr>
      <w:r>
        <w:t>Treatment options should be scaled to the level of risk posed and may include:</w:t>
      </w:r>
    </w:p>
    <w:tbl>
      <w:tblPr>
        <w:tblStyle w:val="TableGrid"/>
        <w:tblW w:w="0" w:type="auto"/>
        <w:tblLook w:val="04A0" w:firstRow="1" w:lastRow="0" w:firstColumn="1" w:lastColumn="0" w:noHBand="0" w:noVBand="1"/>
      </w:tblPr>
      <w:tblGrid>
        <w:gridCol w:w="2263"/>
        <w:gridCol w:w="7365"/>
      </w:tblGrid>
      <w:tr w:rsidR="000F7DC9" w:rsidRPr="00CF5BA4" w14:paraId="4192EFBE" w14:textId="77777777" w:rsidTr="00F1019A">
        <w:tc>
          <w:tcPr>
            <w:tcW w:w="2263" w:type="dxa"/>
            <w:shd w:val="clear" w:color="auto" w:fill="E2EFD9" w:themeFill="accent6" w:themeFillTint="33"/>
          </w:tcPr>
          <w:p w14:paraId="55D80B50" w14:textId="77777777" w:rsidR="000F7DC9" w:rsidRPr="00CF5BA4" w:rsidRDefault="000F7DC9" w:rsidP="0059256C">
            <w:pPr>
              <w:spacing w:before="120" w:after="120"/>
              <w:rPr>
                <w:b/>
              </w:rPr>
            </w:pPr>
            <w:r w:rsidRPr="00CF5BA4">
              <w:rPr>
                <w:b/>
              </w:rPr>
              <w:t>Treatment option</w:t>
            </w:r>
          </w:p>
        </w:tc>
        <w:tc>
          <w:tcPr>
            <w:tcW w:w="7365" w:type="dxa"/>
            <w:shd w:val="clear" w:color="auto" w:fill="E2EFD9" w:themeFill="accent6" w:themeFillTint="33"/>
          </w:tcPr>
          <w:p w14:paraId="5C36E8EF" w14:textId="77777777" w:rsidR="000F7DC9" w:rsidRPr="00CF5BA4" w:rsidRDefault="000F7DC9" w:rsidP="0059256C">
            <w:pPr>
              <w:spacing w:before="120" w:after="120"/>
              <w:rPr>
                <w:b/>
              </w:rPr>
            </w:pPr>
            <w:r w:rsidRPr="00CF5BA4">
              <w:rPr>
                <w:b/>
              </w:rPr>
              <w:t>How it mitigates risk</w:t>
            </w:r>
          </w:p>
        </w:tc>
      </w:tr>
      <w:tr w:rsidR="000F7DC9" w14:paraId="651E9103" w14:textId="77777777" w:rsidTr="00F1019A">
        <w:tc>
          <w:tcPr>
            <w:tcW w:w="2263" w:type="dxa"/>
          </w:tcPr>
          <w:p w14:paraId="3D041A79" w14:textId="77777777" w:rsidR="000F7DC9" w:rsidRDefault="000F7DC9" w:rsidP="0059256C">
            <w:pPr>
              <w:spacing w:before="120" w:after="120"/>
            </w:pPr>
            <w:r>
              <w:t>Avoidance</w:t>
            </w:r>
          </w:p>
        </w:tc>
        <w:tc>
          <w:tcPr>
            <w:tcW w:w="7365" w:type="dxa"/>
          </w:tcPr>
          <w:p w14:paraId="6178749D" w14:textId="77777777" w:rsidR="000F7DC9" w:rsidRDefault="000F7DC9" w:rsidP="0059256C">
            <w:pPr>
              <w:spacing w:before="120" w:after="120"/>
            </w:pPr>
            <w:r>
              <w:t>This could include changing the scope, timeframe or any other actions which may alter the risk likelihood</w:t>
            </w:r>
          </w:p>
        </w:tc>
      </w:tr>
      <w:tr w:rsidR="000F7DC9" w14:paraId="427F94D3" w14:textId="77777777" w:rsidTr="00F1019A">
        <w:tc>
          <w:tcPr>
            <w:tcW w:w="2263" w:type="dxa"/>
          </w:tcPr>
          <w:p w14:paraId="60AE0218" w14:textId="77777777" w:rsidR="000F7DC9" w:rsidRDefault="000F7DC9" w:rsidP="0059256C">
            <w:pPr>
              <w:spacing w:before="120" w:after="120"/>
            </w:pPr>
            <w:r>
              <w:t>Preventative / mitigation</w:t>
            </w:r>
          </w:p>
        </w:tc>
        <w:tc>
          <w:tcPr>
            <w:tcW w:w="7365" w:type="dxa"/>
          </w:tcPr>
          <w:p w14:paraId="0E93430A" w14:textId="77777777" w:rsidR="000F7DC9" w:rsidRDefault="000F7DC9" w:rsidP="0059256C">
            <w:pPr>
              <w:spacing w:before="120" w:after="120"/>
            </w:pPr>
            <w:r>
              <w:t>Actions that reduce the possibility that the risk will occur such as changing practices and processes</w:t>
            </w:r>
          </w:p>
        </w:tc>
      </w:tr>
      <w:tr w:rsidR="000F7DC9" w14:paraId="43459B25" w14:textId="77777777" w:rsidTr="00F1019A">
        <w:tc>
          <w:tcPr>
            <w:tcW w:w="2263" w:type="dxa"/>
          </w:tcPr>
          <w:p w14:paraId="337D335A" w14:textId="77777777" w:rsidR="000F7DC9" w:rsidRDefault="000F7DC9" w:rsidP="0059256C">
            <w:pPr>
              <w:spacing w:before="120" w:after="120"/>
            </w:pPr>
            <w:r>
              <w:t>Contingency actions</w:t>
            </w:r>
          </w:p>
        </w:tc>
        <w:tc>
          <w:tcPr>
            <w:tcW w:w="7365" w:type="dxa"/>
          </w:tcPr>
          <w:p w14:paraId="6527CF39" w14:textId="77777777" w:rsidR="000F7DC9" w:rsidRDefault="000F7DC9" w:rsidP="0059256C">
            <w:pPr>
              <w:spacing w:before="120" w:after="120"/>
            </w:pPr>
            <w:r>
              <w:t>Planned actions that can better manage public authority interaction with vulnerable persons, including creation and retention of public records that document public authority interaction with vulnerable persons</w:t>
            </w:r>
          </w:p>
        </w:tc>
      </w:tr>
    </w:tbl>
    <w:p w14:paraId="416990A3" w14:textId="2E73A88E" w:rsidR="005C3FA2" w:rsidRDefault="005C3FA2" w:rsidP="0059256C">
      <w:pPr>
        <w:spacing w:before="120" w:after="120"/>
      </w:pPr>
      <w:r>
        <w:t>To ensure risks are appropriately monitored, managed and treated, ownership must be allocated appropriately. The proactive protection of vulnerable persons is a shared responsibility across a public authority. It is important risks associated with interactions with vulnerable persons are considered as part of a public authority’s wider strategic planning agenda (e.g. with senior leadership, including representatives from legal, audit, business owners etc.).</w:t>
      </w:r>
    </w:p>
    <w:p w14:paraId="4DA93A87" w14:textId="39A94974" w:rsidR="005C3FA2" w:rsidRDefault="005C3FA2" w:rsidP="0059256C">
      <w:pPr>
        <w:spacing w:before="120" w:after="120"/>
      </w:pPr>
      <w:r>
        <w:t xml:space="preserve">Risks </w:t>
      </w:r>
      <w:r w:rsidR="000F7DC9">
        <w:t xml:space="preserve">should </w:t>
      </w:r>
      <w:r>
        <w:t>be regularly reviewed and monitored to ensure that the treatment actions have been completed, to evaluate the effectiveness of treatments, to manage any new risks and to identify any additional treatment actions.</w:t>
      </w:r>
    </w:p>
    <w:p w14:paraId="70372AC7" w14:textId="77777777" w:rsidR="005C3FA2" w:rsidRPr="0059256C" w:rsidRDefault="005C3FA2" w:rsidP="0059256C">
      <w:pPr>
        <w:pStyle w:val="Heading2"/>
      </w:pPr>
      <w:bookmarkStart w:id="46" w:name="_Toc35249026"/>
      <w:r w:rsidRPr="0059256C">
        <w:t>Proactive protection of vulnerable persons</w:t>
      </w:r>
      <w:bookmarkEnd w:id="46"/>
      <w:r w:rsidRPr="0059256C">
        <w:t xml:space="preserve"> </w:t>
      </w:r>
    </w:p>
    <w:p w14:paraId="0F70F70D" w14:textId="4CE6F666" w:rsidR="005C3FA2" w:rsidRDefault="005C3FA2" w:rsidP="0059256C">
      <w:pPr>
        <w:spacing w:before="120" w:after="120"/>
      </w:pPr>
      <w:r>
        <w:t xml:space="preserve">Decisions around the creation and management of evidence </w:t>
      </w:r>
      <w:r w:rsidR="001348E7">
        <w:t xml:space="preserve">of </w:t>
      </w:r>
      <w:r>
        <w:t xml:space="preserve">the contact and interaction with vulnerable persons </w:t>
      </w:r>
      <w:r w:rsidR="001348E7">
        <w:t xml:space="preserve">should be </w:t>
      </w:r>
      <w:r>
        <w:t xml:space="preserve">documented and form part of a public authority’s governance process. </w:t>
      </w:r>
    </w:p>
    <w:p w14:paraId="7BC270C8" w14:textId="1371BE3E" w:rsidR="005C3FA2" w:rsidRDefault="005C3FA2" w:rsidP="0059256C">
      <w:pPr>
        <w:spacing w:before="120" w:after="120"/>
      </w:pPr>
      <w:r>
        <w:t xml:space="preserve">Suggestions for the proactive protection of vulnerable persons include: </w:t>
      </w:r>
    </w:p>
    <w:p w14:paraId="6D6D984C" w14:textId="77777777" w:rsidR="005C3FA2" w:rsidRDefault="005C3FA2" w:rsidP="0059256C">
      <w:pPr>
        <w:pStyle w:val="ListParagraph"/>
        <w:numPr>
          <w:ilvl w:val="0"/>
          <w:numId w:val="29"/>
        </w:numPr>
        <w:spacing w:before="120"/>
      </w:pPr>
      <w:r>
        <w:t>use the results from the workflow to assess the interactions and level of risk</w:t>
      </w:r>
    </w:p>
    <w:p w14:paraId="20788E54" w14:textId="77777777" w:rsidR="005C3FA2" w:rsidRDefault="005C3FA2" w:rsidP="0059256C">
      <w:pPr>
        <w:pStyle w:val="ListParagraph"/>
        <w:numPr>
          <w:ilvl w:val="0"/>
          <w:numId w:val="29"/>
        </w:numPr>
        <w:spacing w:before="120"/>
      </w:pPr>
      <w:r>
        <w:t>consider how changes in business processes will be triggered and/or documented to mitigate risk</w:t>
      </w:r>
    </w:p>
    <w:p w14:paraId="4BF8E396" w14:textId="77777777" w:rsidR="005C3FA2" w:rsidRDefault="005C3FA2" w:rsidP="0059256C">
      <w:pPr>
        <w:pStyle w:val="ListParagraph"/>
        <w:numPr>
          <w:ilvl w:val="0"/>
          <w:numId w:val="29"/>
        </w:numPr>
        <w:spacing w:before="120"/>
      </w:pPr>
      <w:r>
        <w:t>use the public authority’s risk register as an annual health check</w:t>
      </w:r>
    </w:p>
    <w:p w14:paraId="263FDEBD" w14:textId="77777777" w:rsidR="005C3FA2" w:rsidRDefault="005C3FA2" w:rsidP="0059256C">
      <w:pPr>
        <w:pStyle w:val="ListParagraph"/>
        <w:numPr>
          <w:ilvl w:val="0"/>
          <w:numId w:val="29"/>
        </w:numPr>
        <w:spacing w:before="120"/>
      </w:pPr>
      <w:r>
        <w:t>document any periodical business process reviews to identify new areas of potential risk</w:t>
      </w:r>
    </w:p>
    <w:p w14:paraId="7B50CC0D" w14:textId="4F66CF5E" w:rsidR="005C3FA2" w:rsidRDefault="005C3FA2" w:rsidP="0059256C">
      <w:pPr>
        <w:pStyle w:val="ListParagraph"/>
        <w:numPr>
          <w:ilvl w:val="0"/>
          <w:numId w:val="29"/>
        </w:numPr>
        <w:spacing w:before="120"/>
      </w:pPr>
      <w:r>
        <w:t>delivery of annual training sessions for employees on the importance of creating and keeping complete and reliable records</w:t>
      </w:r>
      <w:r w:rsidR="00761B33">
        <w:t>.</w:t>
      </w:r>
    </w:p>
    <w:p w14:paraId="65B1154B" w14:textId="77777777" w:rsidR="005C3FA2" w:rsidRPr="0059256C" w:rsidRDefault="005C3FA2" w:rsidP="007D64A0">
      <w:pPr>
        <w:pStyle w:val="Heading1"/>
        <w:pageBreakBefore/>
      </w:pPr>
      <w:bookmarkStart w:id="47" w:name="_Toc35249027"/>
      <w:r w:rsidRPr="0059256C">
        <w:lastRenderedPageBreak/>
        <w:t>Further information and resources</w:t>
      </w:r>
      <w:bookmarkEnd w:id="47"/>
    </w:p>
    <w:p w14:paraId="558AC0C7" w14:textId="77777777" w:rsidR="005C3FA2" w:rsidRPr="00B94670" w:rsidRDefault="005C3FA2" w:rsidP="0059256C">
      <w:pPr>
        <w:pStyle w:val="ListParagraph"/>
        <w:numPr>
          <w:ilvl w:val="0"/>
          <w:numId w:val="29"/>
        </w:numPr>
        <w:spacing w:before="120"/>
      </w:pPr>
      <w:r w:rsidRPr="00B94670">
        <w:t xml:space="preserve">Council of Australasian Archives and Records Authorities Royal Commission Working Group </w:t>
      </w:r>
      <w:hyperlink r:id="rId43" w:history="1">
        <w:r w:rsidRPr="00B94670">
          <w:rPr>
            <w:rStyle w:val="Hyperlink"/>
          </w:rPr>
          <w:t>Guidance for identifying and retaining records which may become relevant to an actual or alleged incident of child sexual abuse</w:t>
        </w:r>
      </w:hyperlink>
    </w:p>
    <w:p w14:paraId="471266AA" w14:textId="77777777" w:rsidR="005C3FA2" w:rsidRPr="00B94670" w:rsidRDefault="005C3FA2" w:rsidP="0059256C">
      <w:pPr>
        <w:pStyle w:val="ListParagraph"/>
        <w:numPr>
          <w:ilvl w:val="0"/>
          <w:numId w:val="29"/>
        </w:numPr>
        <w:spacing w:before="120"/>
      </w:pPr>
      <w:r w:rsidRPr="00B94670">
        <w:t xml:space="preserve">Royal Commission into Institutional Responses to Child Sexual Abuse - </w:t>
      </w:r>
      <w:hyperlink r:id="rId44" w:history="1">
        <w:r w:rsidRPr="00B94670">
          <w:rPr>
            <w:rStyle w:val="Hyperlink"/>
          </w:rPr>
          <w:t>Final Report</w:t>
        </w:r>
      </w:hyperlink>
    </w:p>
    <w:p w14:paraId="27F94F77" w14:textId="77777777" w:rsidR="005C3FA2" w:rsidRPr="00B94670" w:rsidRDefault="005C3FA2" w:rsidP="0059256C">
      <w:pPr>
        <w:pStyle w:val="ListParagraph"/>
        <w:numPr>
          <w:ilvl w:val="0"/>
          <w:numId w:val="29"/>
        </w:numPr>
        <w:spacing w:before="120"/>
      </w:pPr>
      <w:r w:rsidRPr="00B94670">
        <w:t xml:space="preserve">Royal Commission into Aged Care Quality and Safety – </w:t>
      </w:r>
      <w:hyperlink r:id="rId45" w:history="1">
        <w:r w:rsidRPr="00B94670">
          <w:rPr>
            <w:rStyle w:val="Hyperlink"/>
          </w:rPr>
          <w:t>Terms of Reference</w:t>
        </w:r>
      </w:hyperlink>
    </w:p>
    <w:p w14:paraId="226A5B8E" w14:textId="77777777" w:rsidR="005C3FA2" w:rsidRPr="00B94670" w:rsidRDefault="005C3FA2" w:rsidP="0059256C">
      <w:pPr>
        <w:pStyle w:val="ListParagraph"/>
        <w:numPr>
          <w:ilvl w:val="0"/>
          <w:numId w:val="29"/>
        </w:numPr>
        <w:spacing w:before="120"/>
      </w:pPr>
      <w:r w:rsidRPr="00B94670">
        <w:t xml:space="preserve">Royal Commission into Violence, Abuse, Neglect and Exploitation of People with Disability – </w:t>
      </w:r>
      <w:hyperlink r:id="rId46" w:history="1">
        <w:r w:rsidRPr="00B94670">
          <w:rPr>
            <w:rStyle w:val="Hyperlink"/>
          </w:rPr>
          <w:t>Terms of Reference</w:t>
        </w:r>
      </w:hyperlink>
    </w:p>
    <w:p w14:paraId="65470976" w14:textId="77777777" w:rsidR="005C3FA2" w:rsidRPr="00B94670" w:rsidRDefault="00075A0C" w:rsidP="0059256C">
      <w:pPr>
        <w:pStyle w:val="ListParagraph"/>
        <w:numPr>
          <w:ilvl w:val="0"/>
          <w:numId w:val="29"/>
        </w:numPr>
        <w:spacing w:before="120"/>
      </w:pPr>
      <w:hyperlink r:id="rId47" w:history="1">
        <w:r w:rsidR="005C3FA2" w:rsidRPr="008C378B">
          <w:rPr>
            <w:rStyle w:val="Hyperlink"/>
          </w:rPr>
          <w:t>Records Governance Policy</w:t>
        </w:r>
      </w:hyperlink>
    </w:p>
    <w:p w14:paraId="7142DA84" w14:textId="77777777" w:rsidR="005C3FA2" w:rsidRPr="00B94670" w:rsidRDefault="00075A0C" w:rsidP="0059256C">
      <w:pPr>
        <w:pStyle w:val="FootnoteText"/>
        <w:numPr>
          <w:ilvl w:val="0"/>
          <w:numId w:val="29"/>
        </w:numPr>
        <w:rPr>
          <w:rFonts w:ascii="Arial" w:eastAsia="Calibri" w:hAnsi="Arial" w:cs="Arial"/>
          <w:sz w:val="22"/>
          <w:szCs w:val="22"/>
        </w:rPr>
      </w:pPr>
      <w:hyperlink r:id="rId48" w:history="1">
        <w:r w:rsidR="005C3FA2" w:rsidRPr="00B94670">
          <w:rPr>
            <w:rStyle w:val="Hyperlink"/>
            <w:rFonts w:ascii="Arial" w:eastAsia="Calibri" w:hAnsi="Arial" w:cs="Arial"/>
            <w:sz w:val="22"/>
            <w:szCs w:val="22"/>
          </w:rPr>
          <w:t>General retention and disposal schedule (GRDS)</w:t>
        </w:r>
      </w:hyperlink>
      <w:r w:rsidR="005C3FA2" w:rsidRPr="00B94670">
        <w:rPr>
          <w:rFonts w:ascii="Arial" w:eastAsia="Calibri" w:hAnsi="Arial" w:cs="Arial"/>
          <w:sz w:val="22"/>
          <w:szCs w:val="22"/>
        </w:rPr>
        <w:t xml:space="preserve"> </w:t>
      </w:r>
    </w:p>
    <w:p w14:paraId="2CC5F450" w14:textId="77777777" w:rsidR="005C3FA2" w:rsidRPr="00B94670" w:rsidRDefault="00075A0C" w:rsidP="0059256C">
      <w:pPr>
        <w:pStyle w:val="ListParagraph"/>
        <w:numPr>
          <w:ilvl w:val="0"/>
          <w:numId w:val="29"/>
        </w:numPr>
        <w:spacing w:before="120"/>
      </w:pPr>
      <w:hyperlink r:id="rId49" w:history="1">
        <w:r w:rsidR="005C3FA2" w:rsidRPr="00B94670">
          <w:rPr>
            <w:rStyle w:val="Hyperlink"/>
          </w:rPr>
          <w:t>Queensland Government Response to the Royal Commission into Institutional Responses to Child Sexual Abuse</w:t>
        </w:r>
      </w:hyperlink>
      <w:r w:rsidR="005C3FA2" w:rsidRPr="00B94670">
        <w:rPr>
          <w:rStyle w:val="Hyperlink"/>
          <w:u w:val="none"/>
        </w:rPr>
        <w:t>.</w:t>
      </w:r>
    </w:p>
    <w:p w14:paraId="08DBF904" w14:textId="70BDCB5C" w:rsidR="006114E5" w:rsidRPr="005C3FA2" w:rsidRDefault="006114E5" w:rsidP="0059256C"/>
    <w:sectPr w:rsidR="006114E5" w:rsidRPr="005C3FA2" w:rsidSect="00834832">
      <w:headerReference w:type="default" r:id="rId50"/>
      <w:footerReference w:type="default" r:id="rId51"/>
      <w:pgSz w:w="11906" w:h="16838" w:code="9"/>
      <w:pgMar w:top="1134" w:right="1134" w:bottom="1021" w:left="1134"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DBF5AA" w14:textId="77777777" w:rsidR="00D749CD" w:rsidRDefault="00D749CD" w:rsidP="00ED5D8B">
      <w:r>
        <w:separator/>
      </w:r>
    </w:p>
    <w:p w14:paraId="0E6C35CE" w14:textId="77777777" w:rsidR="00D749CD" w:rsidRDefault="00D749CD" w:rsidP="00ED5D8B"/>
    <w:p w14:paraId="6858D868" w14:textId="77777777" w:rsidR="00D749CD" w:rsidRDefault="00D749CD" w:rsidP="00ED5D8B"/>
    <w:p w14:paraId="3372ECF1" w14:textId="77777777" w:rsidR="00D749CD" w:rsidRDefault="00D749CD" w:rsidP="00ED5D8B"/>
  </w:endnote>
  <w:endnote w:type="continuationSeparator" w:id="0">
    <w:p w14:paraId="103529F4" w14:textId="77777777" w:rsidR="00D749CD" w:rsidRDefault="00D749CD" w:rsidP="00ED5D8B">
      <w:r>
        <w:continuationSeparator/>
      </w:r>
    </w:p>
    <w:p w14:paraId="6297381A" w14:textId="77777777" w:rsidR="00D749CD" w:rsidRDefault="00D749CD" w:rsidP="00ED5D8B"/>
    <w:p w14:paraId="5E501BB4" w14:textId="77777777" w:rsidR="00D749CD" w:rsidRDefault="00D749CD" w:rsidP="00ED5D8B"/>
    <w:p w14:paraId="4243B590" w14:textId="77777777" w:rsidR="00D749CD" w:rsidRDefault="00D749CD" w:rsidP="00ED5D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21638" w14:textId="77777777" w:rsidR="00D749CD" w:rsidRPr="00FD29F2" w:rsidRDefault="00D749CD" w:rsidP="00ED5D8B">
    <w:pPr>
      <w:pStyle w:val="Headerfooter"/>
    </w:pPr>
    <w:r w:rsidRPr="00FD29F2">
      <w:t xml:space="preserve">Page </w:t>
    </w:r>
    <w:r w:rsidRPr="00FD29F2">
      <w:rPr>
        <w:rStyle w:val="PageNumber"/>
      </w:rPr>
      <w:fldChar w:fldCharType="begin"/>
    </w:r>
    <w:r w:rsidRPr="00FD29F2">
      <w:rPr>
        <w:rStyle w:val="PageNumber"/>
      </w:rPr>
      <w:instrText xml:space="preserve"> PAGE </w:instrText>
    </w:r>
    <w:r w:rsidRPr="00FD29F2">
      <w:rPr>
        <w:rStyle w:val="PageNumber"/>
      </w:rPr>
      <w:fldChar w:fldCharType="separate"/>
    </w:r>
    <w:r w:rsidRPr="00FD29F2">
      <w:rPr>
        <w:rStyle w:val="PageNumber"/>
        <w:noProof/>
      </w:rPr>
      <w:t>2</w:t>
    </w:r>
    <w:r w:rsidRPr="00FD29F2">
      <w:rPr>
        <w:rStyle w:val="PageNumber"/>
      </w:rPr>
      <w:fldChar w:fldCharType="end"/>
    </w:r>
    <w:r w:rsidRPr="00FD29F2">
      <w:rPr>
        <w:rStyle w:val="PageNumber"/>
      </w:rPr>
      <w:t xml:space="preserve"> of </w:t>
    </w:r>
    <w:r w:rsidRPr="00FD29F2">
      <w:rPr>
        <w:rStyle w:val="PageNumber"/>
      </w:rPr>
      <w:fldChar w:fldCharType="begin"/>
    </w:r>
    <w:r w:rsidRPr="00FD29F2">
      <w:rPr>
        <w:rStyle w:val="PageNumber"/>
      </w:rPr>
      <w:instrText xml:space="preserve"> NUMPAGES </w:instrText>
    </w:r>
    <w:r w:rsidRPr="00FD29F2">
      <w:rPr>
        <w:rStyle w:val="PageNumber"/>
      </w:rPr>
      <w:fldChar w:fldCharType="separate"/>
    </w:r>
    <w:r w:rsidRPr="00FD29F2">
      <w:rPr>
        <w:rStyle w:val="PageNumber"/>
        <w:noProof/>
      </w:rPr>
      <w:t>1</w:t>
    </w:r>
    <w:r w:rsidRPr="00FD29F2">
      <w:rPr>
        <w:rStyle w:val="PageNumber"/>
      </w:rPr>
      <w:fldChar w:fldCharType="end"/>
    </w:r>
  </w:p>
  <w:p w14:paraId="788B154B" w14:textId="77777777" w:rsidR="00D749CD" w:rsidRPr="00FD29F2" w:rsidRDefault="00D749CD" w:rsidP="00ED5D8B">
    <w:pPr>
      <w:pStyle w:val="Headerfooter"/>
    </w:pPr>
  </w:p>
  <w:p w14:paraId="0ABCCBDF" w14:textId="77777777" w:rsidR="00D749CD" w:rsidRPr="00FD29F2" w:rsidRDefault="00D749CD" w:rsidP="00ED5D8B">
    <w:pPr>
      <w:pStyle w:val="Headerfooter"/>
    </w:pPr>
  </w:p>
  <w:p w14:paraId="07E5D39A" w14:textId="77777777" w:rsidR="00D749CD" w:rsidRPr="00FD29F2" w:rsidRDefault="00D749CD" w:rsidP="00ED5D8B">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92374" w14:textId="77777777" w:rsidR="00D749CD" w:rsidRDefault="00D749CD" w:rsidP="00C81D4A">
    <w:pPr>
      <w:pStyle w:val="Headerfooter"/>
    </w:pPr>
    <w:r>
      <w:rPr>
        <w:noProof/>
      </w:rPr>
      <w:drawing>
        <wp:anchor distT="0" distB="0" distL="114300" distR="114300" simplePos="0" relativeHeight="251657728" behindDoc="0" locked="0" layoutInCell="1" allowOverlap="1" wp14:anchorId="6C792510" wp14:editId="79D502B8">
          <wp:simplePos x="0" y="0"/>
          <wp:positionH relativeFrom="page">
            <wp:align>right</wp:align>
          </wp:positionH>
          <wp:positionV relativeFrom="paragraph">
            <wp:posOffset>-2545715</wp:posOffset>
          </wp:positionV>
          <wp:extent cx="7506150" cy="2908935"/>
          <wp:effectExtent l="0" t="0" r="0"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K template cover full.jpg"/>
                  <pic:cNvPicPr/>
                </pic:nvPicPr>
                <pic:blipFill>
                  <a:blip r:embed="rId1">
                    <a:extLst>
                      <a:ext uri="{28A0092B-C50C-407E-A947-70E740481C1C}">
                        <a14:useLocalDpi xmlns:a14="http://schemas.microsoft.com/office/drawing/2010/main" val="0"/>
                      </a:ext>
                    </a:extLst>
                  </a:blip>
                  <a:stretch>
                    <a:fillRect/>
                  </a:stretch>
                </pic:blipFill>
                <pic:spPr>
                  <a:xfrm>
                    <a:off x="0" y="0"/>
                    <a:ext cx="7506150" cy="2908935"/>
                  </a:xfrm>
                  <a:prstGeom prst="rect">
                    <a:avLst/>
                  </a:prstGeom>
                </pic:spPr>
              </pic:pic>
            </a:graphicData>
          </a:graphic>
          <wp14:sizeRelH relativeFrom="page">
            <wp14:pctWidth>0</wp14:pctWidth>
          </wp14:sizeRelH>
          <wp14:sizeRelV relativeFrom="page">
            <wp14:pctHeight>0</wp14:pctHeight>
          </wp14:sizeRelV>
        </wp:anchor>
      </w:drawing>
    </w:r>
    <w:r w:rsidRPr="00FD29F2">
      <w:rPr>
        <w:rStyle w:val="HeaderfooterChar"/>
        <w:b/>
      </w:rPr>
      <w:t>Queensland State Archives</w:t>
    </w:r>
    <w:r w:rsidRPr="00FD29F2">
      <w:tab/>
    </w:r>
    <w:r w:rsidRPr="00FD29F2">
      <w:rPr>
        <w:rStyle w:val="PageNumber"/>
      </w:rPr>
      <w:fldChar w:fldCharType="begin"/>
    </w:r>
    <w:r w:rsidRPr="00FD29F2">
      <w:rPr>
        <w:rStyle w:val="PageNumber"/>
      </w:rPr>
      <w:instrText xml:space="preserve"> PAGE </w:instrText>
    </w:r>
    <w:r w:rsidRPr="00FD29F2">
      <w:rPr>
        <w:rStyle w:val="PageNumber"/>
      </w:rPr>
      <w:fldChar w:fldCharType="separate"/>
    </w:r>
    <w:r>
      <w:rPr>
        <w:rStyle w:val="PageNumber"/>
        <w:noProof/>
      </w:rPr>
      <w:t>2</w:t>
    </w:r>
    <w:r w:rsidRPr="00FD29F2">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C600A" w14:textId="77777777" w:rsidR="00D749CD" w:rsidRDefault="00D749CD" w:rsidP="00ED5D8B">
    <w:pPr>
      <w:pStyle w:val="Footer"/>
    </w:pPr>
    <w:r>
      <w:rPr>
        <w:noProof/>
      </w:rPr>
      <w:drawing>
        <wp:anchor distT="0" distB="0" distL="114300" distR="114300" simplePos="0" relativeHeight="251656704" behindDoc="0" locked="0" layoutInCell="1" allowOverlap="1" wp14:anchorId="6C0DEAAB" wp14:editId="6CF08DCA">
          <wp:simplePos x="0" y="0"/>
          <wp:positionH relativeFrom="page">
            <wp:align>left</wp:align>
          </wp:positionH>
          <wp:positionV relativeFrom="paragraph">
            <wp:posOffset>-2650490</wp:posOffset>
          </wp:positionV>
          <wp:extent cx="7543780" cy="3061970"/>
          <wp:effectExtent l="0" t="0" r="635"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K template cover full.jpg"/>
                  <pic:cNvPicPr/>
                </pic:nvPicPr>
                <pic:blipFill>
                  <a:blip r:embed="rId1">
                    <a:extLst>
                      <a:ext uri="{28A0092B-C50C-407E-A947-70E740481C1C}">
                        <a14:useLocalDpi xmlns:a14="http://schemas.microsoft.com/office/drawing/2010/main" val="0"/>
                      </a:ext>
                    </a:extLst>
                  </a:blip>
                  <a:stretch>
                    <a:fillRect/>
                  </a:stretch>
                </pic:blipFill>
                <pic:spPr>
                  <a:xfrm>
                    <a:off x="0" y="0"/>
                    <a:ext cx="7543780" cy="306197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CF156" w14:textId="41FFA37A" w:rsidR="00D749CD" w:rsidRDefault="00D749CD" w:rsidP="00C81D4A">
    <w:pPr>
      <w:pStyle w:val="Headerfooter"/>
    </w:pPr>
    <w:r w:rsidRPr="00FD29F2">
      <w:rPr>
        <w:rStyle w:val="HeaderfooterChar"/>
        <w:b/>
      </w:rPr>
      <w:t>Queensland State Archives</w:t>
    </w:r>
    <w:r w:rsidRPr="00FD29F2">
      <w:tab/>
    </w:r>
    <w:r w:rsidRPr="00FD29F2">
      <w:rPr>
        <w:rStyle w:val="PageNumber"/>
      </w:rPr>
      <w:fldChar w:fldCharType="begin"/>
    </w:r>
    <w:r w:rsidRPr="00FD29F2">
      <w:rPr>
        <w:rStyle w:val="PageNumber"/>
      </w:rPr>
      <w:instrText xml:space="preserve"> PAGE </w:instrText>
    </w:r>
    <w:r w:rsidRPr="00FD29F2">
      <w:rPr>
        <w:rStyle w:val="PageNumber"/>
      </w:rPr>
      <w:fldChar w:fldCharType="separate"/>
    </w:r>
    <w:r>
      <w:rPr>
        <w:rStyle w:val="PageNumber"/>
        <w:noProof/>
      </w:rPr>
      <w:t>2</w:t>
    </w:r>
    <w:r w:rsidRPr="00FD29F2">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BB2644" w14:textId="77777777" w:rsidR="00D749CD" w:rsidRDefault="00D749CD" w:rsidP="00ED5D8B">
      <w:bookmarkStart w:id="0" w:name="_Hlk519007280"/>
      <w:bookmarkEnd w:id="0"/>
      <w:r>
        <w:separator/>
      </w:r>
    </w:p>
  </w:footnote>
  <w:footnote w:type="continuationSeparator" w:id="0">
    <w:p w14:paraId="4A0FBFCB" w14:textId="77777777" w:rsidR="00D749CD" w:rsidRDefault="00D749CD" w:rsidP="00ED5D8B">
      <w:r>
        <w:continuationSeparator/>
      </w:r>
    </w:p>
    <w:p w14:paraId="593DA570" w14:textId="77777777" w:rsidR="00D749CD" w:rsidRDefault="00D749CD" w:rsidP="00ED5D8B"/>
    <w:p w14:paraId="2D009999" w14:textId="77777777" w:rsidR="00D749CD" w:rsidRDefault="00D749CD" w:rsidP="00ED5D8B"/>
    <w:p w14:paraId="0B11493E" w14:textId="77777777" w:rsidR="00D749CD" w:rsidRDefault="00D749CD" w:rsidP="00ED5D8B"/>
  </w:footnote>
  <w:footnote w:id="1">
    <w:p w14:paraId="2D384403" w14:textId="0877DC15" w:rsidR="00D749CD" w:rsidRDefault="00D749CD" w:rsidP="0059256C">
      <w:pPr>
        <w:pStyle w:val="Reference"/>
      </w:pPr>
      <w:r>
        <w:rPr>
          <w:rStyle w:val="FootnoteReference"/>
        </w:rPr>
        <w:footnoteRef/>
      </w:r>
      <w:r>
        <w:t xml:space="preserve"> </w:t>
      </w:r>
      <w:r w:rsidRPr="008D3E74">
        <w:t xml:space="preserve">Adapted from Australian Government Department of Social Services </w:t>
      </w:r>
      <w:hyperlink r:id="rId1" w:history="1">
        <w:r w:rsidRPr="008D3E74">
          <w:rPr>
            <w:rStyle w:val="Hyperlink"/>
          </w:rPr>
          <w:t>https://www.dss.gov.au/about-the-department/doing-business-with-dss/vulnerable-persons-police-checks-and-criminal-offences</w:t>
        </w:r>
      </w:hyperlink>
      <w:r>
        <w:rPr>
          <w:rStyle w:val="Hyperlink"/>
        </w:rPr>
        <w:t xml:space="preserve">. </w:t>
      </w:r>
    </w:p>
  </w:footnote>
  <w:footnote w:id="2">
    <w:p w14:paraId="0F8F6A51" w14:textId="0BF832C8" w:rsidR="00D749CD" w:rsidRDefault="00D749CD" w:rsidP="0059256C">
      <w:pPr>
        <w:pStyle w:val="Reference"/>
      </w:pPr>
      <w:r>
        <w:rPr>
          <w:rStyle w:val="FootnoteReference"/>
        </w:rPr>
        <w:footnoteRef/>
      </w:r>
      <w:r>
        <w:t xml:space="preserve"> </w:t>
      </w:r>
      <w:hyperlink r:id="rId2" w:history="1">
        <w:r w:rsidRPr="003667E3">
          <w:rPr>
            <w:rStyle w:val="Hyperlink"/>
          </w:rPr>
          <w:t>https://www.childabuseroyalcommission.gov.au</w:t>
        </w:r>
      </w:hyperlink>
      <w:r>
        <w:rPr>
          <w:rStyle w:val="Hyperlink"/>
        </w:rPr>
        <w:t xml:space="preserve"> </w:t>
      </w:r>
    </w:p>
  </w:footnote>
  <w:footnote w:id="3">
    <w:p w14:paraId="26F92E33" w14:textId="698BF913" w:rsidR="00D749CD" w:rsidRDefault="00D749CD" w:rsidP="0059256C">
      <w:pPr>
        <w:pStyle w:val="Reference"/>
      </w:pPr>
      <w:r>
        <w:rPr>
          <w:rStyle w:val="FootnoteReference"/>
        </w:rPr>
        <w:footnoteRef/>
      </w:r>
      <w:r>
        <w:t xml:space="preserve"> </w:t>
      </w:r>
      <w:hyperlink r:id="rId3" w:history="1">
        <w:r w:rsidRPr="003667E3">
          <w:rPr>
            <w:rStyle w:val="Hyperlink"/>
          </w:rPr>
          <w:t>https://disability.royalcommission.gov.au</w:t>
        </w:r>
      </w:hyperlink>
      <w:r>
        <w:rPr>
          <w:rStyle w:val="Hyperlink"/>
        </w:rPr>
        <w:t xml:space="preserve"> </w:t>
      </w:r>
    </w:p>
  </w:footnote>
  <w:footnote w:id="4">
    <w:p w14:paraId="17FBDCFC" w14:textId="3AD25F46" w:rsidR="00D749CD" w:rsidRDefault="00D749CD" w:rsidP="0059256C">
      <w:pPr>
        <w:pStyle w:val="Reference"/>
      </w:pPr>
      <w:r>
        <w:rPr>
          <w:rStyle w:val="FootnoteReference"/>
        </w:rPr>
        <w:footnoteRef/>
      </w:r>
      <w:r>
        <w:t xml:space="preserve"> </w:t>
      </w:r>
      <w:hyperlink r:id="rId4" w:history="1">
        <w:r w:rsidRPr="00B86E08">
          <w:rPr>
            <w:rStyle w:val="Hyperlink"/>
          </w:rPr>
          <w:t>https://www.who.int/ageing/projects/elder_abuse/alc_toronto_declaration_en.pdf</w:t>
        </w:r>
      </w:hyperlink>
    </w:p>
    <w:p w14:paraId="4DAB7020" w14:textId="77777777" w:rsidR="00D749CD" w:rsidRDefault="00D749CD">
      <w:pPr>
        <w:pStyle w:val="FootnoteText"/>
      </w:pPr>
    </w:p>
  </w:footnote>
  <w:footnote w:id="5">
    <w:p w14:paraId="3C84D709" w14:textId="4C81534D" w:rsidR="00D749CD" w:rsidRDefault="00D749CD" w:rsidP="0059256C">
      <w:pPr>
        <w:pStyle w:val="Reference"/>
      </w:pPr>
      <w:r>
        <w:rPr>
          <w:rStyle w:val="FootnoteReference"/>
        </w:rPr>
        <w:footnoteRef/>
      </w:r>
      <w:r>
        <w:t xml:space="preserve"> </w:t>
      </w:r>
      <w:r w:rsidRPr="0022145A">
        <w:t xml:space="preserve">Information security policy (IS18:2018) </w:t>
      </w:r>
      <w:hyperlink r:id="rId5" w:history="1">
        <w:r w:rsidRPr="0022145A">
          <w:rPr>
            <w:rStyle w:val="Hyperlink"/>
          </w:rPr>
          <w:t>https://www.qgcio.qld.gov.au/documents/information-security-policy</w:t>
        </w:r>
      </w:hyperlink>
      <w:r>
        <w:t xml:space="preserve"> </w:t>
      </w:r>
    </w:p>
  </w:footnote>
  <w:footnote w:id="6">
    <w:p w14:paraId="26FF2191" w14:textId="77777777" w:rsidR="00D749CD" w:rsidRDefault="00D749CD" w:rsidP="00157020">
      <w:pPr>
        <w:pStyle w:val="FootnoteText"/>
      </w:pPr>
      <w:r>
        <w:rPr>
          <w:rStyle w:val="FootnoteReference"/>
        </w:rPr>
        <w:footnoteRef/>
      </w:r>
      <w:r>
        <w:t xml:space="preserve"> A Guide to Risk Management, </w:t>
      </w:r>
      <w:hyperlink r:id="rId6" w:history="1">
        <w:r w:rsidRPr="00BA158B">
          <w:rPr>
            <w:rStyle w:val="Hyperlink"/>
          </w:rPr>
          <w:t>https://www.treasury.qld.gov.au/resource/guide-risk-management/</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F687E" w14:textId="77777777" w:rsidR="00D749CD" w:rsidRDefault="00D749CD" w:rsidP="00ED5D8B">
    <w:pPr>
      <w:pStyle w:val="Header-landscape"/>
    </w:pPr>
    <w:r>
      <w:t>Department of Science, Information Technology and Innovation</w:t>
    </w:r>
  </w:p>
  <w:p w14:paraId="62289D16" w14:textId="77777777" w:rsidR="00D749CD" w:rsidRPr="0039204E" w:rsidRDefault="00D749CD" w:rsidP="00ED5D8B">
    <w:pPr>
      <w:pStyle w:val="Header"/>
    </w:pPr>
  </w:p>
  <w:p w14:paraId="4B1F43BC" w14:textId="77777777" w:rsidR="00D749CD" w:rsidRDefault="00D749CD" w:rsidP="00ED5D8B"/>
  <w:p w14:paraId="09766EF9" w14:textId="77777777" w:rsidR="00D749CD" w:rsidRDefault="00D749CD" w:rsidP="00ED5D8B"/>
  <w:p w14:paraId="1F8BFA9C" w14:textId="77777777" w:rsidR="00D749CD" w:rsidRDefault="00D749CD" w:rsidP="00ED5D8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BF58A" w14:textId="215C08AC" w:rsidR="00D749CD" w:rsidRPr="00AD51D9" w:rsidRDefault="00D749CD" w:rsidP="00AD51D9">
    <w:pPr>
      <w:pStyle w:val="Subtitle"/>
      <w:jc w:val="right"/>
      <w:rPr>
        <w:sz w:val="16"/>
        <w:szCs w:val="16"/>
      </w:rPr>
    </w:pPr>
    <w:r w:rsidRPr="004657C3">
      <w:rPr>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DE328" w14:textId="7F15354B" w:rsidR="00D749CD" w:rsidRPr="0059256C" w:rsidRDefault="00D749CD" w:rsidP="0059256C">
    <w:pPr>
      <w:pStyle w:val="Title"/>
      <w:keepLines w:val="0"/>
      <w:ind w:right="-427"/>
      <w:jc w:val="right"/>
      <w:rPr>
        <w:sz w:val="18"/>
        <w:szCs w:val="18"/>
      </w:rPr>
    </w:pPr>
    <w:r>
      <w:rPr>
        <w:caps w:val="0"/>
        <w:color w:val="auto"/>
        <w:sz w:val="18"/>
        <w:szCs w:val="18"/>
      </w:rPr>
      <w:t>G</w:t>
    </w:r>
    <w:r w:rsidRPr="0059256C">
      <w:rPr>
        <w:caps w:val="0"/>
        <w:color w:val="auto"/>
        <w:sz w:val="18"/>
        <w:szCs w:val="18"/>
      </w:rPr>
      <w:t xml:space="preserve">uideline </w:t>
    </w:r>
    <w:r>
      <w:rPr>
        <w:caps w:val="0"/>
        <w:color w:val="auto"/>
        <w:sz w:val="18"/>
        <w:szCs w:val="18"/>
      </w:rPr>
      <w:t>o</w:t>
    </w:r>
    <w:r w:rsidRPr="0059256C">
      <w:rPr>
        <w:caps w:val="0"/>
        <w:color w:val="auto"/>
        <w:sz w:val="18"/>
        <w:szCs w:val="18"/>
      </w:rPr>
      <w:t xml:space="preserve">n creating </w:t>
    </w:r>
    <w:r>
      <w:rPr>
        <w:caps w:val="0"/>
        <w:color w:val="auto"/>
        <w:sz w:val="18"/>
        <w:szCs w:val="18"/>
      </w:rPr>
      <w:t>a</w:t>
    </w:r>
    <w:r w:rsidRPr="0059256C">
      <w:rPr>
        <w:caps w:val="0"/>
        <w:color w:val="auto"/>
        <w:sz w:val="18"/>
        <w:szCs w:val="18"/>
      </w:rPr>
      <w:t xml:space="preserve">nd keeping records </w:t>
    </w:r>
    <w:r>
      <w:rPr>
        <w:caps w:val="0"/>
        <w:color w:val="auto"/>
        <w:sz w:val="18"/>
        <w:szCs w:val="18"/>
      </w:rPr>
      <w:t>f</w:t>
    </w:r>
    <w:r w:rsidRPr="0059256C">
      <w:rPr>
        <w:caps w:val="0"/>
        <w:color w:val="auto"/>
        <w:sz w:val="18"/>
        <w:szCs w:val="18"/>
      </w:rPr>
      <w:t xml:space="preserve">or the proactive protection </w:t>
    </w:r>
    <w:r>
      <w:rPr>
        <w:caps w:val="0"/>
        <w:color w:val="auto"/>
        <w:sz w:val="18"/>
        <w:szCs w:val="18"/>
      </w:rPr>
      <w:t>o</w:t>
    </w:r>
    <w:r w:rsidRPr="0059256C">
      <w:rPr>
        <w:caps w:val="0"/>
        <w:color w:val="auto"/>
        <w:sz w:val="18"/>
        <w:szCs w:val="18"/>
      </w:rPr>
      <w:t>f vulnerable persons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A2C71"/>
    <w:multiLevelType w:val="multilevel"/>
    <w:tmpl w:val="C778EB54"/>
    <w:numStyleLink w:val="StyleNumbered"/>
  </w:abstractNum>
  <w:abstractNum w:abstractNumId="1" w15:restartNumberingAfterBreak="0">
    <w:nsid w:val="04A31B47"/>
    <w:multiLevelType w:val="hybridMultilevel"/>
    <w:tmpl w:val="C290B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8B63E3"/>
    <w:multiLevelType w:val="hybridMultilevel"/>
    <w:tmpl w:val="BB543744"/>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 w15:restartNumberingAfterBreak="0">
    <w:nsid w:val="0A854C9C"/>
    <w:multiLevelType w:val="hybridMultilevel"/>
    <w:tmpl w:val="7E4CC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C7546E"/>
    <w:multiLevelType w:val="hybridMultilevel"/>
    <w:tmpl w:val="AD8C80D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15:restartNumberingAfterBreak="0">
    <w:nsid w:val="0F875E70"/>
    <w:multiLevelType w:val="hybridMultilevel"/>
    <w:tmpl w:val="78F011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DD220F"/>
    <w:multiLevelType w:val="hybridMultilevel"/>
    <w:tmpl w:val="C986B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761298"/>
    <w:multiLevelType w:val="hybridMultilevel"/>
    <w:tmpl w:val="74A681BA"/>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8C507D"/>
    <w:multiLevelType w:val="multilevel"/>
    <w:tmpl w:val="C778EB54"/>
    <w:styleLink w:val="StyleNumbered"/>
    <w:lvl w:ilvl="0">
      <w:start w:val="1"/>
      <w:numFmt w:val="decimal"/>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ascii="Arial" w:hAnsi="Arial" w:hint="default"/>
        <w:sz w:val="22"/>
      </w:rPr>
    </w:lvl>
    <w:lvl w:ilvl="2">
      <w:start w:val="1"/>
      <w:numFmt w:val="lowerRoman"/>
      <w:pStyle w:val="ListNumber3"/>
      <w:lvlText w:val="%3."/>
      <w:lvlJc w:val="left"/>
      <w:pPr>
        <w:tabs>
          <w:tab w:val="num" w:pos="1021"/>
        </w:tabs>
        <w:ind w:left="1021" w:hanging="341"/>
      </w:pPr>
      <w:rPr>
        <w:rFonts w:hint="default"/>
      </w:rPr>
    </w:lvl>
    <w:lvl w:ilvl="3">
      <w:start w:val="1"/>
      <w:numFmt w:val="decimal"/>
      <w:pStyle w:val="ListNumber4"/>
      <w:lvlText w:val="%4."/>
      <w:lvlJc w:val="left"/>
      <w:pPr>
        <w:tabs>
          <w:tab w:val="num" w:pos="1361"/>
        </w:tabs>
        <w:ind w:left="1361" w:hanging="340"/>
      </w:pPr>
      <w:rPr>
        <w:rFonts w:hint="default"/>
      </w:rPr>
    </w:lvl>
    <w:lvl w:ilvl="4">
      <w:start w:val="1"/>
      <w:numFmt w:val="lowerLetter"/>
      <w:pStyle w:val="ListNumber5"/>
      <w:lvlText w:val="%5."/>
      <w:lvlJc w:val="left"/>
      <w:pPr>
        <w:tabs>
          <w:tab w:val="num" w:pos="1701"/>
        </w:tabs>
        <w:ind w:left="1701" w:hanging="340"/>
      </w:pPr>
      <w:rPr>
        <w:rFonts w:hint="default"/>
      </w:rPr>
    </w:lvl>
    <w:lvl w:ilvl="5">
      <w:start w:val="1"/>
      <w:numFmt w:val="none"/>
      <w:lvlText w:val="%6"/>
      <w:lvlJc w:val="right"/>
      <w:pPr>
        <w:tabs>
          <w:tab w:val="num" w:pos="4320"/>
        </w:tabs>
        <w:ind w:left="4320" w:hanging="180"/>
      </w:pPr>
      <w:rPr>
        <w:rFonts w:hint="default"/>
      </w:rPr>
    </w:lvl>
    <w:lvl w:ilvl="6">
      <w:start w:val="1"/>
      <w:numFmt w:val="none"/>
      <w:lvlText w:val="%7"/>
      <w:lvlJc w:val="left"/>
      <w:pPr>
        <w:tabs>
          <w:tab w:val="num" w:pos="5040"/>
        </w:tabs>
        <w:ind w:left="5040" w:hanging="360"/>
      </w:pPr>
      <w:rPr>
        <w:rFonts w:hint="default"/>
      </w:rPr>
    </w:lvl>
    <w:lvl w:ilvl="7">
      <w:start w:val="1"/>
      <w:numFmt w:val="none"/>
      <w:lvlText w:val="%8"/>
      <w:lvlJc w:val="left"/>
      <w:pPr>
        <w:tabs>
          <w:tab w:val="num" w:pos="5760"/>
        </w:tabs>
        <w:ind w:left="5760" w:hanging="360"/>
      </w:pPr>
      <w:rPr>
        <w:rFonts w:hint="default"/>
      </w:rPr>
    </w:lvl>
    <w:lvl w:ilvl="8">
      <w:start w:val="1"/>
      <w:numFmt w:val="none"/>
      <w:lvlText w:val="%9"/>
      <w:lvlJc w:val="right"/>
      <w:pPr>
        <w:tabs>
          <w:tab w:val="num" w:pos="6480"/>
        </w:tabs>
        <w:ind w:left="6480" w:hanging="180"/>
      </w:pPr>
      <w:rPr>
        <w:rFonts w:hint="default"/>
      </w:rPr>
    </w:lvl>
  </w:abstractNum>
  <w:abstractNum w:abstractNumId="9" w15:restartNumberingAfterBreak="0">
    <w:nsid w:val="1A5F551F"/>
    <w:multiLevelType w:val="hybridMultilevel"/>
    <w:tmpl w:val="8B466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862A39"/>
    <w:multiLevelType w:val="hybridMultilevel"/>
    <w:tmpl w:val="DB0A9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0B08C6"/>
    <w:multiLevelType w:val="hybridMultilevel"/>
    <w:tmpl w:val="A3465B0A"/>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2" w15:restartNumberingAfterBreak="0">
    <w:nsid w:val="23D42F6C"/>
    <w:multiLevelType w:val="hybridMultilevel"/>
    <w:tmpl w:val="08FAA980"/>
    <w:lvl w:ilvl="0" w:tplc="FE362610">
      <w:start w:val="1"/>
      <w:numFmt w:val="bullet"/>
      <w:lvlText w:val="•"/>
      <w:lvlJc w:val="left"/>
      <w:pPr>
        <w:tabs>
          <w:tab w:val="num" w:pos="720"/>
        </w:tabs>
        <w:ind w:left="720" w:hanging="360"/>
      </w:pPr>
      <w:rPr>
        <w:rFonts w:ascii="Times New Roman" w:hAnsi="Times New Roman" w:hint="default"/>
      </w:rPr>
    </w:lvl>
    <w:lvl w:ilvl="1" w:tplc="AA9A70D2" w:tentative="1">
      <w:start w:val="1"/>
      <w:numFmt w:val="bullet"/>
      <w:lvlText w:val="•"/>
      <w:lvlJc w:val="left"/>
      <w:pPr>
        <w:tabs>
          <w:tab w:val="num" w:pos="1440"/>
        </w:tabs>
        <w:ind w:left="1440" w:hanging="360"/>
      </w:pPr>
      <w:rPr>
        <w:rFonts w:ascii="Times New Roman" w:hAnsi="Times New Roman" w:hint="default"/>
      </w:rPr>
    </w:lvl>
    <w:lvl w:ilvl="2" w:tplc="B3228C86" w:tentative="1">
      <w:start w:val="1"/>
      <w:numFmt w:val="bullet"/>
      <w:lvlText w:val="•"/>
      <w:lvlJc w:val="left"/>
      <w:pPr>
        <w:tabs>
          <w:tab w:val="num" w:pos="2160"/>
        </w:tabs>
        <w:ind w:left="2160" w:hanging="360"/>
      </w:pPr>
      <w:rPr>
        <w:rFonts w:ascii="Times New Roman" w:hAnsi="Times New Roman" w:hint="default"/>
      </w:rPr>
    </w:lvl>
    <w:lvl w:ilvl="3" w:tplc="86E224C8" w:tentative="1">
      <w:start w:val="1"/>
      <w:numFmt w:val="bullet"/>
      <w:lvlText w:val="•"/>
      <w:lvlJc w:val="left"/>
      <w:pPr>
        <w:tabs>
          <w:tab w:val="num" w:pos="2880"/>
        </w:tabs>
        <w:ind w:left="2880" w:hanging="360"/>
      </w:pPr>
      <w:rPr>
        <w:rFonts w:ascii="Times New Roman" w:hAnsi="Times New Roman" w:hint="default"/>
      </w:rPr>
    </w:lvl>
    <w:lvl w:ilvl="4" w:tplc="6382C66A" w:tentative="1">
      <w:start w:val="1"/>
      <w:numFmt w:val="bullet"/>
      <w:lvlText w:val="•"/>
      <w:lvlJc w:val="left"/>
      <w:pPr>
        <w:tabs>
          <w:tab w:val="num" w:pos="3600"/>
        </w:tabs>
        <w:ind w:left="3600" w:hanging="360"/>
      </w:pPr>
      <w:rPr>
        <w:rFonts w:ascii="Times New Roman" w:hAnsi="Times New Roman" w:hint="default"/>
      </w:rPr>
    </w:lvl>
    <w:lvl w:ilvl="5" w:tplc="45088F26" w:tentative="1">
      <w:start w:val="1"/>
      <w:numFmt w:val="bullet"/>
      <w:lvlText w:val="•"/>
      <w:lvlJc w:val="left"/>
      <w:pPr>
        <w:tabs>
          <w:tab w:val="num" w:pos="4320"/>
        </w:tabs>
        <w:ind w:left="4320" w:hanging="360"/>
      </w:pPr>
      <w:rPr>
        <w:rFonts w:ascii="Times New Roman" w:hAnsi="Times New Roman" w:hint="default"/>
      </w:rPr>
    </w:lvl>
    <w:lvl w:ilvl="6" w:tplc="48F698F6" w:tentative="1">
      <w:start w:val="1"/>
      <w:numFmt w:val="bullet"/>
      <w:lvlText w:val="•"/>
      <w:lvlJc w:val="left"/>
      <w:pPr>
        <w:tabs>
          <w:tab w:val="num" w:pos="5040"/>
        </w:tabs>
        <w:ind w:left="5040" w:hanging="360"/>
      </w:pPr>
      <w:rPr>
        <w:rFonts w:ascii="Times New Roman" w:hAnsi="Times New Roman" w:hint="default"/>
      </w:rPr>
    </w:lvl>
    <w:lvl w:ilvl="7" w:tplc="A4BC42A2" w:tentative="1">
      <w:start w:val="1"/>
      <w:numFmt w:val="bullet"/>
      <w:lvlText w:val="•"/>
      <w:lvlJc w:val="left"/>
      <w:pPr>
        <w:tabs>
          <w:tab w:val="num" w:pos="5760"/>
        </w:tabs>
        <w:ind w:left="5760" w:hanging="360"/>
      </w:pPr>
      <w:rPr>
        <w:rFonts w:ascii="Times New Roman" w:hAnsi="Times New Roman" w:hint="default"/>
      </w:rPr>
    </w:lvl>
    <w:lvl w:ilvl="8" w:tplc="D11E1106"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4620418"/>
    <w:multiLevelType w:val="hybridMultilevel"/>
    <w:tmpl w:val="85F45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7E30F6"/>
    <w:multiLevelType w:val="hybridMultilevel"/>
    <w:tmpl w:val="6D1A0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B27A4D"/>
    <w:multiLevelType w:val="hybridMultilevel"/>
    <w:tmpl w:val="64966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644FB0"/>
    <w:multiLevelType w:val="hybridMultilevel"/>
    <w:tmpl w:val="74A681BA"/>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3C5127"/>
    <w:multiLevelType w:val="hybridMultilevel"/>
    <w:tmpl w:val="26AE54A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7267C30"/>
    <w:multiLevelType w:val="multilevel"/>
    <w:tmpl w:val="2DAC7D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374C0AA4"/>
    <w:multiLevelType w:val="hybridMultilevel"/>
    <w:tmpl w:val="C4EE80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7235F3"/>
    <w:multiLevelType w:val="hybridMultilevel"/>
    <w:tmpl w:val="C9043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F765D2C"/>
    <w:multiLevelType w:val="hybridMultilevel"/>
    <w:tmpl w:val="61324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762671"/>
    <w:multiLevelType w:val="hybridMultilevel"/>
    <w:tmpl w:val="E64A488E"/>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3" w15:restartNumberingAfterBreak="0">
    <w:nsid w:val="40912B8D"/>
    <w:multiLevelType w:val="hybridMultilevel"/>
    <w:tmpl w:val="D62CC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0E67949"/>
    <w:multiLevelType w:val="hybridMultilevel"/>
    <w:tmpl w:val="56BE1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3403369"/>
    <w:multiLevelType w:val="hybridMultilevel"/>
    <w:tmpl w:val="FFCAB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5797424"/>
    <w:multiLevelType w:val="hybridMultilevel"/>
    <w:tmpl w:val="D87EE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9552A7"/>
    <w:multiLevelType w:val="multilevel"/>
    <w:tmpl w:val="B7EA22CA"/>
    <w:name w:val="Bullets22"/>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Arial" w:hAnsi="Arial" w:hint="default"/>
      </w:rPr>
    </w:lvl>
    <w:lvl w:ilvl="2">
      <w:start w:val="1"/>
      <w:numFmt w:val="bullet"/>
      <w:lvlText w:val="◦"/>
      <w:lvlJc w:val="left"/>
      <w:pPr>
        <w:tabs>
          <w:tab w:val="num" w:pos="1021"/>
        </w:tabs>
        <w:ind w:left="1021" w:hanging="341"/>
      </w:pPr>
      <w:rPr>
        <w:rFonts w:ascii="Arial" w:hAnsi="Arial" w:hint="default"/>
      </w:rPr>
    </w:lvl>
    <w:lvl w:ilvl="3">
      <w:start w:val="1"/>
      <w:numFmt w:val="bullet"/>
      <w:lvlText w:val="▪"/>
      <w:lvlJc w:val="left"/>
      <w:pPr>
        <w:tabs>
          <w:tab w:val="num" w:pos="1361"/>
        </w:tabs>
        <w:ind w:left="1361" w:hanging="340"/>
      </w:pPr>
      <w:rPr>
        <w:rFonts w:ascii="Arial" w:hAnsi="Arial" w:hint="default"/>
      </w:rPr>
    </w:lvl>
    <w:lvl w:ilvl="4">
      <w:start w:val="1"/>
      <w:numFmt w:val="bullet"/>
      <w:lvlText w:val="–"/>
      <w:lvlJc w:val="left"/>
      <w:pPr>
        <w:tabs>
          <w:tab w:val="num" w:pos="1701"/>
        </w:tabs>
        <w:ind w:left="1701" w:hanging="340"/>
      </w:pPr>
      <w:rPr>
        <w:rFonts w:ascii="Arial" w:hAnsi="Aria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8" w15:restartNumberingAfterBreak="0">
    <w:nsid w:val="4C620438"/>
    <w:multiLevelType w:val="hybridMultilevel"/>
    <w:tmpl w:val="33605F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CF1034D"/>
    <w:multiLevelType w:val="hybridMultilevel"/>
    <w:tmpl w:val="84DA1C50"/>
    <w:lvl w:ilvl="0" w:tplc="B43CED8C">
      <w:start w:val="1"/>
      <w:numFmt w:val="bullet"/>
      <w:lvlText w:val=""/>
      <w:lvlJc w:val="left"/>
      <w:pPr>
        <w:tabs>
          <w:tab w:val="num" w:pos="720"/>
        </w:tabs>
        <w:ind w:left="720" w:hanging="360"/>
      </w:pPr>
      <w:rPr>
        <w:rFonts w:ascii="Symbol" w:hAnsi="Symbol" w:hint="default"/>
      </w:rPr>
    </w:lvl>
    <w:lvl w:ilvl="1" w:tplc="CC3A573C">
      <w:start w:val="89"/>
      <w:numFmt w:val="bullet"/>
      <w:lvlText w:val="o"/>
      <w:lvlJc w:val="left"/>
      <w:pPr>
        <w:tabs>
          <w:tab w:val="num" w:pos="1440"/>
        </w:tabs>
        <w:ind w:left="1440" w:hanging="360"/>
      </w:pPr>
      <w:rPr>
        <w:rFonts w:ascii="Courier New" w:hAnsi="Courier New" w:hint="default"/>
      </w:rPr>
    </w:lvl>
    <w:lvl w:ilvl="2" w:tplc="FD08E11C" w:tentative="1">
      <w:start w:val="1"/>
      <w:numFmt w:val="bullet"/>
      <w:lvlText w:val=""/>
      <w:lvlJc w:val="left"/>
      <w:pPr>
        <w:tabs>
          <w:tab w:val="num" w:pos="2160"/>
        </w:tabs>
        <w:ind w:left="2160" w:hanging="360"/>
      </w:pPr>
      <w:rPr>
        <w:rFonts w:ascii="Symbol" w:hAnsi="Symbol" w:hint="default"/>
      </w:rPr>
    </w:lvl>
    <w:lvl w:ilvl="3" w:tplc="733E720C" w:tentative="1">
      <w:start w:val="1"/>
      <w:numFmt w:val="bullet"/>
      <w:lvlText w:val=""/>
      <w:lvlJc w:val="left"/>
      <w:pPr>
        <w:tabs>
          <w:tab w:val="num" w:pos="2880"/>
        </w:tabs>
        <w:ind w:left="2880" w:hanging="360"/>
      </w:pPr>
      <w:rPr>
        <w:rFonts w:ascii="Symbol" w:hAnsi="Symbol" w:hint="default"/>
      </w:rPr>
    </w:lvl>
    <w:lvl w:ilvl="4" w:tplc="90F0E7BE" w:tentative="1">
      <w:start w:val="1"/>
      <w:numFmt w:val="bullet"/>
      <w:lvlText w:val=""/>
      <w:lvlJc w:val="left"/>
      <w:pPr>
        <w:tabs>
          <w:tab w:val="num" w:pos="3600"/>
        </w:tabs>
        <w:ind w:left="3600" w:hanging="360"/>
      </w:pPr>
      <w:rPr>
        <w:rFonts w:ascii="Symbol" w:hAnsi="Symbol" w:hint="default"/>
      </w:rPr>
    </w:lvl>
    <w:lvl w:ilvl="5" w:tplc="E0C6974A" w:tentative="1">
      <w:start w:val="1"/>
      <w:numFmt w:val="bullet"/>
      <w:lvlText w:val=""/>
      <w:lvlJc w:val="left"/>
      <w:pPr>
        <w:tabs>
          <w:tab w:val="num" w:pos="4320"/>
        </w:tabs>
        <w:ind w:left="4320" w:hanging="360"/>
      </w:pPr>
      <w:rPr>
        <w:rFonts w:ascii="Symbol" w:hAnsi="Symbol" w:hint="default"/>
      </w:rPr>
    </w:lvl>
    <w:lvl w:ilvl="6" w:tplc="597423F8" w:tentative="1">
      <w:start w:val="1"/>
      <w:numFmt w:val="bullet"/>
      <w:lvlText w:val=""/>
      <w:lvlJc w:val="left"/>
      <w:pPr>
        <w:tabs>
          <w:tab w:val="num" w:pos="5040"/>
        </w:tabs>
        <w:ind w:left="5040" w:hanging="360"/>
      </w:pPr>
      <w:rPr>
        <w:rFonts w:ascii="Symbol" w:hAnsi="Symbol" w:hint="default"/>
      </w:rPr>
    </w:lvl>
    <w:lvl w:ilvl="7" w:tplc="5AA844EE" w:tentative="1">
      <w:start w:val="1"/>
      <w:numFmt w:val="bullet"/>
      <w:lvlText w:val=""/>
      <w:lvlJc w:val="left"/>
      <w:pPr>
        <w:tabs>
          <w:tab w:val="num" w:pos="5760"/>
        </w:tabs>
        <w:ind w:left="5760" w:hanging="360"/>
      </w:pPr>
      <w:rPr>
        <w:rFonts w:ascii="Symbol" w:hAnsi="Symbol" w:hint="default"/>
      </w:rPr>
    </w:lvl>
    <w:lvl w:ilvl="8" w:tplc="D3504864"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575A69FE"/>
    <w:multiLevelType w:val="hybridMultilevel"/>
    <w:tmpl w:val="A6D818EC"/>
    <w:lvl w:ilvl="0" w:tplc="6C1E5238">
      <w:numFmt w:val="bullet"/>
      <w:lvlText w:val=""/>
      <w:lvlJc w:val="left"/>
      <w:pPr>
        <w:ind w:left="720" w:hanging="36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5E5606"/>
    <w:multiLevelType w:val="hybridMultilevel"/>
    <w:tmpl w:val="3AF8BC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B282DB9"/>
    <w:multiLevelType w:val="hybridMultilevel"/>
    <w:tmpl w:val="B64C3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590D7E"/>
    <w:multiLevelType w:val="hybridMultilevel"/>
    <w:tmpl w:val="79621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261488E"/>
    <w:multiLevelType w:val="hybridMultilevel"/>
    <w:tmpl w:val="918C25F2"/>
    <w:lvl w:ilvl="0" w:tplc="F77860AC">
      <w:start w:val="1"/>
      <w:numFmt w:val="bullet"/>
      <w:pStyle w:val="QSABullet"/>
      <w:lvlText w:val=""/>
      <w:lvlJc w:val="left"/>
      <w:pPr>
        <w:ind w:left="780" w:hanging="78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D21328B"/>
    <w:multiLevelType w:val="hybridMultilevel"/>
    <w:tmpl w:val="51B27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EE454EB"/>
    <w:multiLevelType w:val="hybridMultilevel"/>
    <w:tmpl w:val="C1021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FA8298B"/>
    <w:multiLevelType w:val="hybridMultilevel"/>
    <w:tmpl w:val="CFA6892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34"/>
  </w:num>
  <w:num w:numId="4">
    <w:abstractNumId w:val="25"/>
  </w:num>
  <w:num w:numId="5">
    <w:abstractNumId w:val="10"/>
  </w:num>
  <w:num w:numId="6">
    <w:abstractNumId w:val="1"/>
  </w:num>
  <w:num w:numId="7">
    <w:abstractNumId w:val="37"/>
  </w:num>
  <w:num w:numId="8">
    <w:abstractNumId w:val="31"/>
  </w:num>
  <w:num w:numId="9">
    <w:abstractNumId w:val="36"/>
  </w:num>
  <w:num w:numId="10">
    <w:abstractNumId w:val="5"/>
  </w:num>
  <w:num w:numId="11">
    <w:abstractNumId w:val="13"/>
  </w:num>
  <w:num w:numId="12">
    <w:abstractNumId w:val="19"/>
  </w:num>
  <w:num w:numId="13">
    <w:abstractNumId w:val="29"/>
  </w:num>
  <w:num w:numId="14">
    <w:abstractNumId w:val="11"/>
  </w:num>
  <w:num w:numId="15">
    <w:abstractNumId w:val="16"/>
  </w:num>
  <w:num w:numId="16">
    <w:abstractNumId w:val="33"/>
  </w:num>
  <w:num w:numId="17">
    <w:abstractNumId w:val="9"/>
  </w:num>
  <w:num w:numId="18">
    <w:abstractNumId w:val="24"/>
  </w:num>
  <w:num w:numId="19">
    <w:abstractNumId w:val="30"/>
  </w:num>
  <w:num w:numId="20">
    <w:abstractNumId w:val="12"/>
  </w:num>
  <w:num w:numId="21">
    <w:abstractNumId w:val="2"/>
  </w:num>
  <w:num w:numId="22">
    <w:abstractNumId w:val="21"/>
  </w:num>
  <w:num w:numId="23">
    <w:abstractNumId w:val="18"/>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20"/>
  </w:num>
  <w:num w:numId="29">
    <w:abstractNumId w:val="14"/>
  </w:num>
  <w:num w:numId="30">
    <w:abstractNumId w:val="15"/>
  </w:num>
  <w:num w:numId="31">
    <w:abstractNumId w:val="23"/>
  </w:num>
  <w:num w:numId="32">
    <w:abstractNumId w:val="28"/>
  </w:num>
  <w:num w:numId="33">
    <w:abstractNumId w:val="3"/>
  </w:num>
  <w:num w:numId="34">
    <w:abstractNumId w:val="4"/>
  </w:num>
  <w:num w:numId="35">
    <w:abstractNumId w:val="22"/>
  </w:num>
  <w:num w:numId="36">
    <w:abstractNumId w:val="6"/>
  </w:num>
  <w:num w:numId="37">
    <w:abstractNumId w:val="26"/>
  </w:num>
  <w:num w:numId="38">
    <w:abstractNumId w:val="17"/>
  </w:num>
  <w:num w:numId="39">
    <w:abstractNumId w:val="35"/>
  </w:num>
  <w:num w:numId="40">
    <w:abstractNumId w:val="3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7154"/>
    <w:rsid w:val="0000111E"/>
    <w:rsid w:val="00001673"/>
    <w:rsid w:val="00001D1F"/>
    <w:rsid w:val="000038C8"/>
    <w:rsid w:val="000166C6"/>
    <w:rsid w:val="00021236"/>
    <w:rsid w:val="0002255B"/>
    <w:rsid w:val="00023B03"/>
    <w:rsid w:val="00024DEB"/>
    <w:rsid w:val="00026795"/>
    <w:rsid w:val="00027A41"/>
    <w:rsid w:val="0003648B"/>
    <w:rsid w:val="00036BA4"/>
    <w:rsid w:val="000402F1"/>
    <w:rsid w:val="00042759"/>
    <w:rsid w:val="00043CB4"/>
    <w:rsid w:val="00044E6D"/>
    <w:rsid w:val="00047D8B"/>
    <w:rsid w:val="00050F6F"/>
    <w:rsid w:val="00054D73"/>
    <w:rsid w:val="000571C5"/>
    <w:rsid w:val="0006584E"/>
    <w:rsid w:val="00075A0C"/>
    <w:rsid w:val="0007626A"/>
    <w:rsid w:val="00076AB0"/>
    <w:rsid w:val="00080D5F"/>
    <w:rsid w:val="00082737"/>
    <w:rsid w:val="00085562"/>
    <w:rsid w:val="00087384"/>
    <w:rsid w:val="000873AF"/>
    <w:rsid w:val="00091159"/>
    <w:rsid w:val="00091A89"/>
    <w:rsid w:val="000945E9"/>
    <w:rsid w:val="0009463F"/>
    <w:rsid w:val="00096056"/>
    <w:rsid w:val="000A23FD"/>
    <w:rsid w:val="000A39A8"/>
    <w:rsid w:val="000A49E3"/>
    <w:rsid w:val="000B21B8"/>
    <w:rsid w:val="000B7392"/>
    <w:rsid w:val="000B771B"/>
    <w:rsid w:val="000B7C07"/>
    <w:rsid w:val="000C253A"/>
    <w:rsid w:val="000C2EC6"/>
    <w:rsid w:val="000C305B"/>
    <w:rsid w:val="000C6DFB"/>
    <w:rsid w:val="000D0CB3"/>
    <w:rsid w:val="000D126E"/>
    <w:rsid w:val="000D1777"/>
    <w:rsid w:val="000D285D"/>
    <w:rsid w:val="000D2E7C"/>
    <w:rsid w:val="000D4CFD"/>
    <w:rsid w:val="000D71A4"/>
    <w:rsid w:val="000E17FC"/>
    <w:rsid w:val="000E3B0C"/>
    <w:rsid w:val="000E55EE"/>
    <w:rsid w:val="000E5B89"/>
    <w:rsid w:val="000E65FA"/>
    <w:rsid w:val="000E74A6"/>
    <w:rsid w:val="000F44E8"/>
    <w:rsid w:val="000F551A"/>
    <w:rsid w:val="000F6BF5"/>
    <w:rsid w:val="000F715F"/>
    <w:rsid w:val="000F7DC9"/>
    <w:rsid w:val="0010279A"/>
    <w:rsid w:val="00104E25"/>
    <w:rsid w:val="00105BC9"/>
    <w:rsid w:val="00106897"/>
    <w:rsid w:val="00110235"/>
    <w:rsid w:val="00112508"/>
    <w:rsid w:val="00112913"/>
    <w:rsid w:val="001170BE"/>
    <w:rsid w:val="00125CA1"/>
    <w:rsid w:val="00126D9B"/>
    <w:rsid w:val="00130793"/>
    <w:rsid w:val="0013143A"/>
    <w:rsid w:val="00131849"/>
    <w:rsid w:val="001348E7"/>
    <w:rsid w:val="00141E7A"/>
    <w:rsid w:val="00146586"/>
    <w:rsid w:val="00146DF7"/>
    <w:rsid w:val="0015134C"/>
    <w:rsid w:val="001527E1"/>
    <w:rsid w:val="001533C6"/>
    <w:rsid w:val="00154884"/>
    <w:rsid w:val="00155DD0"/>
    <w:rsid w:val="00157020"/>
    <w:rsid w:val="00160E2D"/>
    <w:rsid w:val="001612B6"/>
    <w:rsid w:val="001633EC"/>
    <w:rsid w:val="00163FBC"/>
    <w:rsid w:val="0016429F"/>
    <w:rsid w:val="0016533D"/>
    <w:rsid w:val="00174E81"/>
    <w:rsid w:val="001819D9"/>
    <w:rsid w:val="001859D6"/>
    <w:rsid w:val="00185A39"/>
    <w:rsid w:val="001870E1"/>
    <w:rsid w:val="00190406"/>
    <w:rsid w:val="001914AC"/>
    <w:rsid w:val="00193313"/>
    <w:rsid w:val="001A2B03"/>
    <w:rsid w:val="001A66ED"/>
    <w:rsid w:val="001A7D94"/>
    <w:rsid w:val="001B51E8"/>
    <w:rsid w:val="001C2FA7"/>
    <w:rsid w:val="001C3436"/>
    <w:rsid w:val="001C3569"/>
    <w:rsid w:val="001C3D06"/>
    <w:rsid w:val="001C3E24"/>
    <w:rsid w:val="001C46B4"/>
    <w:rsid w:val="001D0D19"/>
    <w:rsid w:val="001D12BC"/>
    <w:rsid w:val="001D416D"/>
    <w:rsid w:val="001D5DC2"/>
    <w:rsid w:val="001E254B"/>
    <w:rsid w:val="001E363C"/>
    <w:rsid w:val="001E758F"/>
    <w:rsid w:val="001F016F"/>
    <w:rsid w:val="001F5CD6"/>
    <w:rsid w:val="001F6C03"/>
    <w:rsid w:val="002002BF"/>
    <w:rsid w:val="00201A02"/>
    <w:rsid w:val="00202CD9"/>
    <w:rsid w:val="0020687B"/>
    <w:rsid w:val="00206D08"/>
    <w:rsid w:val="00212588"/>
    <w:rsid w:val="00217733"/>
    <w:rsid w:val="0021792E"/>
    <w:rsid w:val="0022145A"/>
    <w:rsid w:val="00222FA8"/>
    <w:rsid w:val="002245BA"/>
    <w:rsid w:val="00225E55"/>
    <w:rsid w:val="00226170"/>
    <w:rsid w:val="002277F8"/>
    <w:rsid w:val="00227CDD"/>
    <w:rsid w:val="00231DE4"/>
    <w:rsid w:val="00232B9F"/>
    <w:rsid w:val="00233E47"/>
    <w:rsid w:val="00235819"/>
    <w:rsid w:val="00241EE1"/>
    <w:rsid w:val="00242C99"/>
    <w:rsid w:val="00242F03"/>
    <w:rsid w:val="002452F7"/>
    <w:rsid w:val="002506E9"/>
    <w:rsid w:val="002519A7"/>
    <w:rsid w:val="00255865"/>
    <w:rsid w:val="0025624D"/>
    <w:rsid w:val="00257950"/>
    <w:rsid w:val="00260BBF"/>
    <w:rsid w:val="00261EDB"/>
    <w:rsid w:val="0026750E"/>
    <w:rsid w:val="0026756B"/>
    <w:rsid w:val="00267BF9"/>
    <w:rsid w:val="002723BD"/>
    <w:rsid w:val="00272422"/>
    <w:rsid w:val="002749A9"/>
    <w:rsid w:val="002750B5"/>
    <w:rsid w:val="00281EB0"/>
    <w:rsid w:val="00282331"/>
    <w:rsid w:val="00286372"/>
    <w:rsid w:val="00287AD5"/>
    <w:rsid w:val="00297FE6"/>
    <w:rsid w:val="002A40E8"/>
    <w:rsid w:val="002A4448"/>
    <w:rsid w:val="002A7214"/>
    <w:rsid w:val="002B105B"/>
    <w:rsid w:val="002B5874"/>
    <w:rsid w:val="002B7336"/>
    <w:rsid w:val="002C0E6C"/>
    <w:rsid w:val="002C50A9"/>
    <w:rsid w:val="002C5F8B"/>
    <w:rsid w:val="002C71EC"/>
    <w:rsid w:val="002C7EB7"/>
    <w:rsid w:val="002D0F41"/>
    <w:rsid w:val="002D5D52"/>
    <w:rsid w:val="002E1564"/>
    <w:rsid w:val="002E1733"/>
    <w:rsid w:val="002E183D"/>
    <w:rsid w:val="002E1930"/>
    <w:rsid w:val="002E43A6"/>
    <w:rsid w:val="002E789B"/>
    <w:rsid w:val="002F1B24"/>
    <w:rsid w:val="00303A49"/>
    <w:rsid w:val="00304926"/>
    <w:rsid w:val="00305048"/>
    <w:rsid w:val="00306AE1"/>
    <w:rsid w:val="00311264"/>
    <w:rsid w:val="00311868"/>
    <w:rsid w:val="0031234C"/>
    <w:rsid w:val="00312B35"/>
    <w:rsid w:val="00316BAC"/>
    <w:rsid w:val="00320FA5"/>
    <w:rsid w:val="003213E9"/>
    <w:rsid w:val="00322926"/>
    <w:rsid w:val="00327FF3"/>
    <w:rsid w:val="003314DD"/>
    <w:rsid w:val="0034080D"/>
    <w:rsid w:val="003479D8"/>
    <w:rsid w:val="003508CA"/>
    <w:rsid w:val="00351399"/>
    <w:rsid w:val="0035143F"/>
    <w:rsid w:val="003523F6"/>
    <w:rsid w:val="00353E0A"/>
    <w:rsid w:val="00353EC4"/>
    <w:rsid w:val="003542BA"/>
    <w:rsid w:val="00354384"/>
    <w:rsid w:val="00355314"/>
    <w:rsid w:val="00364286"/>
    <w:rsid w:val="0036561B"/>
    <w:rsid w:val="0036621F"/>
    <w:rsid w:val="003667E3"/>
    <w:rsid w:val="00367FAD"/>
    <w:rsid w:val="00370C0E"/>
    <w:rsid w:val="0037285C"/>
    <w:rsid w:val="003774E8"/>
    <w:rsid w:val="003823F0"/>
    <w:rsid w:val="00382A36"/>
    <w:rsid w:val="003848C4"/>
    <w:rsid w:val="00386EF5"/>
    <w:rsid w:val="00390105"/>
    <w:rsid w:val="0039204E"/>
    <w:rsid w:val="00394605"/>
    <w:rsid w:val="003A28EC"/>
    <w:rsid w:val="003A2FBD"/>
    <w:rsid w:val="003A43F6"/>
    <w:rsid w:val="003A5A5F"/>
    <w:rsid w:val="003B13C3"/>
    <w:rsid w:val="003B37B2"/>
    <w:rsid w:val="003B3F45"/>
    <w:rsid w:val="003B6049"/>
    <w:rsid w:val="003B7CF1"/>
    <w:rsid w:val="003C54D6"/>
    <w:rsid w:val="003C58E5"/>
    <w:rsid w:val="003C5C58"/>
    <w:rsid w:val="003C7D9A"/>
    <w:rsid w:val="003D0E2F"/>
    <w:rsid w:val="003D21B6"/>
    <w:rsid w:val="003D341E"/>
    <w:rsid w:val="003D6668"/>
    <w:rsid w:val="003E15F2"/>
    <w:rsid w:val="003E4955"/>
    <w:rsid w:val="003F4E10"/>
    <w:rsid w:val="003F5097"/>
    <w:rsid w:val="003F7E3D"/>
    <w:rsid w:val="00404CB2"/>
    <w:rsid w:val="00405D32"/>
    <w:rsid w:val="00412346"/>
    <w:rsid w:val="0041648F"/>
    <w:rsid w:val="00416628"/>
    <w:rsid w:val="0042675D"/>
    <w:rsid w:val="00426912"/>
    <w:rsid w:val="00433894"/>
    <w:rsid w:val="004362A2"/>
    <w:rsid w:val="00440DCB"/>
    <w:rsid w:val="00447CA6"/>
    <w:rsid w:val="00452959"/>
    <w:rsid w:val="0045450F"/>
    <w:rsid w:val="00456913"/>
    <w:rsid w:val="00456AC3"/>
    <w:rsid w:val="004656DB"/>
    <w:rsid w:val="004657C3"/>
    <w:rsid w:val="00466BF3"/>
    <w:rsid w:val="00466F3C"/>
    <w:rsid w:val="004673C1"/>
    <w:rsid w:val="004742A2"/>
    <w:rsid w:val="0047441A"/>
    <w:rsid w:val="00474463"/>
    <w:rsid w:val="00483AB3"/>
    <w:rsid w:val="00492618"/>
    <w:rsid w:val="00492D58"/>
    <w:rsid w:val="00495A4C"/>
    <w:rsid w:val="004A21E1"/>
    <w:rsid w:val="004A3999"/>
    <w:rsid w:val="004A3DC2"/>
    <w:rsid w:val="004C4D44"/>
    <w:rsid w:val="004C526A"/>
    <w:rsid w:val="004D08CE"/>
    <w:rsid w:val="004D0A35"/>
    <w:rsid w:val="004F0B61"/>
    <w:rsid w:val="004F33FF"/>
    <w:rsid w:val="004F48E8"/>
    <w:rsid w:val="004F796C"/>
    <w:rsid w:val="00500E2E"/>
    <w:rsid w:val="00501220"/>
    <w:rsid w:val="00505076"/>
    <w:rsid w:val="00507F94"/>
    <w:rsid w:val="005125B9"/>
    <w:rsid w:val="00513995"/>
    <w:rsid w:val="00514793"/>
    <w:rsid w:val="00526374"/>
    <w:rsid w:val="005268C8"/>
    <w:rsid w:val="005315FC"/>
    <w:rsid w:val="00535527"/>
    <w:rsid w:val="00536F60"/>
    <w:rsid w:val="00540F6D"/>
    <w:rsid w:val="00542E2D"/>
    <w:rsid w:val="00543108"/>
    <w:rsid w:val="005434ED"/>
    <w:rsid w:val="0054524D"/>
    <w:rsid w:val="00545B15"/>
    <w:rsid w:val="00546E7F"/>
    <w:rsid w:val="005548B0"/>
    <w:rsid w:val="0056178E"/>
    <w:rsid w:val="0056389C"/>
    <w:rsid w:val="00563DC3"/>
    <w:rsid w:val="00563EDD"/>
    <w:rsid w:val="005647CF"/>
    <w:rsid w:val="0056654A"/>
    <w:rsid w:val="00566C59"/>
    <w:rsid w:val="005670FE"/>
    <w:rsid w:val="005708BB"/>
    <w:rsid w:val="005721BA"/>
    <w:rsid w:val="00572E6D"/>
    <w:rsid w:val="00574F65"/>
    <w:rsid w:val="00575B6C"/>
    <w:rsid w:val="00581DFA"/>
    <w:rsid w:val="00586613"/>
    <w:rsid w:val="0059256C"/>
    <w:rsid w:val="00592B22"/>
    <w:rsid w:val="00596113"/>
    <w:rsid w:val="005962F7"/>
    <w:rsid w:val="005A2D88"/>
    <w:rsid w:val="005A3FC0"/>
    <w:rsid w:val="005B24CA"/>
    <w:rsid w:val="005B3E0C"/>
    <w:rsid w:val="005B43D7"/>
    <w:rsid w:val="005B6BE4"/>
    <w:rsid w:val="005B6F66"/>
    <w:rsid w:val="005B72EB"/>
    <w:rsid w:val="005C035E"/>
    <w:rsid w:val="005C06F4"/>
    <w:rsid w:val="005C2699"/>
    <w:rsid w:val="005C3FA2"/>
    <w:rsid w:val="005D19E4"/>
    <w:rsid w:val="005D4852"/>
    <w:rsid w:val="005E372F"/>
    <w:rsid w:val="005E49D0"/>
    <w:rsid w:val="005E5684"/>
    <w:rsid w:val="005E7E84"/>
    <w:rsid w:val="005F0DD8"/>
    <w:rsid w:val="005F65B3"/>
    <w:rsid w:val="005F790F"/>
    <w:rsid w:val="005F7EC5"/>
    <w:rsid w:val="00601C0B"/>
    <w:rsid w:val="00603EC0"/>
    <w:rsid w:val="006074EF"/>
    <w:rsid w:val="00610371"/>
    <w:rsid w:val="006114E5"/>
    <w:rsid w:val="006211A0"/>
    <w:rsid w:val="00622986"/>
    <w:rsid w:val="00626B94"/>
    <w:rsid w:val="00626D49"/>
    <w:rsid w:val="006275F4"/>
    <w:rsid w:val="00631767"/>
    <w:rsid w:val="0063302A"/>
    <w:rsid w:val="00635BB2"/>
    <w:rsid w:val="006406E1"/>
    <w:rsid w:val="00640EFF"/>
    <w:rsid w:val="00642B25"/>
    <w:rsid w:val="00643B15"/>
    <w:rsid w:val="00646013"/>
    <w:rsid w:val="00651923"/>
    <w:rsid w:val="006540FE"/>
    <w:rsid w:val="00655856"/>
    <w:rsid w:val="00656304"/>
    <w:rsid w:val="006565C5"/>
    <w:rsid w:val="006627CA"/>
    <w:rsid w:val="00664B1A"/>
    <w:rsid w:val="00666748"/>
    <w:rsid w:val="00667184"/>
    <w:rsid w:val="006759F3"/>
    <w:rsid w:val="0067772F"/>
    <w:rsid w:val="00677D85"/>
    <w:rsid w:val="00683237"/>
    <w:rsid w:val="00683D7B"/>
    <w:rsid w:val="00686EB7"/>
    <w:rsid w:val="0068736F"/>
    <w:rsid w:val="006878D4"/>
    <w:rsid w:val="00691E30"/>
    <w:rsid w:val="00697348"/>
    <w:rsid w:val="006A21E0"/>
    <w:rsid w:val="006A7BB9"/>
    <w:rsid w:val="006B2B06"/>
    <w:rsid w:val="006B3C0C"/>
    <w:rsid w:val="006B4001"/>
    <w:rsid w:val="006C285D"/>
    <w:rsid w:val="006C3BD0"/>
    <w:rsid w:val="006C726F"/>
    <w:rsid w:val="006D11D1"/>
    <w:rsid w:val="006D138E"/>
    <w:rsid w:val="006D1CDB"/>
    <w:rsid w:val="006D262A"/>
    <w:rsid w:val="006D30C7"/>
    <w:rsid w:val="006D61C9"/>
    <w:rsid w:val="006E09E5"/>
    <w:rsid w:val="006E3C0C"/>
    <w:rsid w:val="006E5D70"/>
    <w:rsid w:val="006E6483"/>
    <w:rsid w:val="006F15E3"/>
    <w:rsid w:val="006F3AFD"/>
    <w:rsid w:val="00705456"/>
    <w:rsid w:val="007112D7"/>
    <w:rsid w:val="00711FD6"/>
    <w:rsid w:val="00714A32"/>
    <w:rsid w:val="00716D2D"/>
    <w:rsid w:val="00720CBA"/>
    <w:rsid w:val="00721D30"/>
    <w:rsid w:val="007235DB"/>
    <w:rsid w:val="00726145"/>
    <w:rsid w:val="00727832"/>
    <w:rsid w:val="00730BFC"/>
    <w:rsid w:val="0073296D"/>
    <w:rsid w:val="00733329"/>
    <w:rsid w:val="0073692D"/>
    <w:rsid w:val="00737784"/>
    <w:rsid w:val="00737A25"/>
    <w:rsid w:val="007423A4"/>
    <w:rsid w:val="00751808"/>
    <w:rsid w:val="00755D49"/>
    <w:rsid w:val="007577DE"/>
    <w:rsid w:val="00761B33"/>
    <w:rsid w:val="00770538"/>
    <w:rsid w:val="00772F4B"/>
    <w:rsid w:val="00773006"/>
    <w:rsid w:val="00773A69"/>
    <w:rsid w:val="00775928"/>
    <w:rsid w:val="007773F7"/>
    <w:rsid w:val="00780BE2"/>
    <w:rsid w:val="00781718"/>
    <w:rsid w:val="00782CB0"/>
    <w:rsid w:val="00783477"/>
    <w:rsid w:val="00784426"/>
    <w:rsid w:val="00787E4C"/>
    <w:rsid w:val="0079044B"/>
    <w:rsid w:val="007949D1"/>
    <w:rsid w:val="00794E38"/>
    <w:rsid w:val="00796C6B"/>
    <w:rsid w:val="007A06F8"/>
    <w:rsid w:val="007A397F"/>
    <w:rsid w:val="007A645E"/>
    <w:rsid w:val="007A6821"/>
    <w:rsid w:val="007B053E"/>
    <w:rsid w:val="007B3C6E"/>
    <w:rsid w:val="007B7455"/>
    <w:rsid w:val="007B7BD3"/>
    <w:rsid w:val="007C484C"/>
    <w:rsid w:val="007C4A10"/>
    <w:rsid w:val="007C5538"/>
    <w:rsid w:val="007D043E"/>
    <w:rsid w:val="007D1BF8"/>
    <w:rsid w:val="007D287E"/>
    <w:rsid w:val="007D60EA"/>
    <w:rsid w:val="007D64A0"/>
    <w:rsid w:val="007E0215"/>
    <w:rsid w:val="007E1BF9"/>
    <w:rsid w:val="007E48C3"/>
    <w:rsid w:val="007E4DC7"/>
    <w:rsid w:val="007E662F"/>
    <w:rsid w:val="007F1B6D"/>
    <w:rsid w:val="007F7812"/>
    <w:rsid w:val="008019AA"/>
    <w:rsid w:val="008020AC"/>
    <w:rsid w:val="00804062"/>
    <w:rsid w:val="00805723"/>
    <w:rsid w:val="0081011E"/>
    <w:rsid w:val="008161B2"/>
    <w:rsid w:val="008250D5"/>
    <w:rsid w:val="008308B3"/>
    <w:rsid w:val="0083286E"/>
    <w:rsid w:val="00833609"/>
    <w:rsid w:val="00834832"/>
    <w:rsid w:val="00836A11"/>
    <w:rsid w:val="00840BCD"/>
    <w:rsid w:val="008427E6"/>
    <w:rsid w:val="0084287A"/>
    <w:rsid w:val="00842C33"/>
    <w:rsid w:val="00846568"/>
    <w:rsid w:val="0085293A"/>
    <w:rsid w:val="00852D21"/>
    <w:rsid w:val="00854B73"/>
    <w:rsid w:val="00854CB3"/>
    <w:rsid w:val="00854FBF"/>
    <w:rsid w:val="00861636"/>
    <w:rsid w:val="00863A06"/>
    <w:rsid w:val="008736C2"/>
    <w:rsid w:val="00875658"/>
    <w:rsid w:val="00877851"/>
    <w:rsid w:val="008803BF"/>
    <w:rsid w:val="00880906"/>
    <w:rsid w:val="008814FC"/>
    <w:rsid w:val="00883071"/>
    <w:rsid w:val="0088713C"/>
    <w:rsid w:val="0088722A"/>
    <w:rsid w:val="00890DAA"/>
    <w:rsid w:val="00892FF0"/>
    <w:rsid w:val="008963FA"/>
    <w:rsid w:val="008A18A2"/>
    <w:rsid w:val="008A5AA7"/>
    <w:rsid w:val="008B34D3"/>
    <w:rsid w:val="008B36E0"/>
    <w:rsid w:val="008B504C"/>
    <w:rsid w:val="008B7753"/>
    <w:rsid w:val="008B7E49"/>
    <w:rsid w:val="008B7F2D"/>
    <w:rsid w:val="008C0086"/>
    <w:rsid w:val="008C194A"/>
    <w:rsid w:val="008C23C0"/>
    <w:rsid w:val="008C7198"/>
    <w:rsid w:val="008D0313"/>
    <w:rsid w:val="008D0500"/>
    <w:rsid w:val="008D28DA"/>
    <w:rsid w:val="008D3E74"/>
    <w:rsid w:val="008D3FEA"/>
    <w:rsid w:val="008E2273"/>
    <w:rsid w:val="008E3365"/>
    <w:rsid w:val="008E4403"/>
    <w:rsid w:val="008E7625"/>
    <w:rsid w:val="008F4AC5"/>
    <w:rsid w:val="008F5835"/>
    <w:rsid w:val="00901C8F"/>
    <w:rsid w:val="00902236"/>
    <w:rsid w:val="00902A70"/>
    <w:rsid w:val="00903C74"/>
    <w:rsid w:val="0090436E"/>
    <w:rsid w:val="0090583E"/>
    <w:rsid w:val="00914090"/>
    <w:rsid w:val="00917219"/>
    <w:rsid w:val="00917E87"/>
    <w:rsid w:val="009302BB"/>
    <w:rsid w:val="00930E41"/>
    <w:rsid w:val="009330F5"/>
    <w:rsid w:val="00933D3A"/>
    <w:rsid w:val="00934D91"/>
    <w:rsid w:val="00935641"/>
    <w:rsid w:val="00937327"/>
    <w:rsid w:val="00937349"/>
    <w:rsid w:val="009413B4"/>
    <w:rsid w:val="009425A2"/>
    <w:rsid w:val="00943542"/>
    <w:rsid w:val="00943844"/>
    <w:rsid w:val="009440AC"/>
    <w:rsid w:val="009449EE"/>
    <w:rsid w:val="00946FFE"/>
    <w:rsid w:val="00947DE8"/>
    <w:rsid w:val="009502EE"/>
    <w:rsid w:val="00950AF9"/>
    <w:rsid w:val="00950B2C"/>
    <w:rsid w:val="00961320"/>
    <w:rsid w:val="009706AC"/>
    <w:rsid w:val="0097517F"/>
    <w:rsid w:val="00977131"/>
    <w:rsid w:val="00983636"/>
    <w:rsid w:val="00984837"/>
    <w:rsid w:val="00985EC1"/>
    <w:rsid w:val="00987B45"/>
    <w:rsid w:val="00990478"/>
    <w:rsid w:val="009908CB"/>
    <w:rsid w:val="00995C72"/>
    <w:rsid w:val="009A3861"/>
    <w:rsid w:val="009A460D"/>
    <w:rsid w:val="009A4B1B"/>
    <w:rsid w:val="009B2C9A"/>
    <w:rsid w:val="009B54B0"/>
    <w:rsid w:val="009C0163"/>
    <w:rsid w:val="009C1D86"/>
    <w:rsid w:val="009C2854"/>
    <w:rsid w:val="009D0577"/>
    <w:rsid w:val="009E3497"/>
    <w:rsid w:val="009E6567"/>
    <w:rsid w:val="009E70CF"/>
    <w:rsid w:val="009E72A0"/>
    <w:rsid w:val="009F30E4"/>
    <w:rsid w:val="009F42B7"/>
    <w:rsid w:val="009F6E3D"/>
    <w:rsid w:val="00A05597"/>
    <w:rsid w:val="00A06794"/>
    <w:rsid w:val="00A06EB7"/>
    <w:rsid w:val="00A10D18"/>
    <w:rsid w:val="00A12F52"/>
    <w:rsid w:val="00A142AF"/>
    <w:rsid w:val="00A144FC"/>
    <w:rsid w:val="00A21998"/>
    <w:rsid w:val="00A23AD5"/>
    <w:rsid w:val="00A24ECF"/>
    <w:rsid w:val="00A27AAC"/>
    <w:rsid w:val="00A32E29"/>
    <w:rsid w:val="00A33555"/>
    <w:rsid w:val="00A33D92"/>
    <w:rsid w:val="00A3443A"/>
    <w:rsid w:val="00A4021C"/>
    <w:rsid w:val="00A43266"/>
    <w:rsid w:val="00A43303"/>
    <w:rsid w:val="00A47419"/>
    <w:rsid w:val="00A5055A"/>
    <w:rsid w:val="00A505E2"/>
    <w:rsid w:val="00A51089"/>
    <w:rsid w:val="00A521CD"/>
    <w:rsid w:val="00A52A4B"/>
    <w:rsid w:val="00A57271"/>
    <w:rsid w:val="00A61648"/>
    <w:rsid w:val="00A61DD8"/>
    <w:rsid w:val="00A62E8A"/>
    <w:rsid w:val="00A64E28"/>
    <w:rsid w:val="00A65492"/>
    <w:rsid w:val="00A675F1"/>
    <w:rsid w:val="00A71802"/>
    <w:rsid w:val="00A766C8"/>
    <w:rsid w:val="00A85A51"/>
    <w:rsid w:val="00A91BCA"/>
    <w:rsid w:val="00A946FE"/>
    <w:rsid w:val="00A95480"/>
    <w:rsid w:val="00A9666F"/>
    <w:rsid w:val="00A9684F"/>
    <w:rsid w:val="00A97E88"/>
    <w:rsid w:val="00AA3218"/>
    <w:rsid w:val="00AA57DA"/>
    <w:rsid w:val="00AB16A1"/>
    <w:rsid w:val="00AB1F8D"/>
    <w:rsid w:val="00AB24B8"/>
    <w:rsid w:val="00AB59B8"/>
    <w:rsid w:val="00AD1232"/>
    <w:rsid w:val="00AD51D9"/>
    <w:rsid w:val="00AE0238"/>
    <w:rsid w:val="00AE0F56"/>
    <w:rsid w:val="00AE31DB"/>
    <w:rsid w:val="00AE3516"/>
    <w:rsid w:val="00AE42DD"/>
    <w:rsid w:val="00AF0C67"/>
    <w:rsid w:val="00B045AB"/>
    <w:rsid w:val="00B050D4"/>
    <w:rsid w:val="00B1179B"/>
    <w:rsid w:val="00B16700"/>
    <w:rsid w:val="00B17A8C"/>
    <w:rsid w:val="00B2054D"/>
    <w:rsid w:val="00B22BAA"/>
    <w:rsid w:val="00B22EEF"/>
    <w:rsid w:val="00B2307D"/>
    <w:rsid w:val="00B23BC2"/>
    <w:rsid w:val="00B2431F"/>
    <w:rsid w:val="00B252B6"/>
    <w:rsid w:val="00B31312"/>
    <w:rsid w:val="00B32244"/>
    <w:rsid w:val="00B326A0"/>
    <w:rsid w:val="00B329B2"/>
    <w:rsid w:val="00B349B9"/>
    <w:rsid w:val="00B37C77"/>
    <w:rsid w:val="00B40DFC"/>
    <w:rsid w:val="00B4543A"/>
    <w:rsid w:val="00B47FA7"/>
    <w:rsid w:val="00B501B2"/>
    <w:rsid w:val="00B50866"/>
    <w:rsid w:val="00B511E9"/>
    <w:rsid w:val="00B53B43"/>
    <w:rsid w:val="00B56F14"/>
    <w:rsid w:val="00B60725"/>
    <w:rsid w:val="00B63587"/>
    <w:rsid w:val="00B64F95"/>
    <w:rsid w:val="00B742A2"/>
    <w:rsid w:val="00B746D2"/>
    <w:rsid w:val="00B7525F"/>
    <w:rsid w:val="00B817EB"/>
    <w:rsid w:val="00B8487C"/>
    <w:rsid w:val="00B84A26"/>
    <w:rsid w:val="00B85EB3"/>
    <w:rsid w:val="00B86343"/>
    <w:rsid w:val="00B903E3"/>
    <w:rsid w:val="00B907ED"/>
    <w:rsid w:val="00B92DF0"/>
    <w:rsid w:val="00B94C9C"/>
    <w:rsid w:val="00B95FE6"/>
    <w:rsid w:val="00BA158B"/>
    <w:rsid w:val="00BA2B3F"/>
    <w:rsid w:val="00BA3C59"/>
    <w:rsid w:val="00BA72D8"/>
    <w:rsid w:val="00BA7D24"/>
    <w:rsid w:val="00BB0376"/>
    <w:rsid w:val="00BB0DC3"/>
    <w:rsid w:val="00BB1E54"/>
    <w:rsid w:val="00BB3216"/>
    <w:rsid w:val="00BB470F"/>
    <w:rsid w:val="00BB5DCA"/>
    <w:rsid w:val="00BC4B38"/>
    <w:rsid w:val="00BD3584"/>
    <w:rsid w:val="00BD7BE0"/>
    <w:rsid w:val="00BE38AF"/>
    <w:rsid w:val="00BF7A31"/>
    <w:rsid w:val="00C01352"/>
    <w:rsid w:val="00C04D9D"/>
    <w:rsid w:val="00C0773D"/>
    <w:rsid w:val="00C23559"/>
    <w:rsid w:val="00C25F1D"/>
    <w:rsid w:val="00C30674"/>
    <w:rsid w:val="00C31826"/>
    <w:rsid w:val="00C33365"/>
    <w:rsid w:val="00C33785"/>
    <w:rsid w:val="00C3537F"/>
    <w:rsid w:val="00C37703"/>
    <w:rsid w:val="00C429F3"/>
    <w:rsid w:val="00C5192C"/>
    <w:rsid w:val="00C52ABB"/>
    <w:rsid w:val="00C53CB1"/>
    <w:rsid w:val="00C55317"/>
    <w:rsid w:val="00C62FD0"/>
    <w:rsid w:val="00C637B1"/>
    <w:rsid w:val="00C67C56"/>
    <w:rsid w:val="00C7584D"/>
    <w:rsid w:val="00C802F5"/>
    <w:rsid w:val="00C81D4A"/>
    <w:rsid w:val="00C84351"/>
    <w:rsid w:val="00C85D60"/>
    <w:rsid w:val="00C85FEB"/>
    <w:rsid w:val="00C8733C"/>
    <w:rsid w:val="00C94A6B"/>
    <w:rsid w:val="00C976C8"/>
    <w:rsid w:val="00CA1454"/>
    <w:rsid w:val="00CA18C9"/>
    <w:rsid w:val="00CA1CC4"/>
    <w:rsid w:val="00CB6FA7"/>
    <w:rsid w:val="00CC06D4"/>
    <w:rsid w:val="00CC10DD"/>
    <w:rsid w:val="00CC175F"/>
    <w:rsid w:val="00CC38F7"/>
    <w:rsid w:val="00CC73D1"/>
    <w:rsid w:val="00CD45FE"/>
    <w:rsid w:val="00CE0760"/>
    <w:rsid w:val="00CE2E04"/>
    <w:rsid w:val="00CE6BC5"/>
    <w:rsid w:val="00CF1E6E"/>
    <w:rsid w:val="00CF3CFF"/>
    <w:rsid w:val="00CF4004"/>
    <w:rsid w:val="00CF6CD5"/>
    <w:rsid w:val="00CF7340"/>
    <w:rsid w:val="00D016DE"/>
    <w:rsid w:val="00D0210D"/>
    <w:rsid w:val="00D045F3"/>
    <w:rsid w:val="00D04656"/>
    <w:rsid w:val="00D04EF4"/>
    <w:rsid w:val="00D055A1"/>
    <w:rsid w:val="00D07B43"/>
    <w:rsid w:val="00D1356F"/>
    <w:rsid w:val="00D16686"/>
    <w:rsid w:val="00D16A34"/>
    <w:rsid w:val="00D204F3"/>
    <w:rsid w:val="00D24D6D"/>
    <w:rsid w:val="00D24FB0"/>
    <w:rsid w:val="00D2604F"/>
    <w:rsid w:val="00D262A0"/>
    <w:rsid w:val="00D26C2A"/>
    <w:rsid w:val="00D30FBC"/>
    <w:rsid w:val="00D32EBE"/>
    <w:rsid w:val="00D342C8"/>
    <w:rsid w:val="00D345C7"/>
    <w:rsid w:val="00D36C07"/>
    <w:rsid w:val="00D36C55"/>
    <w:rsid w:val="00D37810"/>
    <w:rsid w:val="00D40C91"/>
    <w:rsid w:val="00D410D5"/>
    <w:rsid w:val="00D41E91"/>
    <w:rsid w:val="00D43F68"/>
    <w:rsid w:val="00D47E78"/>
    <w:rsid w:val="00D5301D"/>
    <w:rsid w:val="00D5449F"/>
    <w:rsid w:val="00D5698A"/>
    <w:rsid w:val="00D65F53"/>
    <w:rsid w:val="00D6600C"/>
    <w:rsid w:val="00D6616A"/>
    <w:rsid w:val="00D749CD"/>
    <w:rsid w:val="00D7714D"/>
    <w:rsid w:val="00D8108C"/>
    <w:rsid w:val="00D84E14"/>
    <w:rsid w:val="00D92333"/>
    <w:rsid w:val="00D94AAA"/>
    <w:rsid w:val="00D9524C"/>
    <w:rsid w:val="00DA2330"/>
    <w:rsid w:val="00DA25AB"/>
    <w:rsid w:val="00DA4626"/>
    <w:rsid w:val="00DA683E"/>
    <w:rsid w:val="00DB4351"/>
    <w:rsid w:val="00DC1265"/>
    <w:rsid w:val="00DC40CE"/>
    <w:rsid w:val="00DC7920"/>
    <w:rsid w:val="00DD298F"/>
    <w:rsid w:val="00DD53B2"/>
    <w:rsid w:val="00DD77BC"/>
    <w:rsid w:val="00DF032A"/>
    <w:rsid w:val="00DF34E7"/>
    <w:rsid w:val="00DF4BA3"/>
    <w:rsid w:val="00E00F44"/>
    <w:rsid w:val="00E029E9"/>
    <w:rsid w:val="00E04FDC"/>
    <w:rsid w:val="00E07B7C"/>
    <w:rsid w:val="00E1153B"/>
    <w:rsid w:val="00E11B56"/>
    <w:rsid w:val="00E11D5D"/>
    <w:rsid w:val="00E133EF"/>
    <w:rsid w:val="00E14B1E"/>
    <w:rsid w:val="00E160BE"/>
    <w:rsid w:val="00E171F3"/>
    <w:rsid w:val="00E22FCA"/>
    <w:rsid w:val="00E24FEA"/>
    <w:rsid w:val="00E25603"/>
    <w:rsid w:val="00E40585"/>
    <w:rsid w:val="00E41AFD"/>
    <w:rsid w:val="00E44829"/>
    <w:rsid w:val="00E451C2"/>
    <w:rsid w:val="00E465C2"/>
    <w:rsid w:val="00E4663A"/>
    <w:rsid w:val="00E53F98"/>
    <w:rsid w:val="00E5471E"/>
    <w:rsid w:val="00E55536"/>
    <w:rsid w:val="00E609A6"/>
    <w:rsid w:val="00E61536"/>
    <w:rsid w:val="00E63586"/>
    <w:rsid w:val="00E65D71"/>
    <w:rsid w:val="00E663DB"/>
    <w:rsid w:val="00E7532D"/>
    <w:rsid w:val="00E75D2A"/>
    <w:rsid w:val="00E77335"/>
    <w:rsid w:val="00E77FB2"/>
    <w:rsid w:val="00E8642A"/>
    <w:rsid w:val="00E86910"/>
    <w:rsid w:val="00E86A60"/>
    <w:rsid w:val="00E95B43"/>
    <w:rsid w:val="00E96A63"/>
    <w:rsid w:val="00E96DB1"/>
    <w:rsid w:val="00E97154"/>
    <w:rsid w:val="00E97E0A"/>
    <w:rsid w:val="00EA18A0"/>
    <w:rsid w:val="00EA3415"/>
    <w:rsid w:val="00EA5BFA"/>
    <w:rsid w:val="00EA7515"/>
    <w:rsid w:val="00EB57CE"/>
    <w:rsid w:val="00EB72A7"/>
    <w:rsid w:val="00EC3B31"/>
    <w:rsid w:val="00EC6B51"/>
    <w:rsid w:val="00ED2E22"/>
    <w:rsid w:val="00ED5D8B"/>
    <w:rsid w:val="00EE38FB"/>
    <w:rsid w:val="00EE6F57"/>
    <w:rsid w:val="00EF11AF"/>
    <w:rsid w:val="00EF1988"/>
    <w:rsid w:val="00EF4BBA"/>
    <w:rsid w:val="00EF4D9A"/>
    <w:rsid w:val="00EF5200"/>
    <w:rsid w:val="00EF5F11"/>
    <w:rsid w:val="00F0218C"/>
    <w:rsid w:val="00F04419"/>
    <w:rsid w:val="00F073DE"/>
    <w:rsid w:val="00F07699"/>
    <w:rsid w:val="00F1019A"/>
    <w:rsid w:val="00F1312F"/>
    <w:rsid w:val="00F14029"/>
    <w:rsid w:val="00F14818"/>
    <w:rsid w:val="00F14C0C"/>
    <w:rsid w:val="00F2143B"/>
    <w:rsid w:val="00F23245"/>
    <w:rsid w:val="00F24B61"/>
    <w:rsid w:val="00F258FF"/>
    <w:rsid w:val="00F27184"/>
    <w:rsid w:val="00F32B1D"/>
    <w:rsid w:val="00F36009"/>
    <w:rsid w:val="00F37142"/>
    <w:rsid w:val="00F41AA3"/>
    <w:rsid w:val="00F450D4"/>
    <w:rsid w:val="00F46112"/>
    <w:rsid w:val="00F5202D"/>
    <w:rsid w:val="00F65C66"/>
    <w:rsid w:val="00F676DA"/>
    <w:rsid w:val="00F70F1D"/>
    <w:rsid w:val="00F7361D"/>
    <w:rsid w:val="00F73CFC"/>
    <w:rsid w:val="00F74408"/>
    <w:rsid w:val="00F7548C"/>
    <w:rsid w:val="00F759C7"/>
    <w:rsid w:val="00F80D80"/>
    <w:rsid w:val="00F82652"/>
    <w:rsid w:val="00F839C4"/>
    <w:rsid w:val="00F84696"/>
    <w:rsid w:val="00F85648"/>
    <w:rsid w:val="00F90035"/>
    <w:rsid w:val="00F94831"/>
    <w:rsid w:val="00FA2FBC"/>
    <w:rsid w:val="00FA310C"/>
    <w:rsid w:val="00FA375A"/>
    <w:rsid w:val="00FA4F93"/>
    <w:rsid w:val="00FA61EF"/>
    <w:rsid w:val="00FA72E1"/>
    <w:rsid w:val="00FB18A7"/>
    <w:rsid w:val="00FB3E1F"/>
    <w:rsid w:val="00FB76B8"/>
    <w:rsid w:val="00FC1AE8"/>
    <w:rsid w:val="00FC339D"/>
    <w:rsid w:val="00FC34A1"/>
    <w:rsid w:val="00FC56A8"/>
    <w:rsid w:val="00FC6F70"/>
    <w:rsid w:val="00FC7556"/>
    <w:rsid w:val="00FD018F"/>
    <w:rsid w:val="00FD29F2"/>
    <w:rsid w:val="00FD562F"/>
    <w:rsid w:val="00FD5996"/>
    <w:rsid w:val="00FD6BA1"/>
    <w:rsid w:val="00FD77A7"/>
    <w:rsid w:val="00FE0081"/>
    <w:rsid w:val="00FE3035"/>
    <w:rsid w:val="00FE3400"/>
    <w:rsid w:val="00FE3C76"/>
    <w:rsid w:val="00FE54AB"/>
    <w:rsid w:val="00FE5712"/>
    <w:rsid w:val="00FF3366"/>
    <w:rsid w:val="00FF50D9"/>
    <w:rsid w:val="00FF53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26E7F1D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uiPriority="10" w:qFormat="1"/>
    <w:lsdException w:name="Subtitle" w:qFormat="1"/>
    <w:lsdException w:name="Hyperlink" w:uiPriority="99"/>
    <w:lsdException w:name="Strong" w:qFormat="1"/>
    <w:lsdException w:name="Emphasis" w:qFormat="1"/>
    <w:lsdException w:name="Normal (Web)" w:uiPriority="99"/>
    <w:lsdException w:name="HTML Typewriter"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9256C"/>
    <w:pPr>
      <w:spacing w:before="180" w:after="60" w:line="264" w:lineRule="auto"/>
    </w:pPr>
    <w:rPr>
      <w:rFonts w:ascii="Arial" w:eastAsia="Calibri" w:hAnsi="Arial" w:cs="Arial"/>
      <w:sz w:val="22"/>
      <w:szCs w:val="22"/>
      <w:lang w:eastAsia="en-US"/>
    </w:rPr>
  </w:style>
  <w:style w:type="paragraph" w:styleId="Heading1">
    <w:name w:val="heading 1"/>
    <w:basedOn w:val="Normal"/>
    <w:next w:val="Normal"/>
    <w:link w:val="Heading1Char"/>
    <w:qFormat/>
    <w:rsid w:val="00ED5D8B"/>
    <w:pPr>
      <w:keepNext/>
      <w:keepLines/>
      <w:spacing w:before="440" w:after="180"/>
      <w:outlineLvl w:val="0"/>
    </w:pPr>
    <w:rPr>
      <w:b/>
      <w:color w:val="1A8859"/>
      <w:sz w:val="36"/>
      <w:szCs w:val="32"/>
    </w:rPr>
  </w:style>
  <w:style w:type="paragraph" w:styleId="Heading2">
    <w:name w:val="heading 2"/>
    <w:basedOn w:val="Normal"/>
    <w:next w:val="Normal"/>
    <w:link w:val="Heading2Char"/>
    <w:qFormat/>
    <w:rsid w:val="0059256C"/>
    <w:pPr>
      <w:keepNext/>
      <w:keepLines/>
      <w:spacing w:before="320" w:after="180"/>
      <w:outlineLvl w:val="1"/>
    </w:pPr>
    <w:rPr>
      <w:b/>
      <w:color w:val="54A2D2"/>
      <w:sz w:val="26"/>
      <w:szCs w:val="26"/>
    </w:rPr>
  </w:style>
  <w:style w:type="paragraph" w:styleId="Heading3">
    <w:name w:val="heading 3"/>
    <w:basedOn w:val="Normal"/>
    <w:next w:val="Normal"/>
    <w:qFormat/>
    <w:rsid w:val="00ED5D8B"/>
    <w:pPr>
      <w:keepNext/>
      <w:keepLines/>
      <w:spacing w:before="280" w:after="180"/>
      <w:outlineLvl w:val="2"/>
    </w:pPr>
    <w:rPr>
      <w:b/>
      <w:color w:val="DA8937"/>
      <w:sz w:val="24"/>
    </w:rPr>
  </w:style>
  <w:style w:type="paragraph" w:styleId="Heading4">
    <w:name w:val="heading 4"/>
    <w:basedOn w:val="Normal"/>
    <w:next w:val="Normal"/>
    <w:link w:val="Heading4Char"/>
    <w:unhideWhenUsed/>
    <w:qFormat/>
    <w:rsid w:val="00ED5D8B"/>
    <w:pPr>
      <w:keepNext/>
      <w:keepLines/>
      <w:spacing w:before="260" w:after="180"/>
      <w:outlineLvl w:val="3"/>
    </w:pPr>
    <w:rPr>
      <w:i/>
      <w:iCs/>
      <w:color w:val="1A88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landscape">
    <w:name w:val="Header-landscape"/>
    <w:basedOn w:val="Header"/>
    <w:rsid w:val="00E97154"/>
    <w:pPr>
      <w:pBdr>
        <w:top w:val="single" w:sz="4" w:space="4" w:color="808080"/>
        <w:bottom w:val="single" w:sz="4" w:space="4" w:color="808080"/>
      </w:pBdr>
      <w:tabs>
        <w:tab w:val="clear" w:pos="9639"/>
      </w:tabs>
      <w:spacing w:after="0" w:line="240" w:lineRule="auto"/>
      <w:ind w:left="-737" w:right="-737"/>
    </w:pPr>
  </w:style>
  <w:style w:type="paragraph" w:styleId="Header">
    <w:name w:val="header"/>
    <w:basedOn w:val="Normal"/>
    <w:link w:val="HeaderChar"/>
    <w:rsid w:val="00E97154"/>
    <w:pPr>
      <w:tabs>
        <w:tab w:val="right" w:pos="9639"/>
        <w:tab w:val="right" w:pos="14572"/>
      </w:tabs>
      <w:spacing w:before="0"/>
    </w:pPr>
    <w:rPr>
      <w:sz w:val="18"/>
    </w:rPr>
  </w:style>
  <w:style w:type="paragraph" w:styleId="Footer">
    <w:name w:val="footer"/>
    <w:basedOn w:val="Header"/>
    <w:link w:val="FooterChar"/>
    <w:rsid w:val="00E97154"/>
  </w:style>
  <w:style w:type="paragraph" w:styleId="ListNumber">
    <w:name w:val="List Number"/>
    <w:basedOn w:val="Normal"/>
    <w:rsid w:val="00E97154"/>
    <w:pPr>
      <w:numPr>
        <w:numId w:val="2"/>
      </w:numPr>
      <w:spacing w:before="60"/>
    </w:pPr>
  </w:style>
  <w:style w:type="numbering" w:customStyle="1" w:styleId="StyleNumbered">
    <w:name w:val="Style Numbered"/>
    <w:basedOn w:val="NoList"/>
    <w:rsid w:val="00E97154"/>
    <w:pPr>
      <w:numPr>
        <w:numId w:val="1"/>
      </w:numPr>
    </w:pPr>
  </w:style>
  <w:style w:type="paragraph" w:styleId="TOC2">
    <w:name w:val="toc 2"/>
    <w:basedOn w:val="Normal"/>
    <w:next w:val="Normal"/>
    <w:uiPriority w:val="39"/>
    <w:rsid w:val="0059256C"/>
    <w:pPr>
      <w:tabs>
        <w:tab w:val="right" w:leader="dot" w:pos="9639"/>
      </w:tabs>
      <w:spacing w:before="120"/>
      <w:ind w:left="340"/>
    </w:pPr>
  </w:style>
  <w:style w:type="paragraph" w:styleId="ListNumber2">
    <w:name w:val="List Number 2"/>
    <w:basedOn w:val="Normal"/>
    <w:rsid w:val="00E97154"/>
    <w:pPr>
      <w:numPr>
        <w:ilvl w:val="1"/>
        <w:numId w:val="2"/>
      </w:numPr>
      <w:spacing w:before="60"/>
    </w:pPr>
  </w:style>
  <w:style w:type="paragraph" w:styleId="ListBullet">
    <w:name w:val="List Bullet"/>
    <w:basedOn w:val="Normal"/>
    <w:rsid w:val="00E97154"/>
    <w:pPr>
      <w:spacing w:before="60"/>
    </w:pPr>
  </w:style>
  <w:style w:type="paragraph" w:styleId="ListNumber3">
    <w:name w:val="List Number 3"/>
    <w:basedOn w:val="Normal"/>
    <w:rsid w:val="00E97154"/>
    <w:pPr>
      <w:numPr>
        <w:ilvl w:val="2"/>
        <w:numId w:val="2"/>
      </w:numPr>
      <w:tabs>
        <w:tab w:val="clear" w:pos="1021"/>
        <w:tab w:val="left" w:pos="340"/>
      </w:tabs>
      <w:spacing w:before="60"/>
      <w:ind w:left="340" w:hanging="340"/>
    </w:pPr>
  </w:style>
  <w:style w:type="paragraph" w:styleId="ListBullet2">
    <w:name w:val="List Bullet 2"/>
    <w:basedOn w:val="Normal"/>
    <w:rsid w:val="00E97154"/>
    <w:pPr>
      <w:spacing w:before="60"/>
    </w:pPr>
  </w:style>
  <w:style w:type="paragraph" w:styleId="ListBullet3">
    <w:name w:val="List Bullet 3"/>
    <w:basedOn w:val="Normal"/>
    <w:rsid w:val="00E97154"/>
    <w:pPr>
      <w:spacing w:before="60"/>
    </w:pPr>
  </w:style>
  <w:style w:type="paragraph" w:styleId="ListBullet4">
    <w:name w:val="List Bullet 4"/>
    <w:basedOn w:val="Normal"/>
    <w:rsid w:val="00E97154"/>
    <w:pPr>
      <w:spacing w:before="120"/>
    </w:pPr>
  </w:style>
  <w:style w:type="paragraph" w:styleId="ListBullet5">
    <w:name w:val="List Bullet 5"/>
    <w:basedOn w:val="Normal"/>
    <w:rsid w:val="00E97154"/>
  </w:style>
  <w:style w:type="paragraph" w:styleId="ListNumber4">
    <w:name w:val="List Number 4"/>
    <w:basedOn w:val="Normal"/>
    <w:rsid w:val="00E97154"/>
    <w:pPr>
      <w:numPr>
        <w:ilvl w:val="3"/>
        <w:numId w:val="2"/>
      </w:numPr>
      <w:spacing w:before="120"/>
    </w:pPr>
  </w:style>
  <w:style w:type="paragraph" w:styleId="ListNumber5">
    <w:name w:val="List Number 5"/>
    <w:basedOn w:val="Normal"/>
    <w:rsid w:val="00E97154"/>
    <w:pPr>
      <w:numPr>
        <w:ilvl w:val="4"/>
        <w:numId w:val="2"/>
      </w:numPr>
      <w:spacing w:before="120"/>
    </w:pPr>
  </w:style>
  <w:style w:type="character" w:styleId="Hyperlink">
    <w:name w:val="Hyperlink"/>
    <w:uiPriority w:val="99"/>
    <w:rsid w:val="00E97154"/>
    <w:rPr>
      <w:color w:val="5F5F5F"/>
      <w:u w:val="single"/>
    </w:rPr>
  </w:style>
  <w:style w:type="paragraph" w:customStyle="1" w:styleId="Footer-landscape">
    <w:name w:val="Footer-landscape"/>
    <w:basedOn w:val="Footer"/>
    <w:link w:val="Footer-landscapeChar"/>
    <w:rsid w:val="00E97154"/>
    <w:pPr>
      <w:pBdr>
        <w:top w:val="single" w:sz="4" w:space="4" w:color="808080"/>
      </w:pBdr>
      <w:tabs>
        <w:tab w:val="clear" w:pos="9639"/>
      </w:tabs>
      <w:spacing w:after="0" w:line="240" w:lineRule="auto"/>
      <w:ind w:left="-737" w:right="-737"/>
    </w:pPr>
  </w:style>
  <w:style w:type="table" w:customStyle="1" w:styleId="Table-LowInk">
    <w:name w:val="Table - Low Ink"/>
    <w:basedOn w:val="TableNormal"/>
    <w:rsid w:val="00E97154"/>
    <w:rPr>
      <w:rFonts w:ascii="Arial" w:hAnsi="Arial"/>
      <w:sz w:val="22"/>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Pr>
    <w:tblStylePr w:type="firstRow">
      <w:rPr>
        <w:rFonts w:ascii="Arial" w:hAnsi="Arial"/>
        <w:b/>
        <w:color w:val="auto"/>
        <w:sz w:val="24"/>
      </w:rPr>
      <w:tblPr>
        <w:tblCellMar>
          <w:top w:w="0" w:type="dxa"/>
          <w:left w:w="113" w:type="dxa"/>
          <w:bottom w:w="28" w:type="dxa"/>
          <w:right w:w="113" w:type="dxa"/>
        </w:tblCellMar>
      </w:tblPr>
      <w:tcPr>
        <w:tcBorders>
          <w:top w:val="single" w:sz="4" w:space="0" w:color="C0C0C0"/>
          <w:left w:val="single" w:sz="4" w:space="0" w:color="C0C0C0"/>
          <w:bottom w:val="single" w:sz="18" w:space="0" w:color="C0C0C0"/>
          <w:right w:val="single" w:sz="4" w:space="0" w:color="C0C0C0"/>
          <w:insideH w:val="single" w:sz="18" w:space="0" w:color="C0C0C0"/>
          <w:insideV w:val="single" w:sz="4" w:space="0" w:color="C0C0C0"/>
          <w:tl2br w:val="nil"/>
          <w:tr2bl w:val="nil"/>
        </w:tcBorders>
        <w:shd w:val="clear" w:color="auto" w:fill="FFFFFF"/>
      </w:tcPr>
    </w:tblStylePr>
    <w:tblStylePr w:type="lastRow">
      <w:tblPr/>
      <w:tcPr>
        <w:tcBorders>
          <w:top w:val="single" w:sz="4" w:space="0" w:color="C0C0C0"/>
          <w:left w:val="single" w:sz="4" w:space="0" w:color="C0C0C0"/>
          <w:bottom w:val="single" w:sz="12" w:space="0" w:color="C0C0C0"/>
          <w:right w:val="single" w:sz="4" w:space="0" w:color="C0C0C0"/>
          <w:insideH w:val="nil"/>
          <w:insideV w:val="single" w:sz="4" w:space="0" w:color="C0C0C0"/>
          <w:tl2br w:val="nil"/>
          <w:tr2bl w:val="nil"/>
        </w:tcBorders>
      </w:tcPr>
    </w:tblStylePr>
    <w:tblStylePr w:type="firstCol">
      <w:tblPr/>
      <w:tcPr>
        <w:shd w:val="clear" w:color="auto" w:fill="E6E6E6"/>
      </w:tcPr>
    </w:tblStylePr>
  </w:style>
  <w:style w:type="paragraph" w:customStyle="1" w:styleId="Tabletext">
    <w:name w:val="Table text"/>
    <w:basedOn w:val="Normal"/>
    <w:link w:val="TabletextChar"/>
    <w:rsid w:val="00E97154"/>
    <w:pPr>
      <w:spacing w:before="20" w:after="20"/>
    </w:pPr>
    <w:rPr>
      <w:sz w:val="20"/>
      <w:szCs w:val="20"/>
    </w:rPr>
  </w:style>
  <w:style w:type="character" w:styleId="PageNumber">
    <w:name w:val="page number"/>
    <w:basedOn w:val="DefaultParagraphFont"/>
    <w:rsid w:val="00E97154"/>
  </w:style>
  <w:style w:type="paragraph" w:customStyle="1" w:styleId="Heading30">
    <w:name w:val="Heading3"/>
    <w:basedOn w:val="Tabletext"/>
    <w:rsid w:val="00E97154"/>
    <w:pPr>
      <w:spacing w:before="0" w:after="0" w:line="240" w:lineRule="auto"/>
    </w:pPr>
    <w:rPr>
      <w:b/>
      <w:bCs/>
      <w:sz w:val="22"/>
      <w:szCs w:val="22"/>
    </w:rPr>
  </w:style>
  <w:style w:type="character" w:customStyle="1" w:styleId="Heading2Char">
    <w:name w:val="Heading 2 Char"/>
    <w:link w:val="Heading2"/>
    <w:rsid w:val="0059256C"/>
    <w:rPr>
      <w:rFonts w:ascii="Arial" w:eastAsia="Calibri" w:hAnsi="Arial" w:cs="Arial"/>
      <w:b/>
      <w:color w:val="54A2D2"/>
      <w:sz w:val="26"/>
      <w:szCs w:val="26"/>
      <w:lang w:eastAsia="en-US"/>
    </w:rPr>
  </w:style>
  <w:style w:type="paragraph" w:customStyle="1" w:styleId="Documenttitle">
    <w:name w:val="Document title"/>
    <w:basedOn w:val="Heading1"/>
    <w:next w:val="Documentsubtitle"/>
    <w:rsid w:val="00F84696"/>
    <w:pPr>
      <w:pBdr>
        <w:bottom w:val="single" w:sz="4" w:space="1" w:color="808080"/>
      </w:pBdr>
      <w:spacing w:before="120" w:after="120" w:line="240" w:lineRule="auto"/>
    </w:pPr>
    <w:rPr>
      <w:b w:val="0"/>
      <w:kern w:val="32"/>
      <w:sz w:val="56"/>
    </w:rPr>
  </w:style>
  <w:style w:type="paragraph" w:customStyle="1" w:styleId="Documentsubtitle">
    <w:name w:val="Document sub title"/>
    <w:basedOn w:val="Normal"/>
    <w:next w:val="Normal"/>
    <w:rsid w:val="00F84696"/>
    <w:pPr>
      <w:spacing w:before="0" w:after="320" w:line="300" w:lineRule="atLeast"/>
    </w:pPr>
    <w:rPr>
      <w:color w:val="808080"/>
      <w:sz w:val="28"/>
      <w:lang w:eastAsia="en-AU"/>
    </w:rPr>
  </w:style>
  <w:style w:type="paragraph" w:customStyle="1" w:styleId="Default">
    <w:name w:val="Default"/>
    <w:rsid w:val="009F42B7"/>
    <w:pPr>
      <w:autoSpaceDE w:val="0"/>
      <w:autoSpaceDN w:val="0"/>
      <w:adjustRightInd w:val="0"/>
    </w:pPr>
    <w:rPr>
      <w:rFonts w:ascii="Arial" w:hAnsi="Arial" w:cs="Arial"/>
      <w:color w:val="000000"/>
      <w:sz w:val="24"/>
      <w:szCs w:val="24"/>
    </w:rPr>
  </w:style>
  <w:style w:type="character" w:customStyle="1" w:styleId="TabletextChar">
    <w:name w:val="Table text Char"/>
    <w:link w:val="Tabletext"/>
    <w:locked/>
    <w:rsid w:val="009F42B7"/>
    <w:rPr>
      <w:rFonts w:ascii="Arial" w:hAnsi="Arial"/>
      <w:lang w:eastAsia="en-US"/>
    </w:rPr>
  </w:style>
  <w:style w:type="paragraph" w:customStyle="1" w:styleId="Tablesub-heading">
    <w:name w:val="Table sub-heading"/>
    <w:basedOn w:val="Normal"/>
    <w:rsid w:val="00535527"/>
    <w:pPr>
      <w:spacing w:before="120" w:after="120"/>
    </w:pPr>
    <w:rPr>
      <w:b/>
    </w:rPr>
  </w:style>
  <w:style w:type="paragraph" w:customStyle="1" w:styleId="QSABullet">
    <w:name w:val="QSA Bullet"/>
    <w:basedOn w:val="Normal"/>
    <w:link w:val="QSABulletChar"/>
    <w:autoRedefine/>
    <w:rsid w:val="00535527"/>
    <w:pPr>
      <w:widowControl w:val="0"/>
      <w:numPr>
        <w:numId w:val="3"/>
      </w:numPr>
      <w:overflowPunct w:val="0"/>
      <w:autoSpaceDE w:val="0"/>
      <w:autoSpaceDN w:val="0"/>
      <w:adjustRightInd w:val="0"/>
      <w:spacing w:before="120" w:line="240" w:lineRule="auto"/>
      <w:ind w:left="284" w:hanging="284"/>
      <w:contextualSpacing/>
      <w:textAlignment w:val="baseline"/>
    </w:pPr>
    <w:rPr>
      <w:sz w:val="24"/>
    </w:rPr>
  </w:style>
  <w:style w:type="character" w:customStyle="1" w:styleId="QSABulletChar">
    <w:name w:val="QSA Bullet Char"/>
    <w:link w:val="QSABullet"/>
    <w:locked/>
    <w:rsid w:val="00535527"/>
    <w:rPr>
      <w:rFonts w:ascii="Arial" w:eastAsia="Calibri" w:hAnsi="Arial" w:cs="Arial"/>
      <w:sz w:val="24"/>
      <w:szCs w:val="22"/>
      <w:lang w:eastAsia="en-US"/>
    </w:rPr>
  </w:style>
  <w:style w:type="paragraph" w:customStyle="1" w:styleId="ScopeNote">
    <w:name w:val="Scope Note"/>
    <w:basedOn w:val="Tabletext"/>
    <w:link w:val="ScopeNoteChar"/>
    <w:qFormat/>
    <w:rsid w:val="00261EDB"/>
    <w:pPr>
      <w:spacing w:before="60" w:after="60" w:line="240" w:lineRule="auto"/>
    </w:pPr>
    <w:rPr>
      <w:i/>
      <w:sz w:val="22"/>
      <w:szCs w:val="22"/>
    </w:rPr>
  </w:style>
  <w:style w:type="character" w:customStyle="1" w:styleId="Heading4Char">
    <w:name w:val="Heading 4 Char"/>
    <w:link w:val="Heading4"/>
    <w:rsid w:val="00ED5D8B"/>
    <w:rPr>
      <w:rFonts w:ascii="Arial" w:hAnsi="Arial" w:cs="Arial"/>
      <w:i/>
      <w:iCs/>
      <w:color w:val="1A8859"/>
      <w:sz w:val="22"/>
      <w:szCs w:val="22"/>
      <w:lang w:eastAsia="en-US"/>
    </w:rPr>
  </w:style>
  <w:style w:type="character" w:customStyle="1" w:styleId="ScopeNoteChar">
    <w:name w:val="Scope Note Char"/>
    <w:link w:val="ScopeNote"/>
    <w:rsid w:val="00261EDB"/>
    <w:rPr>
      <w:rFonts w:ascii="Arial" w:hAnsi="Arial"/>
      <w:i/>
      <w:sz w:val="22"/>
      <w:szCs w:val="22"/>
      <w:lang w:eastAsia="en-US"/>
    </w:rPr>
  </w:style>
  <w:style w:type="paragraph" w:styleId="Title">
    <w:name w:val="Title"/>
    <w:basedOn w:val="Documenttitle"/>
    <w:next w:val="Normal"/>
    <w:link w:val="TitleChar"/>
    <w:uiPriority w:val="10"/>
    <w:qFormat/>
    <w:rsid w:val="006275F4"/>
    <w:pPr>
      <w:keepNext w:val="0"/>
      <w:pBdr>
        <w:bottom w:val="none" w:sz="0" w:space="0" w:color="auto"/>
      </w:pBdr>
      <w:spacing w:before="180" w:after="60" w:line="264" w:lineRule="auto"/>
      <w:outlineLvl w:val="9"/>
    </w:pPr>
    <w:rPr>
      <w:rFonts w:eastAsiaTheme="minorHAnsi"/>
      <w:b/>
      <w:bCs/>
      <w:caps/>
      <w:noProof/>
      <w:kern w:val="0"/>
      <w:sz w:val="96"/>
      <w:szCs w:val="96"/>
    </w:rPr>
  </w:style>
  <w:style w:type="character" w:customStyle="1" w:styleId="TitleChar">
    <w:name w:val="Title Char"/>
    <w:link w:val="Title"/>
    <w:uiPriority w:val="10"/>
    <w:rsid w:val="006275F4"/>
    <w:rPr>
      <w:rFonts w:ascii="Arial" w:eastAsiaTheme="minorHAnsi" w:hAnsi="Arial" w:cs="Arial"/>
      <w:b/>
      <w:caps/>
      <w:noProof/>
      <w:sz w:val="96"/>
      <w:szCs w:val="96"/>
    </w:rPr>
  </w:style>
  <w:style w:type="paragraph" w:customStyle="1" w:styleId="Tableheadings">
    <w:name w:val="Table headings"/>
    <w:basedOn w:val="Tabletext"/>
    <w:link w:val="TableheadingsChar"/>
    <w:qFormat/>
    <w:rsid w:val="00261EDB"/>
    <w:pPr>
      <w:spacing w:before="60" w:after="60"/>
      <w:jc w:val="center"/>
    </w:pPr>
    <w:rPr>
      <w:b/>
    </w:rPr>
  </w:style>
  <w:style w:type="paragraph" w:customStyle="1" w:styleId="Headerfooter">
    <w:name w:val="Header footer"/>
    <w:basedOn w:val="Footer-landscape"/>
    <w:link w:val="HeaderfooterChar"/>
    <w:qFormat/>
    <w:rsid w:val="00FD29F2"/>
    <w:pPr>
      <w:pBdr>
        <w:top w:val="none" w:sz="0" w:space="0" w:color="auto"/>
      </w:pBdr>
      <w:tabs>
        <w:tab w:val="clear" w:pos="14572"/>
        <w:tab w:val="right" w:pos="15120"/>
      </w:tabs>
      <w:ind w:left="-426" w:right="-315"/>
    </w:pPr>
    <w:rPr>
      <w:b/>
    </w:rPr>
  </w:style>
  <w:style w:type="character" w:customStyle="1" w:styleId="TableheadingsChar">
    <w:name w:val="Table headings Char"/>
    <w:link w:val="Tableheadings"/>
    <w:rsid w:val="00261EDB"/>
    <w:rPr>
      <w:rFonts w:ascii="Arial" w:hAnsi="Arial"/>
      <w:b/>
      <w:lang w:eastAsia="en-US"/>
    </w:rPr>
  </w:style>
  <w:style w:type="paragraph" w:styleId="Subtitle">
    <w:name w:val="Subtitle"/>
    <w:basedOn w:val="Normal"/>
    <w:next w:val="Normal"/>
    <w:link w:val="SubtitleChar"/>
    <w:qFormat/>
    <w:rsid w:val="006275F4"/>
    <w:pPr>
      <w:autoSpaceDE w:val="0"/>
      <w:autoSpaceDN w:val="0"/>
      <w:adjustRightInd w:val="0"/>
    </w:pPr>
    <w:rPr>
      <w:b/>
      <w:sz w:val="30"/>
      <w:szCs w:val="30"/>
      <w:lang w:eastAsia="en-AU"/>
    </w:rPr>
  </w:style>
  <w:style w:type="character" w:customStyle="1" w:styleId="HeaderChar">
    <w:name w:val="Header Char"/>
    <w:link w:val="Header"/>
    <w:rsid w:val="00FD29F2"/>
    <w:rPr>
      <w:rFonts w:ascii="Arial" w:hAnsi="Arial"/>
      <w:sz w:val="18"/>
      <w:szCs w:val="24"/>
      <w:lang w:eastAsia="en-US"/>
    </w:rPr>
  </w:style>
  <w:style w:type="character" w:customStyle="1" w:styleId="FooterChar">
    <w:name w:val="Footer Char"/>
    <w:basedOn w:val="HeaderChar"/>
    <w:link w:val="Footer"/>
    <w:rsid w:val="00FD29F2"/>
    <w:rPr>
      <w:rFonts w:ascii="Arial" w:hAnsi="Arial"/>
      <w:sz w:val="18"/>
      <w:szCs w:val="24"/>
      <w:lang w:eastAsia="en-US"/>
    </w:rPr>
  </w:style>
  <w:style w:type="character" w:customStyle="1" w:styleId="Footer-landscapeChar">
    <w:name w:val="Footer-landscape Char"/>
    <w:basedOn w:val="FooterChar"/>
    <w:link w:val="Footer-landscape"/>
    <w:rsid w:val="00FD29F2"/>
    <w:rPr>
      <w:rFonts w:ascii="Arial" w:hAnsi="Arial"/>
      <w:sz w:val="18"/>
      <w:szCs w:val="24"/>
      <w:lang w:eastAsia="en-US"/>
    </w:rPr>
  </w:style>
  <w:style w:type="character" w:customStyle="1" w:styleId="HeaderfooterChar">
    <w:name w:val="Header footer Char"/>
    <w:link w:val="Headerfooter"/>
    <w:rsid w:val="00FD29F2"/>
    <w:rPr>
      <w:rFonts w:ascii="Arial" w:hAnsi="Arial"/>
      <w:b/>
      <w:sz w:val="18"/>
      <w:szCs w:val="22"/>
      <w:lang w:eastAsia="en-US"/>
    </w:rPr>
  </w:style>
  <w:style w:type="character" w:customStyle="1" w:styleId="SubtitleChar">
    <w:name w:val="Subtitle Char"/>
    <w:basedOn w:val="DefaultParagraphFont"/>
    <w:link w:val="Subtitle"/>
    <w:rsid w:val="006275F4"/>
    <w:rPr>
      <w:rFonts w:ascii="Arial" w:hAnsi="Arial"/>
      <w:b/>
      <w:sz w:val="30"/>
      <w:szCs w:val="30"/>
    </w:rPr>
  </w:style>
  <w:style w:type="paragraph" w:customStyle="1" w:styleId="Reference">
    <w:name w:val="Reference"/>
    <w:basedOn w:val="Subtitle"/>
    <w:link w:val="ReferenceChar"/>
    <w:qFormat/>
    <w:rsid w:val="000E5B89"/>
    <w:pPr>
      <w:spacing w:before="60"/>
    </w:pPr>
    <w:rPr>
      <w:b w:val="0"/>
      <w:sz w:val="16"/>
      <w:szCs w:val="16"/>
    </w:rPr>
  </w:style>
  <w:style w:type="character" w:customStyle="1" w:styleId="ReferenceChar">
    <w:name w:val="Reference Char"/>
    <w:basedOn w:val="SubtitleChar"/>
    <w:link w:val="Reference"/>
    <w:rsid w:val="000E5B89"/>
    <w:rPr>
      <w:rFonts w:ascii="Arial" w:eastAsia="Calibri" w:hAnsi="Arial" w:cs="Arial"/>
      <w:b w:val="0"/>
      <w:sz w:val="16"/>
      <w:szCs w:val="16"/>
    </w:rPr>
  </w:style>
  <w:style w:type="paragraph" w:styleId="TOC1">
    <w:name w:val="toc 1"/>
    <w:basedOn w:val="Normal"/>
    <w:next w:val="Normal"/>
    <w:autoRedefine/>
    <w:uiPriority w:val="39"/>
    <w:rsid w:val="0059256C"/>
    <w:pPr>
      <w:tabs>
        <w:tab w:val="right" w:leader="dot" w:pos="9639"/>
      </w:tabs>
      <w:autoSpaceDE w:val="0"/>
      <w:autoSpaceDN w:val="0"/>
      <w:adjustRightInd w:val="0"/>
      <w:outlineLvl w:val="0"/>
    </w:pPr>
    <w:rPr>
      <w:b/>
    </w:rPr>
  </w:style>
  <w:style w:type="paragraph" w:styleId="TOC3">
    <w:name w:val="toc 3"/>
    <w:basedOn w:val="Normal"/>
    <w:next w:val="Normal"/>
    <w:autoRedefine/>
    <w:uiPriority w:val="39"/>
    <w:rsid w:val="0059256C"/>
    <w:pPr>
      <w:tabs>
        <w:tab w:val="right" w:leader="dot" w:pos="9639"/>
      </w:tabs>
      <w:spacing w:before="60"/>
      <w:ind w:left="425"/>
    </w:pPr>
    <w:rPr>
      <w:i/>
    </w:rPr>
  </w:style>
  <w:style w:type="paragraph" w:styleId="ListParagraph">
    <w:name w:val="List Paragraph"/>
    <w:basedOn w:val="ListBullet"/>
    <w:uiPriority w:val="34"/>
    <w:qFormat/>
    <w:rsid w:val="00ED5D8B"/>
    <w:pPr>
      <w:spacing w:before="180"/>
    </w:pPr>
  </w:style>
  <w:style w:type="paragraph" w:customStyle="1" w:styleId="Numberedlist">
    <w:name w:val="Numbered list"/>
    <w:basedOn w:val="ListNumber"/>
    <w:link w:val="NumberedlistChar"/>
    <w:qFormat/>
    <w:rsid w:val="00ED5D8B"/>
    <w:pPr>
      <w:spacing w:before="180"/>
      <w:ind w:left="681" w:hanging="397"/>
    </w:pPr>
  </w:style>
  <w:style w:type="character" w:customStyle="1" w:styleId="NumberedlistChar">
    <w:name w:val="Numbered list Char"/>
    <w:basedOn w:val="DefaultParagraphFont"/>
    <w:link w:val="Numberedlist"/>
    <w:rsid w:val="00ED5D8B"/>
    <w:rPr>
      <w:rFonts w:ascii="Arial" w:eastAsia="Calibri" w:hAnsi="Arial" w:cs="Arial"/>
      <w:sz w:val="22"/>
      <w:szCs w:val="22"/>
      <w:lang w:eastAsia="en-US"/>
    </w:rPr>
  </w:style>
  <w:style w:type="character" w:styleId="Strong">
    <w:name w:val="Strong"/>
    <w:qFormat/>
    <w:rsid w:val="00ED5D8B"/>
    <w:rPr>
      <w:b/>
    </w:rPr>
  </w:style>
  <w:style w:type="character" w:styleId="CommentReference">
    <w:name w:val="annotation reference"/>
    <w:basedOn w:val="DefaultParagraphFont"/>
    <w:uiPriority w:val="99"/>
    <w:unhideWhenUsed/>
    <w:rsid w:val="004657C3"/>
    <w:rPr>
      <w:sz w:val="16"/>
      <w:szCs w:val="16"/>
    </w:rPr>
  </w:style>
  <w:style w:type="paragraph" w:styleId="CommentText">
    <w:name w:val="annotation text"/>
    <w:basedOn w:val="Normal"/>
    <w:link w:val="CommentTextChar"/>
    <w:uiPriority w:val="99"/>
    <w:unhideWhenUsed/>
    <w:rsid w:val="004657C3"/>
    <w:pPr>
      <w:spacing w:before="0" w:after="160"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4657C3"/>
    <w:rPr>
      <w:rFonts w:asciiTheme="minorHAnsi" w:eastAsiaTheme="minorHAnsi" w:hAnsiTheme="minorHAnsi" w:cstheme="minorBidi"/>
      <w:lang w:eastAsia="en-US"/>
    </w:rPr>
  </w:style>
  <w:style w:type="paragraph" w:styleId="BalloonText">
    <w:name w:val="Balloon Text"/>
    <w:basedOn w:val="Normal"/>
    <w:link w:val="BalloonTextChar"/>
    <w:rsid w:val="004657C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4657C3"/>
    <w:rPr>
      <w:rFonts w:ascii="Segoe UI" w:eastAsia="Calibri" w:hAnsi="Segoe UI" w:cs="Segoe UI"/>
      <w:sz w:val="18"/>
      <w:szCs w:val="18"/>
      <w:lang w:eastAsia="en-US"/>
    </w:rPr>
  </w:style>
  <w:style w:type="paragraph" w:styleId="FootnoteText">
    <w:name w:val="footnote text"/>
    <w:basedOn w:val="Normal"/>
    <w:link w:val="FootnoteTextChar"/>
    <w:uiPriority w:val="99"/>
    <w:unhideWhenUsed/>
    <w:rsid w:val="009413B4"/>
    <w:pPr>
      <w:spacing w:before="0"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9413B4"/>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sid w:val="009413B4"/>
    <w:rPr>
      <w:vertAlign w:val="superscript"/>
    </w:rPr>
  </w:style>
  <w:style w:type="character" w:styleId="FollowedHyperlink">
    <w:name w:val="FollowedHyperlink"/>
    <w:basedOn w:val="DefaultParagraphFont"/>
    <w:rsid w:val="009413B4"/>
    <w:rPr>
      <w:color w:val="954F72" w:themeColor="followedHyperlink"/>
      <w:u w:val="single"/>
    </w:rPr>
  </w:style>
  <w:style w:type="character" w:styleId="UnresolvedMention">
    <w:name w:val="Unresolved Mention"/>
    <w:basedOn w:val="DefaultParagraphFont"/>
    <w:uiPriority w:val="99"/>
    <w:semiHidden/>
    <w:unhideWhenUsed/>
    <w:rsid w:val="00A144FC"/>
    <w:rPr>
      <w:color w:val="605E5C"/>
      <w:shd w:val="clear" w:color="auto" w:fill="E1DFDD"/>
    </w:rPr>
  </w:style>
  <w:style w:type="paragraph" w:styleId="CommentSubject">
    <w:name w:val="annotation subject"/>
    <w:basedOn w:val="CommentText"/>
    <w:next w:val="CommentText"/>
    <w:link w:val="CommentSubjectChar"/>
    <w:rsid w:val="00260BBF"/>
    <w:pPr>
      <w:spacing w:before="180" w:after="60"/>
    </w:pPr>
    <w:rPr>
      <w:rFonts w:ascii="Arial" w:eastAsia="Calibri" w:hAnsi="Arial" w:cs="Arial"/>
      <w:b/>
      <w:bCs/>
    </w:rPr>
  </w:style>
  <w:style w:type="character" w:customStyle="1" w:styleId="CommentSubjectChar">
    <w:name w:val="Comment Subject Char"/>
    <w:basedOn w:val="CommentTextChar"/>
    <w:link w:val="CommentSubject"/>
    <w:rsid w:val="00260BBF"/>
    <w:rPr>
      <w:rFonts w:ascii="Arial" w:eastAsia="Calibri" w:hAnsi="Arial" w:cs="Arial"/>
      <w:b/>
      <w:bCs/>
      <w:lang w:eastAsia="en-US"/>
    </w:rPr>
  </w:style>
  <w:style w:type="table" w:styleId="TableGrid">
    <w:name w:val="Table Grid"/>
    <w:basedOn w:val="TableNormal"/>
    <w:rsid w:val="008B77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9666F"/>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TOC4">
    <w:name w:val="toc 4"/>
    <w:basedOn w:val="Normal"/>
    <w:next w:val="Normal"/>
    <w:autoRedefine/>
    <w:rsid w:val="006D1CDB"/>
    <w:pPr>
      <w:spacing w:after="100"/>
      <w:ind w:left="660"/>
    </w:pPr>
  </w:style>
  <w:style w:type="character" w:customStyle="1" w:styleId="e24kjd">
    <w:name w:val="e24kjd"/>
    <w:basedOn w:val="DefaultParagraphFont"/>
    <w:rsid w:val="00943844"/>
  </w:style>
  <w:style w:type="character" w:customStyle="1" w:styleId="Heading1Char">
    <w:name w:val="Heading 1 Char"/>
    <w:basedOn w:val="DefaultParagraphFont"/>
    <w:link w:val="Heading1"/>
    <w:rsid w:val="00E25603"/>
    <w:rPr>
      <w:rFonts w:ascii="Arial" w:eastAsia="Calibri" w:hAnsi="Arial" w:cs="Arial"/>
      <w:b/>
      <w:color w:val="1A8859"/>
      <w:sz w:val="36"/>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260491">
      <w:bodyDiv w:val="1"/>
      <w:marLeft w:val="0"/>
      <w:marRight w:val="0"/>
      <w:marTop w:val="0"/>
      <w:marBottom w:val="0"/>
      <w:divBdr>
        <w:top w:val="none" w:sz="0" w:space="0" w:color="auto"/>
        <w:left w:val="none" w:sz="0" w:space="0" w:color="auto"/>
        <w:bottom w:val="none" w:sz="0" w:space="0" w:color="auto"/>
        <w:right w:val="none" w:sz="0" w:space="0" w:color="auto"/>
      </w:divBdr>
    </w:div>
    <w:div w:id="54402384">
      <w:bodyDiv w:val="1"/>
      <w:marLeft w:val="0"/>
      <w:marRight w:val="0"/>
      <w:marTop w:val="0"/>
      <w:marBottom w:val="0"/>
      <w:divBdr>
        <w:top w:val="none" w:sz="0" w:space="0" w:color="auto"/>
        <w:left w:val="none" w:sz="0" w:space="0" w:color="auto"/>
        <w:bottom w:val="none" w:sz="0" w:space="0" w:color="auto"/>
        <w:right w:val="none" w:sz="0" w:space="0" w:color="auto"/>
      </w:divBdr>
    </w:div>
    <w:div w:id="218706335">
      <w:bodyDiv w:val="1"/>
      <w:marLeft w:val="0"/>
      <w:marRight w:val="0"/>
      <w:marTop w:val="0"/>
      <w:marBottom w:val="0"/>
      <w:divBdr>
        <w:top w:val="none" w:sz="0" w:space="0" w:color="auto"/>
        <w:left w:val="none" w:sz="0" w:space="0" w:color="auto"/>
        <w:bottom w:val="none" w:sz="0" w:space="0" w:color="auto"/>
        <w:right w:val="none" w:sz="0" w:space="0" w:color="auto"/>
      </w:divBdr>
    </w:div>
    <w:div w:id="385109939">
      <w:bodyDiv w:val="1"/>
      <w:marLeft w:val="0"/>
      <w:marRight w:val="0"/>
      <w:marTop w:val="0"/>
      <w:marBottom w:val="0"/>
      <w:divBdr>
        <w:top w:val="none" w:sz="0" w:space="0" w:color="auto"/>
        <w:left w:val="none" w:sz="0" w:space="0" w:color="auto"/>
        <w:bottom w:val="none" w:sz="0" w:space="0" w:color="auto"/>
        <w:right w:val="none" w:sz="0" w:space="0" w:color="auto"/>
      </w:divBdr>
      <w:divsChild>
        <w:div w:id="1833251584">
          <w:marLeft w:val="547"/>
          <w:marRight w:val="0"/>
          <w:marTop w:val="0"/>
          <w:marBottom w:val="0"/>
          <w:divBdr>
            <w:top w:val="none" w:sz="0" w:space="0" w:color="auto"/>
            <w:left w:val="none" w:sz="0" w:space="0" w:color="auto"/>
            <w:bottom w:val="none" w:sz="0" w:space="0" w:color="auto"/>
            <w:right w:val="none" w:sz="0" w:space="0" w:color="auto"/>
          </w:divBdr>
        </w:div>
        <w:div w:id="614558501">
          <w:marLeft w:val="547"/>
          <w:marRight w:val="0"/>
          <w:marTop w:val="0"/>
          <w:marBottom w:val="0"/>
          <w:divBdr>
            <w:top w:val="none" w:sz="0" w:space="0" w:color="auto"/>
            <w:left w:val="none" w:sz="0" w:space="0" w:color="auto"/>
            <w:bottom w:val="none" w:sz="0" w:space="0" w:color="auto"/>
            <w:right w:val="none" w:sz="0" w:space="0" w:color="auto"/>
          </w:divBdr>
        </w:div>
        <w:div w:id="1175338292">
          <w:marLeft w:val="1166"/>
          <w:marRight w:val="0"/>
          <w:marTop w:val="0"/>
          <w:marBottom w:val="0"/>
          <w:divBdr>
            <w:top w:val="none" w:sz="0" w:space="0" w:color="auto"/>
            <w:left w:val="none" w:sz="0" w:space="0" w:color="auto"/>
            <w:bottom w:val="none" w:sz="0" w:space="0" w:color="auto"/>
            <w:right w:val="none" w:sz="0" w:space="0" w:color="auto"/>
          </w:divBdr>
        </w:div>
        <w:div w:id="1473406546">
          <w:marLeft w:val="1166"/>
          <w:marRight w:val="0"/>
          <w:marTop w:val="0"/>
          <w:marBottom w:val="0"/>
          <w:divBdr>
            <w:top w:val="none" w:sz="0" w:space="0" w:color="auto"/>
            <w:left w:val="none" w:sz="0" w:space="0" w:color="auto"/>
            <w:bottom w:val="none" w:sz="0" w:space="0" w:color="auto"/>
            <w:right w:val="none" w:sz="0" w:space="0" w:color="auto"/>
          </w:divBdr>
        </w:div>
        <w:div w:id="1742024511">
          <w:marLeft w:val="1166"/>
          <w:marRight w:val="0"/>
          <w:marTop w:val="0"/>
          <w:marBottom w:val="0"/>
          <w:divBdr>
            <w:top w:val="none" w:sz="0" w:space="0" w:color="auto"/>
            <w:left w:val="none" w:sz="0" w:space="0" w:color="auto"/>
            <w:bottom w:val="none" w:sz="0" w:space="0" w:color="auto"/>
            <w:right w:val="none" w:sz="0" w:space="0" w:color="auto"/>
          </w:divBdr>
        </w:div>
        <w:div w:id="823742383">
          <w:marLeft w:val="1166"/>
          <w:marRight w:val="0"/>
          <w:marTop w:val="0"/>
          <w:marBottom w:val="0"/>
          <w:divBdr>
            <w:top w:val="none" w:sz="0" w:space="0" w:color="auto"/>
            <w:left w:val="none" w:sz="0" w:space="0" w:color="auto"/>
            <w:bottom w:val="none" w:sz="0" w:space="0" w:color="auto"/>
            <w:right w:val="none" w:sz="0" w:space="0" w:color="auto"/>
          </w:divBdr>
        </w:div>
      </w:divsChild>
    </w:div>
    <w:div w:id="1045058117">
      <w:bodyDiv w:val="1"/>
      <w:marLeft w:val="0"/>
      <w:marRight w:val="0"/>
      <w:marTop w:val="0"/>
      <w:marBottom w:val="0"/>
      <w:divBdr>
        <w:top w:val="none" w:sz="0" w:space="0" w:color="auto"/>
        <w:left w:val="none" w:sz="0" w:space="0" w:color="auto"/>
        <w:bottom w:val="none" w:sz="0" w:space="0" w:color="auto"/>
        <w:right w:val="none" w:sz="0" w:space="0" w:color="auto"/>
      </w:divBdr>
    </w:div>
    <w:div w:id="1378698685">
      <w:bodyDiv w:val="1"/>
      <w:marLeft w:val="0"/>
      <w:marRight w:val="0"/>
      <w:marTop w:val="0"/>
      <w:marBottom w:val="0"/>
      <w:divBdr>
        <w:top w:val="none" w:sz="0" w:space="0" w:color="auto"/>
        <w:left w:val="none" w:sz="0" w:space="0" w:color="auto"/>
        <w:bottom w:val="none" w:sz="0" w:space="0" w:color="auto"/>
        <w:right w:val="none" w:sz="0" w:space="0" w:color="auto"/>
      </w:divBdr>
    </w:div>
    <w:div w:id="1666275712">
      <w:bodyDiv w:val="1"/>
      <w:marLeft w:val="0"/>
      <w:marRight w:val="0"/>
      <w:marTop w:val="0"/>
      <w:marBottom w:val="0"/>
      <w:divBdr>
        <w:top w:val="none" w:sz="0" w:space="0" w:color="auto"/>
        <w:left w:val="none" w:sz="0" w:space="0" w:color="auto"/>
        <w:bottom w:val="none" w:sz="0" w:space="0" w:color="auto"/>
        <w:right w:val="none" w:sz="0" w:space="0" w:color="auto"/>
      </w:divBdr>
      <w:divsChild>
        <w:div w:id="1092896645">
          <w:marLeft w:val="547"/>
          <w:marRight w:val="0"/>
          <w:marTop w:val="0"/>
          <w:marBottom w:val="0"/>
          <w:divBdr>
            <w:top w:val="none" w:sz="0" w:space="0" w:color="auto"/>
            <w:left w:val="none" w:sz="0" w:space="0" w:color="auto"/>
            <w:bottom w:val="none" w:sz="0" w:space="0" w:color="auto"/>
            <w:right w:val="none" w:sz="0" w:space="0" w:color="auto"/>
          </w:divBdr>
        </w:div>
      </w:divsChild>
    </w:div>
    <w:div w:id="2089880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forgov.qld.gov.au/schedules/general-retention-and-disposal-schedule-grds" TargetMode="External"/><Relationship Id="rId26" Type="http://schemas.openxmlformats.org/officeDocument/2006/relationships/diagramData" Target="diagrams/data2.xml"/><Relationship Id="rId39"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diagramData" Target="diagrams/data1.xml"/><Relationship Id="rId34" Type="http://schemas.openxmlformats.org/officeDocument/2006/relationships/image" Target="media/image6.svg"/><Relationship Id="rId42" Type="http://schemas.openxmlformats.org/officeDocument/2006/relationships/image" Target="media/image14.svg"/><Relationship Id="rId47" Type="http://schemas.openxmlformats.org/officeDocument/2006/relationships/hyperlink" Target="https://www.forgov.qld.gov.au/overview-recordkeeping-public-authorities" TargetMode="External"/><Relationship Id="rId50"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ww.qgcio.qld.gov.au/documents/records-governance-policy" TargetMode="External"/><Relationship Id="rId25" Type="http://schemas.microsoft.com/office/2007/relationships/diagramDrawing" Target="diagrams/drawing1.xml"/><Relationship Id="rId33" Type="http://schemas.openxmlformats.org/officeDocument/2006/relationships/image" Target="media/image5.png"/><Relationship Id="rId38" Type="http://schemas.openxmlformats.org/officeDocument/2006/relationships/image" Target="media/image10.svg"/><Relationship Id="rId46" Type="http://schemas.openxmlformats.org/officeDocument/2006/relationships/hyperlink" Target="https://disability.royalcommission.gov.au/about/Pages/Terms-of-reference.aspx" TargetMode="External"/><Relationship Id="rId2" Type="http://schemas.openxmlformats.org/officeDocument/2006/relationships/customXml" Target="../customXml/item2.xml"/><Relationship Id="rId16" Type="http://schemas.openxmlformats.org/officeDocument/2006/relationships/hyperlink" Target="https://www.childabuseroyalcommission.gov.au/recordkeeping-and-information-sharing" TargetMode="External"/><Relationship Id="rId20" Type="http://schemas.openxmlformats.org/officeDocument/2006/relationships/hyperlink" Target="https://www.childabuseroyalcommission.gov.au/sites/default/files/final_report_-_volume_8_recordkeeping_and_information_sharing.pdf" TargetMode="External"/><Relationship Id="rId29" Type="http://schemas.openxmlformats.org/officeDocument/2006/relationships/diagramColors" Target="diagrams/colors2.xm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diagramColors" Target="diagrams/colors1.xml"/><Relationship Id="rId32" Type="http://schemas.openxmlformats.org/officeDocument/2006/relationships/image" Target="media/image4.svg"/><Relationship Id="rId37" Type="http://schemas.openxmlformats.org/officeDocument/2006/relationships/image" Target="media/image9.png"/><Relationship Id="rId40" Type="http://schemas.openxmlformats.org/officeDocument/2006/relationships/image" Target="media/image12.svg"/><Relationship Id="rId45" Type="http://schemas.openxmlformats.org/officeDocument/2006/relationships/hyperlink" Target="https://agedcare.royalcommission.gov.au/Pages/Terms-of-reference.aspx"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image" Target="media/image8.svg"/><Relationship Id="rId49" Type="http://schemas.openxmlformats.org/officeDocument/2006/relationships/hyperlink" Target="https://www.csyw.qld.gov.au/resources/dcsyw/child-family/qld-gov-response/rc-child-sexual-abuse-response.pdf" TargetMode="External"/><Relationship Id="rId10" Type="http://schemas.openxmlformats.org/officeDocument/2006/relationships/header" Target="header1.xml"/><Relationship Id="rId19" Type="http://schemas.openxmlformats.org/officeDocument/2006/relationships/hyperlink" Target="https://www.nationalredress.gov.au/" TargetMode="External"/><Relationship Id="rId31" Type="http://schemas.openxmlformats.org/officeDocument/2006/relationships/image" Target="media/image3.png"/><Relationship Id="rId44" Type="http://schemas.openxmlformats.org/officeDocument/2006/relationships/hyperlink" Target="https://www.childabuseroyalcommission.gov.au/recordkeeping-and-information-sharing"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www.forgov.qld.gov.au/search-retention-and-disposal-schedule" TargetMode="External"/><Relationship Id="rId14" Type="http://schemas.openxmlformats.org/officeDocument/2006/relationships/footer" Target="footer3.xml"/><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image" Target="media/image7.png"/><Relationship Id="rId43" Type="http://schemas.openxmlformats.org/officeDocument/2006/relationships/hyperlink" Target="https://www.caara.org.au/wp-content/uploads/2019/09/CAARA-Guidance-Recommendation-8.3-Final.pdf" TargetMode="External"/><Relationship Id="rId48" Type="http://schemas.openxmlformats.org/officeDocument/2006/relationships/hyperlink" Target="https://www.forgov.qld.gov.au/schedules/general-retention-and-disposal-schedule-grds" TargetMode="External"/><Relationship Id="rId8" Type="http://schemas.openxmlformats.org/officeDocument/2006/relationships/endnotes" Target="endnotes.xml"/><Relationship Id="rId51"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3" Type="http://schemas.openxmlformats.org/officeDocument/2006/relationships/hyperlink" Target="https://disability.royalcommission.gov.au" TargetMode="External"/><Relationship Id="rId2" Type="http://schemas.openxmlformats.org/officeDocument/2006/relationships/hyperlink" Target="https://www.childabuseroyalcommission.gov.au" TargetMode="External"/><Relationship Id="rId1" Type="http://schemas.openxmlformats.org/officeDocument/2006/relationships/hyperlink" Target="https://www.dss.gov.au/about-the-department/doing-business-with-dss/vulnerable-persons-police-checks-and-criminal-offences" TargetMode="External"/><Relationship Id="rId6" Type="http://schemas.openxmlformats.org/officeDocument/2006/relationships/hyperlink" Target="https://www.treasury.qld.gov.au/resource/guide-risk-management/" TargetMode="External"/><Relationship Id="rId5" Type="http://schemas.openxmlformats.org/officeDocument/2006/relationships/hyperlink" Target="https://www.qgcio.qld.gov.au/documents/information-security-policy" TargetMode="External"/><Relationship Id="rId4" Type="http://schemas.openxmlformats.org/officeDocument/2006/relationships/hyperlink" Target="https://www.who.int/ageing/projects/elder_abuse/alc_toronto_declaration_en.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5FC1B6-D0D2-4FA8-A800-F3D5990E9461}"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AU"/>
        </a:p>
      </dgm:t>
    </dgm:pt>
    <dgm:pt modelId="{99B5D3BD-6938-4B40-AEDD-78ED65C9A55E}">
      <dgm:prSet phldrT="[Text]"/>
      <dgm:spPr>
        <a:solidFill>
          <a:srgbClr val="FFC000"/>
        </a:solidFill>
      </dgm:spPr>
      <dgm:t>
        <a:bodyPr/>
        <a:lstStyle/>
        <a:p>
          <a:r>
            <a:rPr lang="en-AU"/>
            <a:t>Step 1: Identify interactions/contact with vulnerable persons</a:t>
          </a:r>
        </a:p>
      </dgm:t>
    </dgm:pt>
    <dgm:pt modelId="{778B071B-015C-42FF-81E2-6C4D4E80C9E9}" type="parTrans" cxnId="{2F1B4AA5-2DD9-40A3-9E66-F4A4601A2CC4}">
      <dgm:prSet/>
      <dgm:spPr/>
      <dgm:t>
        <a:bodyPr/>
        <a:lstStyle/>
        <a:p>
          <a:endParaRPr lang="en-AU"/>
        </a:p>
      </dgm:t>
    </dgm:pt>
    <dgm:pt modelId="{2367A7D4-05D1-40CB-BAE9-0EC5D2FE89C0}" type="sibTrans" cxnId="{2F1B4AA5-2DD9-40A3-9E66-F4A4601A2CC4}">
      <dgm:prSet/>
      <dgm:spPr/>
      <dgm:t>
        <a:bodyPr/>
        <a:lstStyle/>
        <a:p>
          <a:endParaRPr lang="en-AU"/>
        </a:p>
      </dgm:t>
    </dgm:pt>
    <dgm:pt modelId="{7426C18E-13AD-4122-8AFB-7FB90855DAC2}">
      <dgm:prSet phldrT="[Text]"/>
      <dgm:spPr>
        <a:solidFill>
          <a:srgbClr val="00B050"/>
        </a:solidFill>
      </dgm:spPr>
      <dgm:t>
        <a:bodyPr/>
        <a:lstStyle/>
        <a:p>
          <a:r>
            <a:rPr lang="en-AU"/>
            <a:t>Step 2: Review how interactions are managed / identify level of risk involved</a:t>
          </a:r>
        </a:p>
      </dgm:t>
    </dgm:pt>
    <dgm:pt modelId="{22307402-C1BD-43CA-B606-D52986167757}" type="parTrans" cxnId="{2B23B252-3066-46A1-A3E4-91F1000A5723}">
      <dgm:prSet/>
      <dgm:spPr/>
      <dgm:t>
        <a:bodyPr/>
        <a:lstStyle/>
        <a:p>
          <a:endParaRPr lang="en-AU"/>
        </a:p>
      </dgm:t>
    </dgm:pt>
    <dgm:pt modelId="{1FE2A274-D770-4B47-944D-7AEDF181CBBD}" type="sibTrans" cxnId="{2B23B252-3066-46A1-A3E4-91F1000A5723}">
      <dgm:prSet/>
      <dgm:spPr/>
      <dgm:t>
        <a:bodyPr/>
        <a:lstStyle/>
        <a:p>
          <a:endParaRPr lang="en-AU"/>
        </a:p>
      </dgm:t>
    </dgm:pt>
    <dgm:pt modelId="{ABE70990-85B5-40E8-BDC0-A93ECB96AD60}">
      <dgm:prSet phldrT="[Text]"/>
      <dgm:spPr/>
      <dgm:t>
        <a:bodyPr/>
        <a:lstStyle/>
        <a:p>
          <a:r>
            <a:rPr lang="en-AU"/>
            <a:t>Step 3: Mitigate risk by change in process/ procedure and decide on best evidence to retain </a:t>
          </a:r>
        </a:p>
      </dgm:t>
    </dgm:pt>
    <dgm:pt modelId="{C1CDB12C-0199-4708-9413-AD2E1E28111D}" type="parTrans" cxnId="{25558D33-A404-4332-8969-A461488C1FB6}">
      <dgm:prSet/>
      <dgm:spPr/>
      <dgm:t>
        <a:bodyPr/>
        <a:lstStyle/>
        <a:p>
          <a:endParaRPr lang="en-AU"/>
        </a:p>
      </dgm:t>
    </dgm:pt>
    <dgm:pt modelId="{D6D212AB-83E3-4148-A3A9-B6031A525386}" type="sibTrans" cxnId="{25558D33-A404-4332-8969-A461488C1FB6}">
      <dgm:prSet/>
      <dgm:spPr/>
      <dgm:t>
        <a:bodyPr/>
        <a:lstStyle/>
        <a:p>
          <a:endParaRPr lang="en-AU"/>
        </a:p>
      </dgm:t>
    </dgm:pt>
    <dgm:pt modelId="{5836167A-08DB-44D0-8F91-09C96A0E769B}" type="pres">
      <dgm:prSet presAssocID="{425FC1B6-D0D2-4FA8-A800-F3D5990E9461}" presName="cycle" presStyleCnt="0">
        <dgm:presLayoutVars>
          <dgm:dir/>
          <dgm:resizeHandles val="exact"/>
        </dgm:presLayoutVars>
      </dgm:prSet>
      <dgm:spPr/>
    </dgm:pt>
    <dgm:pt modelId="{06BBB6EC-F049-44FC-A9DD-F32B1FB37241}" type="pres">
      <dgm:prSet presAssocID="{99B5D3BD-6938-4B40-AEDD-78ED65C9A55E}" presName="node" presStyleLbl="node1" presStyleIdx="0" presStyleCnt="3">
        <dgm:presLayoutVars>
          <dgm:bulletEnabled val="1"/>
        </dgm:presLayoutVars>
      </dgm:prSet>
      <dgm:spPr/>
    </dgm:pt>
    <dgm:pt modelId="{1562BE32-540D-4F98-8708-463C321C4AC1}" type="pres">
      <dgm:prSet presAssocID="{2367A7D4-05D1-40CB-BAE9-0EC5D2FE89C0}" presName="sibTrans" presStyleLbl="sibTrans2D1" presStyleIdx="0" presStyleCnt="3"/>
      <dgm:spPr/>
    </dgm:pt>
    <dgm:pt modelId="{0AE6E4B2-4606-4AAB-AE96-06B4C28BAB2F}" type="pres">
      <dgm:prSet presAssocID="{2367A7D4-05D1-40CB-BAE9-0EC5D2FE89C0}" presName="connectorText" presStyleLbl="sibTrans2D1" presStyleIdx="0" presStyleCnt="3"/>
      <dgm:spPr/>
    </dgm:pt>
    <dgm:pt modelId="{7B2E142C-9590-4571-829D-77C367539D6A}" type="pres">
      <dgm:prSet presAssocID="{7426C18E-13AD-4122-8AFB-7FB90855DAC2}" presName="node" presStyleLbl="node1" presStyleIdx="1" presStyleCnt="3">
        <dgm:presLayoutVars>
          <dgm:bulletEnabled val="1"/>
        </dgm:presLayoutVars>
      </dgm:prSet>
      <dgm:spPr/>
    </dgm:pt>
    <dgm:pt modelId="{74B42F12-3D7D-41FB-93CF-75747DC928CF}" type="pres">
      <dgm:prSet presAssocID="{1FE2A274-D770-4B47-944D-7AEDF181CBBD}" presName="sibTrans" presStyleLbl="sibTrans2D1" presStyleIdx="1" presStyleCnt="3"/>
      <dgm:spPr/>
    </dgm:pt>
    <dgm:pt modelId="{435A335C-708E-4F9A-BD66-A9A7C2F01281}" type="pres">
      <dgm:prSet presAssocID="{1FE2A274-D770-4B47-944D-7AEDF181CBBD}" presName="connectorText" presStyleLbl="sibTrans2D1" presStyleIdx="1" presStyleCnt="3"/>
      <dgm:spPr/>
    </dgm:pt>
    <dgm:pt modelId="{D0C1F029-A174-455D-AB61-3C517EBFE17B}" type="pres">
      <dgm:prSet presAssocID="{ABE70990-85B5-40E8-BDC0-A93ECB96AD60}" presName="node" presStyleLbl="node1" presStyleIdx="2" presStyleCnt="3">
        <dgm:presLayoutVars>
          <dgm:bulletEnabled val="1"/>
        </dgm:presLayoutVars>
      </dgm:prSet>
      <dgm:spPr/>
    </dgm:pt>
    <dgm:pt modelId="{105672D2-8E8A-4490-B859-2E65AF6D395B}" type="pres">
      <dgm:prSet presAssocID="{D6D212AB-83E3-4148-A3A9-B6031A525386}" presName="sibTrans" presStyleLbl="sibTrans2D1" presStyleIdx="2" presStyleCnt="3"/>
      <dgm:spPr/>
    </dgm:pt>
    <dgm:pt modelId="{2DF6A637-2EF6-4A01-A4DC-B78661B9EB38}" type="pres">
      <dgm:prSet presAssocID="{D6D212AB-83E3-4148-A3A9-B6031A525386}" presName="connectorText" presStyleLbl="sibTrans2D1" presStyleIdx="2" presStyleCnt="3"/>
      <dgm:spPr/>
    </dgm:pt>
  </dgm:ptLst>
  <dgm:cxnLst>
    <dgm:cxn modelId="{7747DA0B-F65D-4605-B024-88970739DD66}" type="presOf" srcId="{2367A7D4-05D1-40CB-BAE9-0EC5D2FE89C0}" destId="{1562BE32-540D-4F98-8708-463C321C4AC1}" srcOrd="0" destOrd="0" presId="urn:microsoft.com/office/officeart/2005/8/layout/cycle2"/>
    <dgm:cxn modelId="{0A858D0F-D853-4883-973E-3FB584CB2ACE}" type="presOf" srcId="{2367A7D4-05D1-40CB-BAE9-0EC5D2FE89C0}" destId="{0AE6E4B2-4606-4AAB-AE96-06B4C28BAB2F}" srcOrd="1" destOrd="0" presId="urn:microsoft.com/office/officeart/2005/8/layout/cycle2"/>
    <dgm:cxn modelId="{81FD8025-4D81-4B65-85CB-03279884298D}" type="presOf" srcId="{ABE70990-85B5-40E8-BDC0-A93ECB96AD60}" destId="{D0C1F029-A174-455D-AB61-3C517EBFE17B}" srcOrd="0" destOrd="0" presId="urn:microsoft.com/office/officeart/2005/8/layout/cycle2"/>
    <dgm:cxn modelId="{25558D33-A404-4332-8969-A461488C1FB6}" srcId="{425FC1B6-D0D2-4FA8-A800-F3D5990E9461}" destId="{ABE70990-85B5-40E8-BDC0-A93ECB96AD60}" srcOrd="2" destOrd="0" parTransId="{C1CDB12C-0199-4708-9413-AD2E1E28111D}" sibTransId="{D6D212AB-83E3-4148-A3A9-B6031A525386}"/>
    <dgm:cxn modelId="{100A7A3E-61D0-46B5-932C-C3C58709E5BC}" type="presOf" srcId="{D6D212AB-83E3-4148-A3A9-B6031A525386}" destId="{2DF6A637-2EF6-4A01-A4DC-B78661B9EB38}" srcOrd="1" destOrd="0" presId="urn:microsoft.com/office/officeart/2005/8/layout/cycle2"/>
    <dgm:cxn modelId="{B88D7366-93BB-48AF-892C-545AC834FD83}" type="presOf" srcId="{D6D212AB-83E3-4148-A3A9-B6031A525386}" destId="{105672D2-8E8A-4490-B859-2E65AF6D395B}" srcOrd="0" destOrd="0" presId="urn:microsoft.com/office/officeart/2005/8/layout/cycle2"/>
    <dgm:cxn modelId="{CDD03849-A85A-4979-9D56-90700F3934A4}" type="presOf" srcId="{99B5D3BD-6938-4B40-AEDD-78ED65C9A55E}" destId="{06BBB6EC-F049-44FC-A9DD-F32B1FB37241}" srcOrd="0" destOrd="0" presId="urn:microsoft.com/office/officeart/2005/8/layout/cycle2"/>
    <dgm:cxn modelId="{3A441C6B-BE6A-4813-9E36-9FCED01A17D5}" type="presOf" srcId="{1FE2A274-D770-4B47-944D-7AEDF181CBBD}" destId="{435A335C-708E-4F9A-BD66-A9A7C2F01281}" srcOrd="1" destOrd="0" presId="urn:microsoft.com/office/officeart/2005/8/layout/cycle2"/>
    <dgm:cxn modelId="{2B23B252-3066-46A1-A3E4-91F1000A5723}" srcId="{425FC1B6-D0D2-4FA8-A800-F3D5990E9461}" destId="{7426C18E-13AD-4122-8AFB-7FB90855DAC2}" srcOrd="1" destOrd="0" parTransId="{22307402-C1BD-43CA-B606-D52986167757}" sibTransId="{1FE2A274-D770-4B47-944D-7AEDF181CBBD}"/>
    <dgm:cxn modelId="{ECB49594-049E-4097-BE2E-8B178C688B7B}" type="presOf" srcId="{1FE2A274-D770-4B47-944D-7AEDF181CBBD}" destId="{74B42F12-3D7D-41FB-93CF-75747DC928CF}" srcOrd="0" destOrd="0" presId="urn:microsoft.com/office/officeart/2005/8/layout/cycle2"/>
    <dgm:cxn modelId="{2F1B4AA5-2DD9-40A3-9E66-F4A4601A2CC4}" srcId="{425FC1B6-D0D2-4FA8-A800-F3D5990E9461}" destId="{99B5D3BD-6938-4B40-AEDD-78ED65C9A55E}" srcOrd="0" destOrd="0" parTransId="{778B071B-015C-42FF-81E2-6C4D4E80C9E9}" sibTransId="{2367A7D4-05D1-40CB-BAE9-0EC5D2FE89C0}"/>
    <dgm:cxn modelId="{060629B1-0693-435E-82AD-595D91B8CCAB}" type="presOf" srcId="{7426C18E-13AD-4122-8AFB-7FB90855DAC2}" destId="{7B2E142C-9590-4571-829D-77C367539D6A}" srcOrd="0" destOrd="0" presId="urn:microsoft.com/office/officeart/2005/8/layout/cycle2"/>
    <dgm:cxn modelId="{5170A1FB-740C-4CCB-AAB3-CE2D0614F95D}" type="presOf" srcId="{425FC1B6-D0D2-4FA8-A800-F3D5990E9461}" destId="{5836167A-08DB-44D0-8F91-09C96A0E769B}" srcOrd="0" destOrd="0" presId="urn:microsoft.com/office/officeart/2005/8/layout/cycle2"/>
    <dgm:cxn modelId="{4E29C51F-4CFF-4B19-A6F0-462E08A95435}" type="presParOf" srcId="{5836167A-08DB-44D0-8F91-09C96A0E769B}" destId="{06BBB6EC-F049-44FC-A9DD-F32B1FB37241}" srcOrd="0" destOrd="0" presId="urn:microsoft.com/office/officeart/2005/8/layout/cycle2"/>
    <dgm:cxn modelId="{9285DC08-EE88-4CA2-AD34-E7A95BF21B12}" type="presParOf" srcId="{5836167A-08DB-44D0-8F91-09C96A0E769B}" destId="{1562BE32-540D-4F98-8708-463C321C4AC1}" srcOrd="1" destOrd="0" presId="urn:microsoft.com/office/officeart/2005/8/layout/cycle2"/>
    <dgm:cxn modelId="{AF856B65-5F76-4D70-B1F0-3855886757D7}" type="presParOf" srcId="{1562BE32-540D-4F98-8708-463C321C4AC1}" destId="{0AE6E4B2-4606-4AAB-AE96-06B4C28BAB2F}" srcOrd="0" destOrd="0" presId="urn:microsoft.com/office/officeart/2005/8/layout/cycle2"/>
    <dgm:cxn modelId="{29991B46-7E85-4336-8B1F-83430D3EF591}" type="presParOf" srcId="{5836167A-08DB-44D0-8F91-09C96A0E769B}" destId="{7B2E142C-9590-4571-829D-77C367539D6A}" srcOrd="2" destOrd="0" presId="urn:microsoft.com/office/officeart/2005/8/layout/cycle2"/>
    <dgm:cxn modelId="{FD9105B4-7C15-4A1C-B708-23A55C874DCD}" type="presParOf" srcId="{5836167A-08DB-44D0-8F91-09C96A0E769B}" destId="{74B42F12-3D7D-41FB-93CF-75747DC928CF}" srcOrd="3" destOrd="0" presId="urn:microsoft.com/office/officeart/2005/8/layout/cycle2"/>
    <dgm:cxn modelId="{9854FFAC-0F00-4B4C-88BC-2A9CE135753C}" type="presParOf" srcId="{74B42F12-3D7D-41FB-93CF-75747DC928CF}" destId="{435A335C-708E-4F9A-BD66-A9A7C2F01281}" srcOrd="0" destOrd="0" presId="urn:microsoft.com/office/officeart/2005/8/layout/cycle2"/>
    <dgm:cxn modelId="{AC8EBB04-DA6E-46A1-940B-9BB62E676D37}" type="presParOf" srcId="{5836167A-08DB-44D0-8F91-09C96A0E769B}" destId="{D0C1F029-A174-455D-AB61-3C517EBFE17B}" srcOrd="4" destOrd="0" presId="urn:microsoft.com/office/officeart/2005/8/layout/cycle2"/>
    <dgm:cxn modelId="{9971E848-3210-4740-AB92-8C2DEBA91D7F}" type="presParOf" srcId="{5836167A-08DB-44D0-8F91-09C96A0E769B}" destId="{105672D2-8E8A-4490-B859-2E65AF6D395B}" srcOrd="5" destOrd="0" presId="urn:microsoft.com/office/officeart/2005/8/layout/cycle2"/>
    <dgm:cxn modelId="{B06DF84F-95A8-4CA1-8A47-94283D4B3BC2}" type="presParOf" srcId="{105672D2-8E8A-4490-B859-2E65AF6D395B}" destId="{2DF6A637-2EF6-4A01-A4DC-B78661B9EB38}" srcOrd="0" destOrd="0" presId="urn:microsoft.com/office/officeart/2005/8/layout/cycle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62429E0-C3BE-42C7-8FF5-71EFE78A6F88}"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AU"/>
        </a:p>
      </dgm:t>
    </dgm:pt>
    <dgm:pt modelId="{C36219C8-7AE8-4C9C-B033-20AD1758891E}">
      <dgm:prSet phldrT="[Text]"/>
      <dgm:spPr>
        <a:solidFill>
          <a:srgbClr val="FFC000"/>
        </a:solidFill>
      </dgm:spPr>
      <dgm:t>
        <a:bodyPr/>
        <a:lstStyle/>
        <a:p>
          <a:r>
            <a:rPr lang="en-AU"/>
            <a:t>Identify interactions with vulnerable persons</a:t>
          </a:r>
        </a:p>
      </dgm:t>
    </dgm:pt>
    <dgm:pt modelId="{6526FEF4-AAF7-4C10-8CE7-10E0F464EAE8}" type="parTrans" cxnId="{B7AC5254-A1BD-40AB-9E06-9F8FDA765A6E}">
      <dgm:prSet/>
      <dgm:spPr/>
      <dgm:t>
        <a:bodyPr/>
        <a:lstStyle/>
        <a:p>
          <a:endParaRPr lang="en-AU"/>
        </a:p>
      </dgm:t>
    </dgm:pt>
    <dgm:pt modelId="{0DA7E163-7460-4D1B-BE12-E2BCD3326779}" type="sibTrans" cxnId="{B7AC5254-A1BD-40AB-9E06-9F8FDA765A6E}">
      <dgm:prSet/>
      <dgm:spPr/>
      <dgm:t>
        <a:bodyPr/>
        <a:lstStyle/>
        <a:p>
          <a:endParaRPr lang="en-AU"/>
        </a:p>
      </dgm:t>
    </dgm:pt>
    <dgm:pt modelId="{193C8A68-D411-489B-BAFB-874EFEAEAC0C}">
      <dgm:prSet phldrT="[Text]"/>
      <dgm:spPr/>
      <dgm:t>
        <a:bodyPr/>
        <a:lstStyle/>
        <a:p>
          <a:pPr algn="l"/>
          <a:r>
            <a:rPr lang="en-AU"/>
            <a:t>List functions and activities carried out by your public authority</a:t>
          </a:r>
        </a:p>
      </dgm:t>
    </dgm:pt>
    <dgm:pt modelId="{3AB17A39-CE34-4649-87AE-1E82B25FA7A4}" type="parTrans" cxnId="{78B244FB-F4AF-49B6-A4B0-39EA190BA3A8}">
      <dgm:prSet/>
      <dgm:spPr/>
      <dgm:t>
        <a:bodyPr/>
        <a:lstStyle/>
        <a:p>
          <a:endParaRPr lang="en-AU"/>
        </a:p>
      </dgm:t>
    </dgm:pt>
    <dgm:pt modelId="{236FBD41-5BC0-4F0A-ADA9-1032BD1DA995}" type="sibTrans" cxnId="{78B244FB-F4AF-49B6-A4B0-39EA190BA3A8}">
      <dgm:prSet/>
      <dgm:spPr/>
      <dgm:t>
        <a:bodyPr/>
        <a:lstStyle/>
        <a:p>
          <a:endParaRPr lang="en-AU"/>
        </a:p>
      </dgm:t>
    </dgm:pt>
    <dgm:pt modelId="{FACB5AF5-53F8-4AB0-B673-F37DB6857073}">
      <dgm:prSet phldrT="[Text]"/>
      <dgm:spPr/>
      <dgm:t>
        <a:bodyPr/>
        <a:lstStyle/>
        <a:p>
          <a:pPr algn="l"/>
          <a:r>
            <a:rPr lang="en-AU"/>
            <a:t>List which functions and activities include contact with vulnerable persons</a:t>
          </a:r>
        </a:p>
      </dgm:t>
    </dgm:pt>
    <dgm:pt modelId="{F0BFB941-1E2F-478F-A5C6-58263A78968D}" type="parTrans" cxnId="{725A1D08-D316-4C74-BBEA-1021B416A7A5}">
      <dgm:prSet/>
      <dgm:spPr/>
      <dgm:t>
        <a:bodyPr/>
        <a:lstStyle/>
        <a:p>
          <a:endParaRPr lang="en-AU"/>
        </a:p>
      </dgm:t>
    </dgm:pt>
    <dgm:pt modelId="{1C5F8E76-191F-40F5-8645-0FF49CD75F66}" type="sibTrans" cxnId="{725A1D08-D316-4C74-BBEA-1021B416A7A5}">
      <dgm:prSet/>
      <dgm:spPr/>
      <dgm:t>
        <a:bodyPr/>
        <a:lstStyle/>
        <a:p>
          <a:endParaRPr lang="en-AU"/>
        </a:p>
      </dgm:t>
    </dgm:pt>
    <dgm:pt modelId="{710CCAC7-3F24-4186-9EEC-0B46820D9E1B}">
      <dgm:prSet phldrT="[Text]"/>
      <dgm:spPr>
        <a:solidFill>
          <a:srgbClr val="00B050"/>
        </a:solidFill>
      </dgm:spPr>
      <dgm:t>
        <a:bodyPr/>
        <a:lstStyle/>
        <a:p>
          <a:r>
            <a:rPr lang="en-AU"/>
            <a:t>Review interactions / identify level of risk involved</a:t>
          </a:r>
        </a:p>
      </dgm:t>
    </dgm:pt>
    <dgm:pt modelId="{BD88ABBF-7D35-4C1B-8B0D-C64A25B205A7}" type="parTrans" cxnId="{0D6F9E44-CB57-4AF9-A76D-4A63AB9E314D}">
      <dgm:prSet/>
      <dgm:spPr/>
      <dgm:t>
        <a:bodyPr/>
        <a:lstStyle/>
        <a:p>
          <a:endParaRPr lang="en-AU"/>
        </a:p>
      </dgm:t>
    </dgm:pt>
    <dgm:pt modelId="{0F6D34F5-B6C8-415A-87B9-0685E91E2ED1}" type="sibTrans" cxnId="{0D6F9E44-CB57-4AF9-A76D-4A63AB9E314D}">
      <dgm:prSet/>
      <dgm:spPr/>
      <dgm:t>
        <a:bodyPr/>
        <a:lstStyle/>
        <a:p>
          <a:endParaRPr lang="en-AU"/>
        </a:p>
      </dgm:t>
    </dgm:pt>
    <dgm:pt modelId="{C3A0EBCE-7391-45F1-BEBD-3EACEC21CA0D}">
      <dgm:prSet phldrT="[Text]"/>
      <dgm:spPr/>
      <dgm:t>
        <a:bodyPr/>
        <a:lstStyle/>
        <a:p>
          <a:r>
            <a:rPr lang="en-AU"/>
            <a:t>Define the nature of the interaction of each contact (see below)</a:t>
          </a:r>
        </a:p>
      </dgm:t>
    </dgm:pt>
    <dgm:pt modelId="{2AFC965E-608F-4A45-A942-AEEB2A5274A4}" type="parTrans" cxnId="{099F9C33-9980-4271-A8E6-AE613F2EFF25}">
      <dgm:prSet/>
      <dgm:spPr/>
      <dgm:t>
        <a:bodyPr/>
        <a:lstStyle/>
        <a:p>
          <a:endParaRPr lang="en-AU"/>
        </a:p>
      </dgm:t>
    </dgm:pt>
    <dgm:pt modelId="{B3A08FE8-A528-43EF-83F3-EE3ED1BFD763}" type="sibTrans" cxnId="{099F9C33-9980-4271-A8E6-AE613F2EFF25}">
      <dgm:prSet/>
      <dgm:spPr/>
      <dgm:t>
        <a:bodyPr/>
        <a:lstStyle/>
        <a:p>
          <a:endParaRPr lang="en-AU"/>
        </a:p>
      </dgm:t>
    </dgm:pt>
    <dgm:pt modelId="{74B5CF4C-B689-4655-8325-B72D57E29F30}">
      <dgm:prSet phldrT="[Text]"/>
      <dgm:spPr/>
      <dgm:t>
        <a:bodyPr/>
        <a:lstStyle/>
        <a:p>
          <a:r>
            <a:rPr lang="en-AU"/>
            <a:t>Assess level of risk relating to potential for abuse associated with each contact</a:t>
          </a:r>
        </a:p>
      </dgm:t>
    </dgm:pt>
    <dgm:pt modelId="{B9896DEC-BBBD-4C29-A6F7-858312EB9B15}" type="parTrans" cxnId="{02BA82B6-796A-40D9-A6A9-378C7B1E2AF4}">
      <dgm:prSet/>
      <dgm:spPr/>
      <dgm:t>
        <a:bodyPr/>
        <a:lstStyle/>
        <a:p>
          <a:endParaRPr lang="en-AU"/>
        </a:p>
      </dgm:t>
    </dgm:pt>
    <dgm:pt modelId="{6A1F0962-78DD-43E4-B2FF-752A43ADEE86}" type="sibTrans" cxnId="{02BA82B6-796A-40D9-A6A9-378C7B1E2AF4}">
      <dgm:prSet/>
      <dgm:spPr/>
      <dgm:t>
        <a:bodyPr/>
        <a:lstStyle/>
        <a:p>
          <a:endParaRPr lang="en-AU"/>
        </a:p>
      </dgm:t>
    </dgm:pt>
    <dgm:pt modelId="{9B534410-037D-4641-AA1A-39A2098A7598}">
      <dgm:prSet phldrT="[Text]"/>
      <dgm:spPr/>
      <dgm:t>
        <a:bodyPr/>
        <a:lstStyle/>
        <a:p>
          <a:r>
            <a:rPr lang="en-AU"/>
            <a:t>Mitigate risk</a:t>
          </a:r>
        </a:p>
      </dgm:t>
    </dgm:pt>
    <dgm:pt modelId="{2F37C5A7-20D6-40F3-844E-8EE9250E4D3B}" type="parTrans" cxnId="{5C7944B1-2F51-47EE-80C7-110C59637D6F}">
      <dgm:prSet/>
      <dgm:spPr/>
      <dgm:t>
        <a:bodyPr/>
        <a:lstStyle/>
        <a:p>
          <a:endParaRPr lang="en-AU"/>
        </a:p>
      </dgm:t>
    </dgm:pt>
    <dgm:pt modelId="{F167F3D1-9E9C-4233-BFC2-2B57C9D9041F}" type="sibTrans" cxnId="{5C7944B1-2F51-47EE-80C7-110C59637D6F}">
      <dgm:prSet/>
      <dgm:spPr/>
      <dgm:t>
        <a:bodyPr/>
        <a:lstStyle/>
        <a:p>
          <a:endParaRPr lang="en-AU"/>
        </a:p>
      </dgm:t>
    </dgm:pt>
    <dgm:pt modelId="{7B9EAF28-A6D3-4C6A-BEC8-117FDC1DB05F}">
      <dgm:prSet phldrT="[Text]"/>
      <dgm:spPr/>
      <dgm:t>
        <a:bodyPr/>
        <a:lstStyle/>
        <a:p>
          <a:r>
            <a:rPr lang="en-AU"/>
            <a:t>Risk management - mitigate risks, prevent harm and retain best evidence of interaction with vulnerable persons</a:t>
          </a:r>
        </a:p>
      </dgm:t>
    </dgm:pt>
    <dgm:pt modelId="{AECE220E-D195-4116-BE4A-046353C0276B}" type="parTrans" cxnId="{8E99DED0-3B9E-4344-8925-1980B28D7EDA}">
      <dgm:prSet/>
      <dgm:spPr/>
      <dgm:t>
        <a:bodyPr/>
        <a:lstStyle/>
        <a:p>
          <a:endParaRPr lang="en-AU"/>
        </a:p>
      </dgm:t>
    </dgm:pt>
    <dgm:pt modelId="{300A2897-3514-42B9-9CC6-51FC60DF47A9}" type="sibTrans" cxnId="{8E99DED0-3B9E-4344-8925-1980B28D7EDA}">
      <dgm:prSet/>
      <dgm:spPr/>
      <dgm:t>
        <a:bodyPr/>
        <a:lstStyle/>
        <a:p>
          <a:endParaRPr lang="en-AU"/>
        </a:p>
      </dgm:t>
    </dgm:pt>
    <dgm:pt modelId="{E951A17E-781A-4AFC-9B5E-F3619ECCB7A4}" type="pres">
      <dgm:prSet presAssocID="{762429E0-C3BE-42C7-8FF5-71EFE78A6F88}" presName="linearFlow" presStyleCnt="0">
        <dgm:presLayoutVars>
          <dgm:dir/>
          <dgm:animLvl val="lvl"/>
          <dgm:resizeHandles val="exact"/>
        </dgm:presLayoutVars>
      </dgm:prSet>
      <dgm:spPr/>
    </dgm:pt>
    <dgm:pt modelId="{E8B017BA-6D57-4CC7-85F1-B59BB6A8C7CC}" type="pres">
      <dgm:prSet presAssocID="{C36219C8-7AE8-4C9C-B033-20AD1758891E}" presName="composite" presStyleCnt="0"/>
      <dgm:spPr/>
    </dgm:pt>
    <dgm:pt modelId="{19682A8A-6098-484E-9182-E3F967578113}" type="pres">
      <dgm:prSet presAssocID="{C36219C8-7AE8-4C9C-B033-20AD1758891E}" presName="parentText" presStyleLbl="alignNode1" presStyleIdx="0" presStyleCnt="3">
        <dgm:presLayoutVars>
          <dgm:chMax val="1"/>
          <dgm:bulletEnabled val="1"/>
        </dgm:presLayoutVars>
      </dgm:prSet>
      <dgm:spPr/>
    </dgm:pt>
    <dgm:pt modelId="{24427FBD-3BB3-468D-AACA-22CFF9A98A75}" type="pres">
      <dgm:prSet presAssocID="{C36219C8-7AE8-4C9C-B033-20AD1758891E}" presName="descendantText" presStyleLbl="alignAcc1" presStyleIdx="0" presStyleCnt="3">
        <dgm:presLayoutVars>
          <dgm:bulletEnabled val="1"/>
        </dgm:presLayoutVars>
      </dgm:prSet>
      <dgm:spPr/>
    </dgm:pt>
    <dgm:pt modelId="{37D478E4-0EFE-4295-A648-CAF137E8942F}" type="pres">
      <dgm:prSet presAssocID="{0DA7E163-7460-4D1B-BE12-E2BCD3326779}" presName="sp" presStyleCnt="0"/>
      <dgm:spPr/>
    </dgm:pt>
    <dgm:pt modelId="{7BC0CCDC-564C-4418-9FB6-D9A48303C107}" type="pres">
      <dgm:prSet presAssocID="{710CCAC7-3F24-4186-9EEC-0B46820D9E1B}" presName="composite" presStyleCnt="0"/>
      <dgm:spPr/>
    </dgm:pt>
    <dgm:pt modelId="{F572B290-85D4-4AEC-9301-50996F103D04}" type="pres">
      <dgm:prSet presAssocID="{710CCAC7-3F24-4186-9EEC-0B46820D9E1B}" presName="parentText" presStyleLbl="alignNode1" presStyleIdx="1" presStyleCnt="3">
        <dgm:presLayoutVars>
          <dgm:chMax val="1"/>
          <dgm:bulletEnabled val="1"/>
        </dgm:presLayoutVars>
      </dgm:prSet>
      <dgm:spPr/>
    </dgm:pt>
    <dgm:pt modelId="{A2D254DB-E339-4AAF-A7CF-3301894844C5}" type="pres">
      <dgm:prSet presAssocID="{710CCAC7-3F24-4186-9EEC-0B46820D9E1B}" presName="descendantText" presStyleLbl="alignAcc1" presStyleIdx="1" presStyleCnt="3">
        <dgm:presLayoutVars>
          <dgm:bulletEnabled val="1"/>
        </dgm:presLayoutVars>
      </dgm:prSet>
      <dgm:spPr/>
    </dgm:pt>
    <dgm:pt modelId="{2192788A-1405-4BBF-9EBA-68958C212A43}" type="pres">
      <dgm:prSet presAssocID="{0F6D34F5-B6C8-415A-87B9-0685E91E2ED1}" presName="sp" presStyleCnt="0"/>
      <dgm:spPr/>
    </dgm:pt>
    <dgm:pt modelId="{C2ED5F4E-EA6F-46B8-A972-5AEB988A2309}" type="pres">
      <dgm:prSet presAssocID="{9B534410-037D-4641-AA1A-39A2098A7598}" presName="composite" presStyleCnt="0"/>
      <dgm:spPr/>
    </dgm:pt>
    <dgm:pt modelId="{D50E003D-CF33-4F99-92B5-5BEEE21F029C}" type="pres">
      <dgm:prSet presAssocID="{9B534410-037D-4641-AA1A-39A2098A7598}" presName="parentText" presStyleLbl="alignNode1" presStyleIdx="2" presStyleCnt="3">
        <dgm:presLayoutVars>
          <dgm:chMax val="1"/>
          <dgm:bulletEnabled val="1"/>
        </dgm:presLayoutVars>
      </dgm:prSet>
      <dgm:spPr/>
    </dgm:pt>
    <dgm:pt modelId="{3B85CFB7-FE70-48ED-A048-260B1E77EF0F}" type="pres">
      <dgm:prSet presAssocID="{9B534410-037D-4641-AA1A-39A2098A7598}" presName="descendantText" presStyleLbl="alignAcc1" presStyleIdx="2" presStyleCnt="3">
        <dgm:presLayoutVars>
          <dgm:bulletEnabled val="1"/>
        </dgm:presLayoutVars>
      </dgm:prSet>
      <dgm:spPr/>
    </dgm:pt>
  </dgm:ptLst>
  <dgm:cxnLst>
    <dgm:cxn modelId="{725A1D08-D316-4C74-BBEA-1021B416A7A5}" srcId="{C36219C8-7AE8-4C9C-B033-20AD1758891E}" destId="{FACB5AF5-53F8-4AB0-B673-F37DB6857073}" srcOrd="1" destOrd="0" parTransId="{F0BFB941-1E2F-478F-A5C6-58263A78968D}" sibTransId="{1C5F8E76-191F-40F5-8645-0FF49CD75F66}"/>
    <dgm:cxn modelId="{2030B025-DCD0-4C17-B435-587ACBB76657}" type="presOf" srcId="{193C8A68-D411-489B-BAFB-874EFEAEAC0C}" destId="{24427FBD-3BB3-468D-AACA-22CFF9A98A75}" srcOrd="0" destOrd="0" presId="urn:microsoft.com/office/officeart/2005/8/layout/chevron2"/>
    <dgm:cxn modelId="{099F9C33-9980-4271-A8E6-AE613F2EFF25}" srcId="{710CCAC7-3F24-4186-9EEC-0B46820D9E1B}" destId="{C3A0EBCE-7391-45F1-BEBD-3EACEC21CA0D}" srcOrd="0" destOrd="0" parTransId="{2AFC965E-608F-4A45-A942-AEEB2A5274A4}" sibTransId="{B3A08FE8-A528-43EF-83F3-EE3ED1BFD763}"/>
    <dgm:cxn modelId="{0D6F9E44-CB57-4AF9-A76D-4A63AB9E314D}" srcId="{762429E0-C3BE-42C7-8FF5-71EFE78A6F88}" destId="{710CCAC7-3F24-4186-9EEC-0B46820D9E1B}" srcOrd="1" destOrd="0" parTransId="{BD88ABBF-7D35-4C1B-8B0D-C64A25B205A7}" sibTransId="{0F6D34F5-B6C8-415A-87B9-0685E91E2ED1}"/>
    <dgm:cxn modelId="{70D30D6F-3B3B-4605-9C3C-80B8F2628884}" type="presOf" srcId="{C3A0EBCE-7391-45F1-BEBD-3EACEC21CA0D}" destId="{A2D254DB-E339-4AAF-A7CF-3301894844C5}" srcOrd="0" destOrd="0" presId="urn:microsoft.com/office/officeart/2005/8/layout/chevron2"/>
    <dgm:cxn modelId="{CE0E5E51-540E-4AC6-9F7C-9A521E157B50}" type="presOf" srcId="{FACB5AF5-53F8-4AB0-B673-F37DB6857073}" destId="{24427FBD-3BB3-468D-AACA-22CFF9A98A75}" srcOrd="0" destOrd="1" presId="urn:microsoft.com/office/officeart/2005/8/layout/chevron2"/>
    <dgm:cxn modelId="{B7AC5254-A1BD-40AB-9E06-9F8FDA765A6E}" srcId="{762429E0-C3BE-42C7-8FF5-71EFE78A6F88}" destId="{C36219C8-7AE8-4C9C-B033-20AD1758891E}" srcOrd="0" destOrd="0" parTransId="{6526FEF4-AAF7-4C10-8CE7-10E0F464EAE8}" sibTransId="{0DA7E163-7460-4D1B-BE12-E2BCD3326779}"/>
    <dgm:cxn modelId="{140D6F7D-E177-4856-9AC5-54B8BB6C69DF}" type="presOf" srcId="{710CCAC7-3F24-4186-9EEC-0B46820D9E1B}" destId="{F572B290-85D4-4AEC-9301-50996F103D04}" srcOrd="0" destOrd="0" presId="urn:microsoft.com/office/officeart/2005/8/layout/chevron2"/>
    <dgm:cxn modelId="{F6EAC4AA-A325-4A3A-B2A8-02B47AE84F00}" type="presOf" srcId="{9B534410-037D-4641-AA1A-39A2098A7598}" destId="{D50E003D-CF33-4F99-92B5-5BEEE21F029C}" srcOrd="0" destOrd="0" presId="urn:microsoft.com/office/officeart/2005/8/layout/chevron2"/>
    <dgm:cxn modelId="{5C7944B1-2F51-47EE-80C7-110C59637D6F}" srcId="{762429E0-C3BE-42C7-8FF5-71EFE78A6F88}" destId="{9B534410-037D-4641-AA1A-39A2098A7598}" srcOrd="2" destOrd="0" parTransId="{2F37C5A7-20D6-40F3-844E-8EE9250E4D3B}" sibTransId="{F167F3D1-9E9C-4233-BFC2-2B57C9D9041F}"/>
    <dgm:cxn modelId="{02BA82B6-796A-40D9-A6A9-378C7B1E2AF4}" srcId="{710CCAC7-3F24-4186-9EEC-0B46820D9E1B}" destId="{74B5CF4C-B689-4655-8325-B72D57E29F30}" srcOrd="1" destOrd="0" parTransId="{B9896DEC-BBBD-4C29-A6F7-858312EB9B15}" sibTransId="{6A1F0962-78DD-43E4-B2FF-752A43ADEE86}"/>
    <dgm:cxn modelId="{376443BF-712C-42BE-B4A8-E8351A08B0B5}" type="presOf" srcId="{762429E0-C3BE-42C7-8FF5-71EFE78A6F88}" destId="{E951A17E-781A-4AFC-9B5E-F3619ECCB7A4}" srcOrd="0" destOrd="0" presId="urn:microsoft.com/office/officeart/2005/8/layout/chevron2"/>
    <dgm:cxn modelId="{28E9EDC0-9842-48FE-80B1-DB654BF98661}" type="presOf" srcId="{74B5CF4C-B689-4655-8325-B72D57E29F30}" destId="{A2D254DB-E339-4AAF-A7CF-3301894844C5}" srcOrd="0" destOrd="1" presId="urn:microsoft.com/office/officeart/2005/8/layout/chevron2"/>
    <dgm:cxn modelId="{FD3993EA-6B2B-4DC1-886F-DBE44D31372D}" type="presOf" srcId="{7B9EAF28-A6D3-4C6A-BEC8-117FDC1DB05F}" destId="{3B85CFB7-FE70-48ED-A048-260B1E77EF0F}" srcOrd="0" destOrd="0" presId="urn:microsoft.com/office/officeart/2005/8/layout/chevron2"/>
    <dgm:cxn modelId="{8E99DED0-3B9E-4344-8925-1980B28D7EDA}" srcId="{9B534410-037D-4641-AA1A-39A2098A7598}" destId="{7B9EAF28-A6D3-4C6A-BEC8-117FDC1DB05F}" srcOrd="0" destOrd="0" parTransId="{AECE220E-D195-4116-BE4A-046353C0276B}" sibTransId="{300A2897-3514-42B9-9CC6-51FC60DF47A9}"/>
    <dgm:cxn modelId="{6DE594DA-4084-4F7B-A4B4-54398562BEE6}" type="presOf" srcId="{C36219C8-7AE8-4C9C-B033-20AD1758891E}" destId="{19682A8A-6098-484E-9182-E3F967578113}" srcOrd="0" destOrd="0" presId="urn:microsoft.com/office/officeart/2005/8/layout/chevron2"/>
    <dgm:cxn modelId="{78B244FB-F4AF-49B6-A4B0-39EA190BA3A8}" srcId="{C36219C8-7AE8-4C9C-B033-20AD1758891E}" destId="{193C8A68-D411-489B-BAFB-874EFEAEAC0C}" srcOrd="0" destOrd="0" parTransId="{3AB17A39-CE34-4649-87AE-1E82B25FA7A4}" sibTransId="{236FBD41-5BC0-4F0A-ADA9-1032BD1DA995}"/>
    <dgm:cxn modelId="{B3C4036C-62F3-4D7F-B64D-7EB5455E4173}" type="presParOf" srcId="{E951A17E-781A-4AFC-9B5E-F3619ECCB7A4}" destId="{E8B017BA-6D57-4CC7-85F1-B59BB6A8C7CC}" srcOrd="0" destOrd="0" presId="urn:microsoft.com/office/officeart/2005/8/layout/chevron2"/>
    <dgm:cxn modelId="{59677FBB-1205-4086-AA15-9BADA3864CE6}" type="presParOf" srcId="{E8B017BA-6D57-4CC7-85F1-B59BB6A8C7CC}" destId="{19682A8A-6098-484E-9182-E3F967578113}" srcOrd="0" destOrd="0" presId="urn:microsoft.com/office/officeart/2005/8/layout/chevron2"/>
    <dgm:cxn modelId="{74D10EAA-ABAF-4BED-825A-3F7BEAB640CE}" type="presParOf" srcId="{E8B017BA-6D57-4CC7-85F1-B59BB6A8C7CC}" destId="{24427FBD-3BB3-468D-AACA-22CFF9A98A75}" srcOrd="1" destOrd="0" presId="urn:microsoft.com/office/officeart/2005/8/layout/chevron2"/>
    <dgm:cxn modelId="{C1F319E6-2E33-4ACF-B53E-071528D836A6}" type="presParOf" srcId="{E951A17E-781A-4AFC-9B5E-F3619ECCB7A4}" destId="{37D478E4-0EFE-4295-A648-CAF137E8942F}" srcOrd="1" destOrd="0" presId="urn:microsoft.com/office/officeart/2005/8/layout/chevron2"/>
    <dgm:cxn modelId="{3B92ADE1-5FEB-4CDF-AE44-DA78D8CEFD9E}" type="presParOf" srcId="{E951A17E-781A-4AFC-9B5E-F3619ECCB7A4}" destId="{7BC0CCDC-564C-4418-9FB6-D9A48303C107}" srcOrd="2" destOrd="0" presId="urn:microsoft.com/office/officeart/2005/8/layout/chevron2"/>
    <dgm:cxn modelId="{CCC9331E-C570-477C-B981-EC38C4B14B57}" type="presParOf" srcId="{7BC0CCDC-564C-4418-9FB6-D9A48303C107}" destId="{F572B290-85D4-4AEC-9301-50996F103D04}" srcOrd="0" destOrd="0" presId="urn:microsoft.com/office/officeart/2005/8/layout/chevron2"/>
    <dgm:cxn modelId="{1B00E943-3812-4305-A92C-9D13ED9FFCF9}" type="presParOf" srcId="{7BC0CCDC-564C-4418-9FB6-D9A48303C107}" destId="{A2D254DB-E339-4AAF-A7CF-3301894844C5}" srcOrd="1" destOrd="0" presId="urn:microsoft.com/office/officeart/2005/8/layout/chevron2"/>
    <dgm:cxn modelId="{18949696-56FE-4F67-A06E-807B75ED0C5A}" type="presParOf" srcId="{E951A17E-781A-4AFC-9B5E-F3619ECCB7A4}" destId="{2192788A-1405-4BBF-9EBA-68958C212A43}" srcOrd="3" destOrd="0" presId="urn:microsoft.com/office/officeart/2005/8/layout/chevron2"/>
    <dgm:cxn modelId="{02561152-D5DB-4110-85E5-918FC8E803D6}" type="presParOf" srcId="{E951A17E-781A-4AFC-9B5E-F3619ECCB7A4}" destId="{C2ED5F4E-EA6F-46B8-A972-5AEB988A2309}" srcOrd="4" destOrd="0" presId="urn:microsoft.com/office/officeart/2005/8/layout/chevron2"/>
    <dgm:cxn modelId="{C8988FB4-BE29-4D9D-8BEA-EBD9589740ED}" type="presParOf" srcId="{C2ED5F4E-EA6F-46B8-A972-5AEB988A2309}" destId="{D50E003D-CF33-4F99-92B5-5BEEE21F029C}" srcOrd="0" destOrd="0" presId="urn:microsoft.com/office/officeart/2005/8/layout/chevron2"/>
    <dgm:cxn modelId="{1926B3A8-9B6B-4A8B-8DC1-4D1826A51CAC}" type="presParOf" srcId="{C2ED5F4E-EA6F-46B8-A972-5AEB988A2309}" destId="{3B85CFB7-FE70-48ED-A048-260B1E77EF0F}" srcOrd="1" destOrd="0" presId="urn:microsoft.com/office/officeart/2005/8/layout/chevron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BBB6EC-F049-44FC-A9DD-F32B1FB37241}">
      <dsp:nvSpPr>
        <dsp:cNvPr id="0" name=""/>
        <dsp:cNvSpPr/>
      </dsp:nvSpPr>
      <dsp:spPr>
        <a:xfrm>
          <a:off x="1718162" y="253"/>
          <a:ext cx="2135799" cy="2135799"/>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AU" sz="1400" kern="1200"/>
            <a:t>Step 1: Identify interactions/contact with vulnerable persons</a:t>
          </a:r>
        </a:p>
      </dsp:txBody>
      <dsp:txXfrm>
        <a:off x="2030943" y="313034"/>
        <a:ext cx="1510237" cy="1510237"/>
      </dsp:txXfrm>
    </dsp:sp>
    <dsp:sp modelId="{1562BE32-540D-4F98-8708-463C321C4AC1}">
      <dsp:nvSpPr>
        <dsp:cNvPr id="0" name=""/>
        <dsp:cNvSpPr/>
      </dsp:nvSpPr>
      <dsp:spPr>
        <a:xfrm rot="3600000">
          <a:off x="3295878" y="2083099"/>
          <a:ext cx="568500" cy="72083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AU" sz="1100" kern="1200"/>
        </a:p>
      </dsp:txBody>
      <dsp:txXfrm>
        <a:off x="3338516" y="2153415"/>
        <a:ext cx="397950" cy="432500"/>
      </dsp:txXfrm>
    </dsp:sp>
    <dsp:sp modelId="{7B2E142C-9590-4571-829D-77C367539D6A}">
      <dsp:nvSpPr>
        <dsp:cNvPr id="0" name=""/>
        <dsp:cNvSpPr/>
      </dsp:nvSpPr>
      <dsp:spPr>
        <a:xfrm>
          <a:off x="3322383" y="2778846"/>
          <a:ext cx="2135799" cy="2135799"/>
        </a:xfrm>
        <a:prstGeom prst="ellipse">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AU" sz="1400" kern="1200"/>
            <a:t>Step 2: Review how interactions are managed / identify level of risk involved</a:t>
          </a:r>
        </a:p>
      </dsp:txBody>
      <dsp:txXfrm>
        <a:off x="3635164" y="3091627"/>
        <a:ext cx="1510237" cy="1510237"/>
      </dsp:txXfrm>
    </dsp:sp>
    <dsp:sp modelId="{74B42F12-3D7D-41FB-93CF-75747DC928CF}">
      <dsp:nvSpPr>
        <dsp:cNvPr id="0" name=""/>
        <dsp:cNvSpPr/>
      </dsp:nvSpPr>
      <dsp:spPr>
        <a:xfrm rot="10800000">
          <a:off x="2517901" y="3486330"/>
          <a:ext cx="568500" cy="72083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AU" sz="1100" kern="1200"/>
        </a:p>
      </dsp:txBody>
      <dsp:txXfrm rot="10800000">
        <a:off x="2688451" y="3630496"/>
        <a:ext cx="397950" cy="432500"/>
      </dsp:txXfrm>
    </dsp:sp>
    <dsp:sp modelId="{D0C1F029-A174-455D-AB61-3C517EBFE17B}">
      <dsp:nvSpPr>
        <dsp:cNvPr id="0" name=""/>
        <dsp:cNvSpPr/>
      </dsp:nvSpPr>
      <dsp:spPr>
        <a:xfrm>
          <a:off x="113941" y="2778846"/>
          <a:ext cx="2135799" cy="213579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AU" sz="1400" kern="1200"/>
            <a:t>Step 3: Mitigate risk by change in process/ procedure and decide on best evidence to retain </a:t>
          </a:r>
        </a:p>
      </dsp:txBody>
      <dsp:txXfrm>
        <a:off x="426722" y="3091627"/>
        <a:ext cx="1510237" cy="1510237"/>
      </dsp:txXfrm>
    </dsp:sp>
    <dsp:sp modelId="{105672D2-8E8A-4490-B859-2E65AF6D395B}">
      <dsp:nvSpPr>
        <dsp:cNvPr id="0" name=""/>
        <dsp:cNvSpPr/>
      </dsp:nvSpPr>
      <dsp:spPr>
        <a:xfrm rot="18000000">
          <a:off x="1691656" y="2110967"/>
          <a:ext cx="568500" cy="72083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AU" sz="1100" kern="1200"/>
        </a:p>
      </dsp:txBody>
      <dsp:txXfrm>
        <a:off x="1734294" y="2328983"/>
        <a:ext cx="397950" cy="4325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682A8A-6098-484E-9182-E3F967578113}">
      <dsp:nvSpPr>
        <dsp:cNvPr id="0" name=""/>
        <dsp:cNvSpPr/>
      </dsp:nvSpPr>
      <dsp:spPr>
        <a:xfrm rot="5400000">
          <a:off x="-206119" y="206124"/>
          <a:ext cx="1374133" cy="961893"/>
        </a:xfrm>
        <a:prstGeom prst="chevron">
          <a:avLst/>
        </a:prstGeom>
        <a:solidFill>
          <a:srgbClr val="FFC00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t>Identify interactions with vulnerable persons</a:t>
          </a:r>
        </a:p>
      </dsp:txBody>
      <dsp:txXfrm rot="-5400000">
        <a:off x="2" y="480951"/>
        <a:ext cx="961893" cy="412240"/>
      </dsp:txXfrm>
    </dsp:sp>
    <dsp:sp modelId="{24427FBD-3BB3-468D-AACA-22CFF9A98A75}">
      <dsp:nvSpPr>
        <dsp:cNvPr id="0" name=""/>
        <dsp:cNvSpPr/>
      </dsp:nvSpPr>
      <dsp:spPr>
        <a:xfrm rot="5400000">
          <a:off x="3079178" y="-2117280"/>
          <a:ext cx="893186" cy="5127756"/>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AU" sz="1400" kern="1200"/>
            <a:t>List functions and activities carried out by your public authority</a:t>
          </a:r>
        </a:p>
        <a:p>
          <a:pPr marL="114300" lvl="1" indent="-114300" algn="l" defTabSz="622300">
            <a:lnSpc>
              <a:spcPct val="90000"/>
            </a:lnSpc>
            <a:spcBef>
              <a:spcPct val="0"/>
            </a:spcBef>
            <a:spcAft>
              <a:spcPct val="15000"/>
            </a:spcAft>
            <a:buChar char="•"/>
          </a:pPr>
          <a:r>
            <a:rPr lang="en-AU" sz="1400" kern="1200"/>
            <a:t>List which functions and activities include contact with vulnerable persons</a:t>
          </a:r>
        </a:p>
      </dsp:txBody>
      <dsp:txXfrm rot="-5400000">
        <a:off x="961893" y="43607"/>
        <a:ext cx="5084154" cy="805982"/>
      </dsp:txXfrm>
    </dsp:sp>
    <dsp:sp modelId="{F572B290-85D4-4AEC-9301-50996F103D04}">
      <dsp:nvSpPr>
        <dsp:cNvPr id="0" name=""/>
        <dsp:cNvSpPr/>
      </dsp:nvSpPr>
      <dsp:spPr>
        <a:xfrm rot="5400000">
          <a:off x="-206119" y="1382778"/>
          <a:ext cx="1374133" cy="961893"/>
        </a:xfrm>
        <a:prstGeom prst="chevron">
          <a:avLst/>
        </a:prstGeom>
        <a:solidFill>
          <a:srgbClr val="00B05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t>Review interactions / identify level of risk involved</a:t>
          </a:r>
        </a:p>
      </dsp:txBody>
      <dsp:txXfrm rot="-5400000">
        <a:off x="2" y="1657605"/>
        <a:ext cx="961893" cy="412240"/>
      </dsp:txXfrm>
    </dsp:sp>
    <dsp:sp modelId="{A2D254DB-E339-4AAF-A7CF-3301894844C5}">
      <dsp:nvSpPr>
        <dsp:cNvPr id="0" name=""/>
        <dsp:cNvSpPr/>
      </dsp:nvSpPr>
      <dsp:spPr>
        <a:xfrm rot="5400000">
          <a:off x="3079178" y="-940626"/>
          <a:ext cx="893186" cy="5127756"/>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AU" sz="1400" kern="1200"/>
            <a:t>Define the nature of the interaction of each contact (see below)</a:t>
          </a:r>
        </a:p>
        <a:p>
          <a:pPr marL="114300" lvl="1" indent="-114300" algn="l" defTabSz="622300">
            <a:lnSpc>
              <a:spcPct val="90000"/>
            </a:lnSpc>
            <a:spcBef>
              <a:spcPct val="0"/>
            </a:spcBef>
            <a:spcAft>
              <a:spcPct val="15000"/>
            </a:spcAft>
            <a:buChar char="•"/>
          </a:pPr>
          <a:r>
            <a:rPr lang="en-AU" sz="1400" kern="1200"/>
            <a:t>Assess level of risk relating to potential for abuse associated with each contact</a:t>
          </a:r>
        </a:p>
      </dsp:txBody>
      <dsp:txXfrm rot="-5400000">
        <a:off x="961893" y="1220261"/>
        <a:ext cx="5084154" cy="805982"/>
      </dsp:txXfrm>
    </dsp:sp>
    <dsp:sp modelId="{D50E003D-CF33-4F99-92B5-5BEEE21F029C}">
      <dsp:nvSpPr>
        <dsp:cNvPr id="0" name=""/>
        <dsp:cNvSpPr/>
      </dsp:nvSpPr>
      <dsp:spPr>
        <a:xfrm rot="5400000">
          <a:off x="-206119" y="2559431"/>
          <a:ext cx="1374133" cy="96189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t>Mitigate risk</a:t>
          </a:r>
        </a:p>
      </dsp:txBody>
      <dsp:txXfrm rot="-5400000">
        <a:off x="2" y="2834258"/>
        <a:ext cx="961893" cy="412240"/>
      </dsp:txXfrm>
    </dsp:sp>
    <dsp:sp modelId="{3B85CFB7-FE70-48ED-A048-260B1E77EF0F}">
      <dsp:nvSpPr>
        <dsp:cNvPr id="0" name=""/>
        <dsp:cNvSpPr/>
      </dsp:nvSpPr>
      <dsp:spPr>
        <a:xfrm rot="5400000">
          <a:off x="3079178" y="236026"/>
          <a:ext cx="893186" cy="5127756"/>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AU" sz="1400" kern="1200"/>
            <a:t>Risk management - mitigate risks, prevent harm and retain best evidence of interaction with vulnerable persons</a:t>
          </a:r>
        </a:p>
      </dsp:txBody>
      <dsp:txXfrm rot="-5400000">
        <a:off x="961893" y="2396913"/>
        <a:ext cx="5084154" cy="805982"/>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0839F2-2724-4D1D-90F3-3606A5B86DCE}">
  <ds:schemaRefs>
    <ds:schemaRef ds:uri="http://schemas.microsoft.com/office/2006/metadata/longProperties"/>
  </ds:schemaRefs>
</ds:datastoreItem>
</file>

<file path=customXml/itemProps2.xml><?xml version="1.0" encoding="utf-8"?>
<ds:datastoreItem xmlns:ds="http://schemas.openxmlformats.org/officeDocument/2006/customXml" ds:itemID="{F1523F6E-471D-4FDF-8C19-0852E9DD1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3714</Words>
  <Characters>24568</Characters>
  <Application>Microsoft Office Word</Application>
  <DocSecurity>4</DocSecurity>
  <Lines>204</Lines>
  <Paragraphs>56</Paragraphs>
  <ScaleCrop>false</ScaleCrop>
  <HeadingPairs>
    <vt:vector size="2" baseType="variant">
      <vt:variant>
        <vt:lpstr>Title</vt:lpstr>
      </vt:variant>
      <vt:variant>
        <vt:i4>1</vt:i4>
      </vt:variant>
    </vt:vector>
  </HeadingPairs>
  <TitlesOfParts>
    <vt:vector size="1" baseType="lpstr">
      <vt:lpstr>Guideline on creating and keeping records for the proactive protection of vulnerable persons</vt:lpstr>
    </vt:vector>
  </TitlesOfParts>
  <Company/>
  <LinksUpToDate>false</LinksUpToDate>
  <CharactersWithSpaces>28226</CharactersWithSpaces>
  <SharedDoc>false</SharedDoc>
  <HLinks>
    <vt:vector size="42" baseType="variant">
      <vt:variant>
        <vt:i4>4980831</vt:i4>
      </vt:variant>
      <vt:variant>
        <vt:i4>51</vt:i4>
      </vt:variant>
      <vt:variant>
        <vt:i4>0</vt:i4>
      </vt:variant>
      <vt:variant>
        <vt:i4>5</vt:i4>
      </vt:variant>
      <vt:variant>
        <vt:lpwstr>https://www.qld.gov.au/gov/recordkeeping</vt:lpwstr>
      </vt:variant>
      <vt:variant>
        <vt:lpwstr/>
      </vt:variant>
      <vt:variant>
        <vt:i4>4980831</vt:i4>
      </vt:variant>
      <vt:variant>
        <vt:i4>48</vt:i4>
      </vt:variant>
      <vt:variant>
        <vt:i4>0</vt:i4>
      </vt:variant>
      <vt:variant>
        <vt:i4>5</vt:i4>
      </vt:variant>
      <vt:variant>
        <vt:lpwstr>https://www.qld.gov.au/gov/recordkeeping</vt:lpwstr>
      </vt:variant>
      <vt:variant>
        <vt:lpwstr/>
      </vt:variant>
      <vt:variant>
        <vt:i4>4980831</vt:i4>
      </vt:variant>
      <vt:variant>
        <vt:i4>45</vt:i4>
      </vt:variant>
      <vt:variant>
        <vt:i4>0</vt:i4>
      </vt:variant>
      <vt:variant>
        <vt:i4>5</vt:i4>
      </vt:variant>
      <vt:variant>
        <vt:lpwstr>https://www.qld.gov.au/gov/recordkeeping</vt:lpwstr>
      </vt:variant>
      <vt:variant>
        <vt:lpwstr/>
      </vt:variant>
      <vt:variant>
        <vt:i4>4980831</vt:i4>
      </vt:variant>
      <vt:variant>
        <vt:i4>42</vt:i4>
      </vt:variant>
      <vt:variant>
        <vt:i4>0</vt:i4>
      </vt:variant>
      <vt:variant>
        <vt:i4>5</vt:i4>
      </vt:variant>
      <vt:variant>
        <vt:lpwstr>https://www.qld.gov.au/gov/recordkeeping</vt:lpwstr>
      </vt:variant>
      <vt:variant>
        <vt:lpwstr/>
      </vt:variant>
      <vt:variant>
        <vt:i4>4718713</vt:i4>
      </vt:variant>
      <vt:variant>
        <vt:i4>36</vt:i4>
      </vt:variant>
      <vt:variant>
        <vt:i4>0</vt:i4>
      </vt:variant>
      <vt:variant>
        <vt:i4>5</vt:i4>
      </vt:variant>
      <vt:variant>
        <vt:lpwstr>mailto:rkqueries@archives.qld.gov.au</vt:lpwstr>
      </vt:variant>
      <vt:variant>
        <vt:lpwstr/>
      </vt:variant>
      <vt:variant>
        <vt:i4>4522079</vt:i4>
      </vt:variant>
      <vt:variant>
        <vt:i4>27</vt:i4>
      </vt:variant>
      <vt:variant>
        <vt:i4>0</vt:i4>
      </vt:variant>
      <vt:variant>
        <vt:i4>5</vt:i4>
      </vt:variant>
      <vt:variant>
        <vt:lpwstr>https://www.forgov.qld.gov.au/schedules/general-retention-and-disposal-schedule-grds</vt:lpwstr>
      </vt:variant>
      <vt:variant>
        <vt:lpwstr/>
      </vt:variant>
      <vt:variant>
        <vt:i4>1245208</vt:i4>
      </vt:variant>
      <vt:variant>
        <vt:i4>12</vt:i4>
      </vt:variant>
      <vt:variant>
        <vt:i4>0</vt:i4>
      </vt:variant>
      <vt:variant>
        <vt:i4>5</vt:i4>
      </vt:variant>
      <vt:variant>
        <vt:lpwstr>https://www.qld.gov.au/gov/search-retention-and-disposal-schedule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 on creating and keeping records for the proactive protection of vulnerable persons</dc:title>
  <dc:subject/>
  <dc:creator/>
  <cp:keywords>qsa, queensland state archives, guideline, children's records, child records, disposal freeze, royal commission, RCIRCSA, child safety, disposal authorisation, vulnerable persons, vulnerable people, disability, disabilities, disabled, aged care, elderly, older people, senior citizens, guideline, proactive protection,</cp:keywords>
  <dc:description>Guideline on creating and keeping records for the proactive protection, safety and wellbeing of vulnerable persons</dc:description>
  <cp:lastModifiedBy/>
  <cp:revision>1</cp:revision>
  <dcterms:created xsi:type="dcterms:W3CDTF">2020-03-26T06:14:00Z</dcterms:created>
  <dcterms:modified xsi:type="dcterms:W3CDTF">2020-03-26T06:14:00Z</dcterms:modified>
</cp:coreProperties>
</file>