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750F38" w14:textId="27465C4A" w:rsidR="001B76A5" w:rsidRPr="00B37B02" w:rsidRDefault="005C685E" w:rsidP="00B37B02">
      <w:pPr>
        <w:pStyle w:val="Title"/>
        <w:rPr>
          <w:sz w:val="72"/>
          <w:szCs w:val="72"/>
        </w:rPr>
      </w:pPr>
      <w:r w:rsidRPr="005C685E">
        <w:rPr>
          <w:sz w:val="72"/>
          <w:szCs w:val="72"/>
        </w:rPr>
        <w:t>M</w:t>
      </w:r>
      <w:r w:rsidR="00B37B02">
        <w:rPr>
          <w:sz w:val="72"/>
          <w:szCs w:val="72"/>
        </w:rPr>
        <w:t>ANAGEMENT AND DISPOSAL OF AHPRA RECORDS BY SINGLE ARCHIVAL HOST</w:t>
      </w:r>
    </w:p>
    <w:p w14:paraId="37D5A9EA" w14:textId="77777777" w:rsidR="005C685E" w:rsidRDefault="005C685E" w:rsidP="004F4C38"/>
    <w:p w14:paraId="1AE4564B" w14:textId="77777777" w:rsidR="005C685E" w:rsidRPr="005C685E" w:rsidRDefault="005C685E" w:rsidP="005C685E">
      <w:pPr>
        <w:rPr>
          <w:lang w:eastAsia="en-AU"/>
        </w:rPr>
      </w:pPr>
    </w:p>
    <w:p w14:paraId="44CF3E62" w14:textId="0022A4EA" w:rsidR="001B76A5" w:rsidRPr="00FA735A" w:rsidRDefault="005C685E" w:rsidP="005C685E">
      <w:pPr>
        <w:pStyle w:val="Subtitle"/>
        <w:jc w:val="center"/>
      </w:pPr>
      <w:r>
        <w:t>An authorisation under s.</w:t>
      </w:r>
      <w:r w:rsidR="00B37B02">
        <w:t>24 and s.25</w:t>
      </w:r>
      <w:r>
        <w:t xml:space="preserve"> of the </w:t>
      </w:r>
      <w:r>
        <w:rPr>
          <w:i/>
        </w:rPr>
        <w:t xml:space="preserve">Public Records Act 2002 </w:t>
      </w:r>
      <w:r>
        <w:t xml:space="preserve">for the </w:t>
      </w:r>
      <w:r w:rsidR="00B37B02">
        <w:t xml:space="preserve">management and </w:t>
      </w:r>
      <w:r>
        <w:t xml:space="preserve">disposal of </w:t>
      </w:r>
      <w:r w:rsidR="00B37B02">
        <w:t xml:space="preserve">Australian Health Practitioner Regulation Agency (AHPRA) </w:t>
      </w:r>
      <w:r>
        <w:t xml:space="preserve">records </w:t>
      </w:r>
    </w:p>
    <w:p w14:paraId="5D9905D9" w14:textId="77777777" w:rsidR="00FA735A" w:rsidRDefault="00FA735A" w:rsidP="00FA735A">
      <w:pPr>
        <w:pStyle w:val="Reference"/>
      </w:pPr>
    </w:p>
    <w:p w14:paraId="52824447" w14:textId="77777777" w:rsidR="005C685E" w:rsidRPr="005C685E" w:rsidRDefault="005C685E" w:rsidP="005C685E">
      <w:pPr>
        <w:pStyle w:val="Reference"/>
        <w:spacing w:before="360"/>
        <w:jc w:val="center"/>
        <w:rPr>
          <w:sz w:val="24"/>
          <w:szCs w:val="24"/>
        </w:rPr>
      </w:pPr>
      <w:r w:rsidRPr="005C685E">
        <w:rPr>
          <w:sz w:val="24"/>
          <w:szCs w:val="24"/>
        </w:rPr>
        <w:t>Where printed, the reproduction is only accurate at the time of printing.</w:t>
      </w:r>
    </w:p>
    <w:p w14:paraId="6A822797" w14:textId="77777777" w:rsidR="005C685E" w:rsidRPr="005C685E" w:rsidRDefault="005C685E" w:rsidP="005C685E">
      <w:pPr>
        <w:pStyle w:val="Reference"/>
        <w:jc w:val="center"/>
        <w:rPr>
          <w:sz w:val="24"/>
          <w:szCs w:val="24"/>
        </w:rPr>
      </w:pPr>
      <w:r w:rsidRPr="005C685E">
        <w:rPr>
          <w:sz w:val="24"/>
          <w:szCs w:val="24"/>
        </w:rPr>
        <w:t xml:space="preserve">The </w:t>
      </w:r>
      <w:hyperlink r:id="rId8" w:history="1">
        <w:r w:rsidRPr="005C685E">
          <w:rPr>
            <w:rStyle w:val="Hyperlink"/>
            <w:sz w:val="24"/>
            <w:szCs w:val="24"/>
          </w:rPr>
          <w:t>Queensland Government (For Government) website</w:t>
        </w:r>
      </w:hyperlink>
      <w:r w:rsidRPr="005C685E">
        <w:rPr>
          <w:sz w:val="24"/>
          <w:szCs w:val="24"/>
        </w:rPr>
        <w:t xml:space="preserve"> should always be referred to for the current, authorised version.</w:t>
      </w:r>
    </w:p>
    <w:p w14:paraId="1E35B6DB" w14:textId="77777777" w:rsidR="005A2086" w:rsidRDefault="005A2086" w:rsidP="00FA735A">
      <w:pPr>
        <w:pStyle w:val="Subtitle"/>
      </w:pPr>
      <w:r>
        <w:rPr>
          <w:noProof/>
        </w:rPr>
        <w:br w:type="page"/>
      </w:r>
    </w:p>
    <w:p w14:paraId="0A4A88B0" w14:textId="554FCC18" w:rsidR="00A65096" w:rsidRPr="00B37B02" w:rsidRDefault="00B37B02" w:rsidP="00B37B02">
      <w:pPr>
        <w:pStyle w:val="Heading1"/>
      </w:pPr>
      <w:bookmarkStart w:id="0" w:name="_Toc498599764"/>
      <w:bookmarkStart w:id="1" w:name="_Toc495588946"/>
      <w:bookmarkStart w:id="2" w:name="_Toc495671135"/>
      <w:r>
        <w:lastRenderedPageBreak/>
        <w:t>Authority</w:t>
      </w:r>
      <w:bookmarkEnd w:id="0"/>
    </w:p>
    <w:p w14:paraId="6B700AE9" w14:textId="4DA09486" w:rsidR="00EA49DE" w:rsidRPr="00B37B02" w:rsidRDefault="00B37B02" w:rsidP="00B37B02">
      <w:r>
        <w:t xml:space="preserve">The State Archivist has issued this policy in accordance with s.24 and s.25 of the </w:t>
      </w:r>
      <w:r w:rsidRPr="002F42AC">
        <w:rPr>
          <w:i/>
        </w:rPr>
        <w:t>Public Records Act 2002</w:t>
      </w:r>
      <w:r>
        <w:t>.</w:t>
      </w:r>
    </w:p>
    <w:p w14:paraId="5A4AE8C8" w14:textId="77777777" w:rsidR="00EA49DE" w:rsidRDefault="00EA49DE" w:rsidP="004F4C38"/>
    <w:p w14:paraId="5EDF0573" w14:textId="5F694ED4" w:rsidR="00A65096" w:rsidRPr="00D72A8C" w:rsidRDefault="00A65096" w:rsidP="004F4C38">
      <w:r w:rsidRPr="004F4C38">
        <w:rPr>
          <w:b/>
        </w:rPr>
        <w:t>Authorised by State Archivist:</w:t>
      </w:r>
      <w:r w:rsidR="004F4C38">
        <w:t xml:space="preserve">   </w:t>
      </w:r>
      <w:r w:rsidR="0056275D" w:rsidRPr="004F4C38">
        <w:t>Mike Summerell</w:t>
      </w:r>
    </w:p>
    <w:p w14:paraId="446D50C7" w14:textId="5E361B53" w:rsidR="00EA49DE" w:rsidRPr="00EA49DE" w:rsidRDefault="00EA49DE" w:rsidP="004F4C38">
      <w:r w:rsidRPr="004F4C38">
        <w:rPr>
          <w:b/>
        </w:rPr>
        <w:t>Date</w:t>
      </w:r>
      <w:r w:rsidRPr="00EA49DE">
        <w:t>:</w:t>
      </w:r>
      <w:r w:rsidR="0056275D">
        <w:t xml:space="preserve"> </w:t>
      </w:r>
      <w:r w:rsidR="0056275D" w:rsidRPr="004F4C38">
        <w:t xml:space="preserve">  29 November 2017</w:t>
      </w:r>
    </w:p>
    <w:p w14:paraId="4CB29C87" w14:textId="38935C2B" w:rsidR="00CF33E6" w:rsidRDefault="00CF33E6" w:rsidP="00A65096">
      <w:pPr>
        <w:spacing w:before="0" w:after="160" w:line="259" w:lineRule="auto"/>
        <w:rPr>
          <w:rFonts w:eastAsiaTheme="majorEastAsia" w:cstheme="majorBidi"/>
          <w:b/>
          <w:color w:val="1A8859"/>
          <w:sz w:val="36"/>
          <w:szCs w:val="32"/>
        </w:rPr>
      </w:pPr>
      <w:r>
        <w:br w:type="page"/>
      </w:r>
      <w:bookmarkStart w:id="3" w:name="_GoBack"/>
      <w:bookmarkEnd w:id="3"/>
    </w:p>
    <w:p w14:paraId="04A46DCF" w14:textId="77777777" w:rsidR="00976907" w:rsidRDefault="00062CA2" w:rsidP="00062CA2">
      <w:pPr>
        <w:pStyle w:val="Heading1"/>
        <w:rPr>
          <w:noProof/>
        </w:rPr>
      </w:pPr>
      <w:bookmarkStart w:id="4" w:name="_Toc498599765"/>
      <w:r w:rsidRPr="00062CA2">
        <w:lastRenderedPageBreak/>
        <w:t>Table of contents</w:t>
      </w:r>
      <w:bookmarkEnd w:id="1"/>
      <w:bookmarkEnd w:id="2"/>
      <w:bookmarkEnd w:id="4"/>
      <w:r>
        <w:fldChar w:fldCharType="begin"/>
      </w:r>
      <w:r w:rsidRPr="00062CA2">
        <w:instrText xml:space="preserve"> TOC \o "1-3" \h \z \u </w:instrText>
      </w:r>
      <w:r>
        <w:fldChar w:fldCharType="separate"/>
      </w:r>
    </w:p>
    <w:p w14:paraId="3315557F" w14:textId="77777777" w:rsidR="00976907" w:rsidRPr="004F4C38" w:rsidRDefault="009849E8" w:rsidP="004F4C38">
      <w:pPr>
        <w:tabs>
          <w:tab w:val="right" w:leader="dot" w:pos="9072"/>
        </w:tabs>
        <w:rPr>
          <w:rFonts w:asciiTheme="minorHAnsi" w:eastAsiaTheme="minorEastAsia" w:hAnsiTheme="minorHAnsi" w:cstheme="minorBidi"/>
          <w:b/>
          <w:bCs/>
          <w:noProof/>
        </w:rPr>
      </w:pPr>
      <w:hyperlink w:anchor="_Toc498599764" w:history="1">
        <w:r w:rsidR="00976907" w:rsidRPr="004F4C38">
          <w:rPr>
            <w:rStyle w:val="Hyperlink"/>
            <w:b/>
            <w:noProof/>
          </w:rPr>
          <w:t>Authority</w:t>
        </w:r>
        <w:r w:rsidR="00976907" w:rsidRPr="004F4C38">
          <w:rPr>
            <w:b/>
            <w:noProof/>
            <w:webHidden/>
          </w:rPr>
          <w:tab/>
        </w:r>
        <w:r w:rsidR="00976907" w:rsidRPr="004F4C38">
          <w:rPr>
            <w:b/>
            <w:noProof/>
            <w:webHidden/>
          </w:rPr>
          <w:fldChar w:fldCharType="begin"/>
        </w:r>
        <w:r w:rsidR="00976907" w:rsidRPr="004F4C38">
          <w:rPr>
            <w:b/>
            <w:noProof/>
            <w:webHidden/>
          </w:rPr>
          <w:instrText xml:space="preserve"> PAGEREF _Toc498599764 \h </w:instrText>
        </w:r>
        <w:r w:rsidR="00976907" w:rsidRPr="004F4C38">
          <w:rPr>
            <w:b/>
            <w:noProof/>
            <w:webHidden/>
          </w:rPr>
        </w:r>
        <w:r w:rsidR="00976907" w:rsidRPr="004F4C38">
          <w:rPr>
            <w:b/>
            <w:noProof/>
            <w:webHidden/>
          </w:rPr>
          <w:fldChar w:fldCharType="separate"/>
        </w:r>
        <w:r>
          <w:rPr>
            <w:b/>
            <w:noProof/>
            <w:webHidden/>
          </w:rPr>
          <w:t>2</w:t>
        </w:r>
        <w:r w:rsidR="00976907" w:rsidRPr="004F4C38">
          <w:rPr>
            <w:b/>
            <w:noProof/>
            <w:webHidden/>
          </w:rPr>
          <w:fldChar w:fldCharType="end"/>
        </w:r>
      </w:hyperlink>
    </w:p>
    <w:p w14:paraId="547DC4EC" w14:textId="77777777" w:rsidR="00976907" w:rsidRPr="004F4C38" w:rsidRDefault="009849E8" w:rsidP="004F4C38">
      <w:pPr>
        <w:tabs>
          <w:tab w:val="right" w:leader="dot" w:pos="9072"/>
        </w:tabs>
        <w:rPr>
          <w:rFonts w:asciiTheme="minorHAnsi" w:eastAsiaTheme="minorEastAsia" w:hAnsiTheme="minorHAnsi" w:cstheme="minorBidi"/>
          <w:b/>
          <w:bCs/>
          <w:noProof/>
        </w:rPr>
      </w:pPr>
      <w:hyperlink w:anchor="_Toc498599765" w:history="1">
        <w:r w:rsidR="00976907" w:rsidRPr="004F4C38">
          <w:rPr>
            <w:rStyle w:val="Hyperlink"/>
            <w:b/>
            <w:noProof/>
          </w:rPr>
          <w:t>Table of contents</w:t>
        </w:r>
        <w:r w:rsidR="00976907" w:rsidRPr="004F4C38">
          <w:rPr>
            <w:b/>
            <w:noProof/>
            <w:webHidden/>
          </w:rPr>
          <w:tab/>
        </w:r>
        <w:r w:rsidR="00976907" w:rsidRPr="004F4C38">
          <w:rPr>
            <w:b/>
            <w:noProof/>
            <w:webHidden/>
          </w:rPr>
          <w:fldChar w:fldCharType="begin"/>
        </w:r>
        <w:r w:rsidR="00976907" w:rsidRPr="004F4C38">
          <w:rPr>
            <w:b/>
            <w:noProof/>
            <w:webHidden/>
          </w:rPr>
          <w:instrText xml:space="preserve"> PAGEREF _Toc498599765 \h </w:instrText>
        </w:r>
        <w:r w:rsidR="00976907" w:rsidRPr="004F4C38">
          <w:rPr>
            <w:b/>
            <w:noProof/>
            <w:webHidden/>
          </w:rPr>
        </w:r>
        <w:r w:rsidR="00976907" w:rsidRPr="004F4C38">
          <w:rPr>
            <w:b/>
            <w:noProof/>
            <w:webHidden/>
          </w:rPr>
          <w:fldChar w:fldCharType="separate"/>
        </w:r>
        <w:r>
          <w:rPr>
            <w:b/>
            <w:noProof/>
            <w:webHidden/>
          </w:rPr>
          <w:t>3</w:t>
        </w:r>
        <w:r w:rsidR="00976907" w:rsidRPr="004F4C38">
          <w:rPr>
            <w:b/>
            <w:noProof/>
            <w:webHidden/>
          </w:rPr>
          <w:fldChar w:fldCharType="end"/>
        </w:r>
      </w:hyperlink>
    </w:p>
    <w:p w14:paraId="77F87F20" w14:textId="77777777" w:rsidR="00976907" w:rsidRPr="004F4C38" w:rsidRDefault="009849E8" w:rsidP="004F4C38">
      <w:pPr>
        <w:tabs>
          <w:tab w:val="right" w:leader="dot" w:pos="9072"/>
        </w:tabs>
        <w:rPr>
          <w:rFonts w:asciiTheme="minorHAnsi" w:eastAsiaTheme="minorEastAsia" w:hAnsiTheme="minorHAnsi" w:cstheme="minorBidi"/>
          <w:b/>
          <w:bCs/>
          <w:noProof/>
        </w:rPr>
      </w:pPr>
      <w:hyperlink w:anchor="_Toc498599766" w:history="1">
        <w:r w:rsidR="00976907" w:rsidRPr="004F4C38">
          <w:rPr>
            <w:rStyle w:val="Hyperlink"/>
            <w:b/>
            <w:noProof/>
          </w:rPr>
          <w:t>Policy statement</w:t>
        </w:r>
        <w:r w:rsidR="00976907" w:rsidRPr="004F4C38">
          <w:rPr>
            <w:b/>
            <w:noProof/>
            <w:webHidden/>
          </w:rPr>
          <w:tab/>
        </w:r>
        <w:r w:rsidR="00976907" w:rsidRPr="004F4C38">
          <w:rPr>
            <w:b/>
            <w:noProof/>
            <w:webHidden/>
          </w:rPr>
          <w:fldChar w:fldCharType="begin"/>
        </w:r>
        <w:r w:rsidR="00976907" w:rsidRPr="004F4C38">
          <w:rPr>
            <w:b/>
            <w:noProof/>
            <w:webHidden/>
          </w:rPr>
          <w:instrText xml:space="preserve"> PAGEREF _Toc498599766 \h </w:instrText>
        </w:r>
        <w:r w:rsidR="00976907" w:rsidRPr="004F4C38">
          <w:rPr>
            <w:b/>
            <w:noProof/>
            <w:webHidden/>
          </w:rPr>
        </w:r>
        <w:r w:rsidR="00976907" w:rsidRPr="004F4C38">
          <w:rPr>
            <w:b/>
            <w:noProof/>
            <w:webHidden/>
          </w:rPr>
          <w:fldChar w:fldCharType="separate"/>
        </w:r>
        <w:r>
          <w:rPr>
            <w:b/>
            <w:noProof/>
            <w:webHidden/>
          </w:rPr>
          <w:t>4</w:t>
        </w:r>
        <w:r w:rsidR="00976907" w:rsidRPr="004F4C38">
          <w:rPr>
            <w:b/>
            <w:noProof/>
            <w:webHidden/>
          </w:rPr>
          <w:fldChar w:fldCharType="end"/>
        </w:r>
      </w:hyperlink>
    </w:p>
    <w:p w14:paraId="1331F653" w14:textId="77777777" w:rsidR="00976907" w:rsidRPr="004F4C38" w:rsidRDefault="009849E8" w:rsidP="004F4C38">
      <w:pPr>
        <w:tabs>
          <w:tab w:val="right" w:leader="dot" w:pos="9072"/>
        </w:tabs>
        <w:rPr>
          <w:rFonts w:asciiTheme="minorHAnsi" w:eastAsiaTheme="minorEastAsia" w:hAnsiTheme="minorHAnsi" w:cstheme="minorBidi"/>
          <w:b/>
          <w:bCs/>
          <w:noProof/>
        </w:rPr>
      </w:pPr>
      <w:hyperlink w:anchor="_Toc498599767" w:history="1">
        <w:r w:rsidR="00976907" w:rsidRPr="004F4C38">
          <w:rPr>
            <w:rStyle w:val="Hyperlink"/>
            <w:b/>
            <w:noProof/>
          </w:rPr>
          <w:t>Principles</w:t>
        </w:r>
        <w:r w:rsidR="00976907" w:rsidRPr="004F4C38">
          <w:rPr>
            <w:b/>
            <w:noProof/>
            <w:webHidden/>
          </w:rPr>
          <w:tab/>
        </w:r>
        <w:r w:rsidR="00976907" w:rsidRPr="004F4C38">
          <w:rPr>
            <w:b/>
            <w:noProof/>
            <w:webHidden/>
          </w:rPr>
          <w:fldChar w:fldCharType="begin"/>
        </w:r>
        <w:r w:rsidR="00976907" w:rsidRPr="004F4C38">
          <w:rPr>
            <w:b/>
            <w:noProof/>
            <w:webHidden/>
          </w:rPr>
          <w:instrText xml:space="preserve"> PAGEREF _Toc498599767 \h </w:instrText>
        </w:r>
        <w:r w:rsidR="00976907" w:rsidRPr="004F4C38">
          <w:rPr>
            <w:b/>
            <w:noProof/>
            <w:webHidden/>
          </w:rPr>
        </w:r>
        <w:r w:rsidR="00976907" w:rsidRPr="004F4C38">
          <w:rPr>
            <w:b/>
            <w:noProof/>
            <w:webHidden/>
          </w:rPr>
          <w:fldChar w:fldCharType="separate"/>
        </w:r>
        <w:r>
          <w:rPr>
            <w:b/>
            <w:noProof/>
            <w:webHidden/>
          </w:rPr>
          <w:t>4</w:t>
        </w:r>
        <w:r w:rsidR="00976907" w:rsidRPr="004F4C38">
          <w:rPr>
            <w:b/>
            <w:noProof/>
            <w:webHidden/>
          </w:rPr>
          <w:fldChar w:fldCharType="end"/>
        </w:r>
      </w:hyperlink>
    </w:p>
    <w:p w14:paraId="7EC37FD4" w14:textId="77777777" w:rsidR="00976907" w:rsidRPr="004F4C38" w:rsidRDefault="009849E8" w:rsidP="004F4C38">
      <w:pPr>
        <w:tabs>
          <w:tab w:val="right" w:leader="dot" w:pos="9072"/>
        </w:tabs>
        <w:rPr>
          <w:rFonts w:asciiTheme="minorHAnsi" w:eastAsiaTheme="minorEastAsia" w:hAnsiTheme="minorHAnsi" w:cstheme="minorBidi"/>
          <w:b/>
          <w:bCs/>
          <w:noProof/>
        </w:rPr>
      </w:pPr>
      <w:hyperlink w:anchor="_Toc498599768" w:history="1">
        <w:r w:rsidR="00976907" w:rsidRPr="004F4C38">
          <w:rPr>
            <w:rStyle w:val="Hyperlink"/>
            <w:b/>
            <w:noProof/>
          </w:rPr>
          <w:t>Background</w:t>
        </w:r>
        <w:r w:rsidR="00976907" w:rsidRPr="004F4C38">
          <w:rPr>
            <w:b/>
            <w:noProof/>
            <w:webHidden/>
          </w:rPr>
          <w:tab/>
        </w:r>
        <w:r w:rsidR="00976907" w:rsidRPr="004F4C38">
          <w:rPr>
            <w:b/>
            <w:noProof/>
            <w:webHidden/>
          </w:rPr>
          <w:fldChar w:fldCharType="begin"/>
        </w:r>
        <w:r w:rsidR="00976907" w:rsidRPr="004F4C38">
          <w:rPr>
            <w:b/>
            <w:noProof/>
            <w:webHidden/>
          </w:rPr>
          <w:instrText xml:space="preserve"> PAGEREF _Toc498599768 \h </w:instrText>
        </w:r>
        <w:r w:rsidR="00976907" w:rsidRPr="004F4C38">
          <w:rPr>
            <w:b/>
            <w:noProof/>
            <w:webHidden/>
          </w:rPr>
        </w:r>
        <w:r w:rsidR="00976907" w:rsidRPr="004F4C38">
          <w:rPr>
            <w:b/>
            <w:noProof/>
            <w:webHidden/>
          </w:rPr>
          <w:fldChar w:fldCharType="separate"/>
        </w:r>
        <w:r>
          <w:rPr>
            <w:b/>
            <w:noProof/>
            <w:webHidden/>
          </w:rPr>
          <w:t>4</w:t>
        </w:r>
        <w:r w:rsidR="00976907" w:rsidRPr="004F4C38">
          <w:rPr>
            <w:b/>
            <w:noProof/>
            <w:webHidden/>
          </w:rPr>
          <w:fldChar w:fldCharType="end"/>
        </w:r>
      </w:hyperlink>
    </w:p>
    <w:p w14:paraId="2D0BD244" w14:textId="77777777" w:rsidR="00976907" w:rsidRPr="004F4C38" w:rsidRDefault="009849E8" w:rsidP="004F4C38">
      <w:pPr>
        <w:tabs>
          <w:tab w:val="right" w:leader="dot" w:pos="9072"/>
        </w:tabs>
        <w:rPr>
          <w:rFonts w:asciiTheme="minorHAnsi" w:eastAsiaTheme="minorEastAsia" w:hAnsiTheme="minorHAnsi" w:cstheme="minorBidi"/>
          <w:b/>
          <w:bCs/>
          <w:noProof/>
        </w:rPr>
      </w:pPr>
      <w:hyperlink w:anchor="_Toc498599769" w:history="1">
        <w:r w:rsidR="00976907" w:rsidRPr="004F4C38">
          <w:rPr>
            <w:rStyle w:val="Hyperlink"/>
            <w:b/>
            <w:noProof/>
          </w:rPr>
          <w:t>Conditions</w:t>
        </w:r>
        <w:r w:rsidR="00976907" w:rsidRPr="004F4C38">
          <w:rPr>
            <w:b/>
            <w:noProof/>
            <w:webHidden/>
          </w:rPr>
          <w:tab/>
        </w:r>
        <w:r w:rsidR="00976907" w:rsidRPr="004F4C38">
          <w:rPr>
            <w:b/>
            <w:noProof/>
            <w:webHidden/>
          </w:rPr>
          <w:fldChar w:fldCharType="begin"/>
        </w:r>
        <w:r w:rsidR="00976907" w:rsidRPr="004F4C38">
          <w:rPr>
            <w:b/>
            <w:noProof/>
            <w:webHidden/>
          </w:rPr>
          <w:instrText xml:space="preserve"> PAGEREF _Toc498599769 \h </w:instrText>
        </w:r>
        <w:r w:rsidR="00976907" w:rsidRPr="004F4C38">
          <w:rPr>
            <w:b/>
            <w:noProof/>
            <w:webHidden/>
          </w:rPr>
        </w:r>
        <w:r w:rsidR="00976907" w:rsidRPr="004F4C38">
          <w:rPr>
            <w:b/>
            <w:noProof/>
            <w:webHidden/>
          </w:rPr>
          <w:fldChar w:fldCharType="separate"/>
        </w:r>
        <w:r>
          <w:rPr>
            <w:b/>
            <w:noProof/>
            <w:webHidden/>
          </w:rPr>
          <w:t>5</w:t>
        </w:r>
        <w:r w:rsidR="00976907" w:rsidRPr="004F4C38">
          <w:rPr>
            <w:b/>
            <w:noProof/>
            <w:webHidden/>
          </w:rPr>
          <w:fldChar w:fldCharType="end"/>
        </w:r>
      </w:hyperlink>
    </w:p>
    <w:p w14:paraId="398E440F" w14:textId="77777777" w:rsidR="00976907" w:rsidRPr="004F4C38" w:rsidRDefault="009849E8" w:rsidP="004F4C38">
      <w:pPr>
        <w:tabs>
          <w:tab w:val="right" w:leader="dot" w:pos="9072"/>
        </w:tabs>
        <w:rPr>
          <w:rFonts w:asciiTheme="minorHAnsi" w:eastAsiaTheme="minorEastAsia" w:hAnsiTheme="minorHAnsi" w:cstheme="minorBidi"/>
          <w:b/>
          <w:bCs/>
          <w:noProof/>
        </w:rPr>
      </w:pPr>
      <w:hyperlink w:anchor="_Toc498599770" w:history="1">
        <w:r w:rsidR="00976907" w:rsidRPr="004F4C38">
          <w:rPr>
            <w:rStyle w:val="Hyperlink"/>
            <w:b/>
            <w:noProof/>
          </w:rPr>
          <w:t>Exclusions</w:t>
        </w:r>
        <w:r w:rsidR="00976907" w:rsidRPr="004F4C38">
          <w:rPr>
            <w:b/>
            <w:noProof/>
            <w:webHidden/>
          </w:rPr>
          <w:tab/>
        </w:r>
        <w:r w:rsidR="00976907" w:rsidRPr="004F4C38">
          <w:rPr>
            <w:b/>
            <w:noProof/>
            <w:webHidden/>
          </w:rPr>
          <w:fldChar w:fldCharType="begin"/>
        </w:r>
        <w:r w:rsidR="00976907" w:rsidRPr="004F4C38">
          <w:rPr>
            <w:b/>
            <w:noProof/>
            <w:webHidden/>
          </w:rPr>
          <w:instrText xml:space="preserve"> PAGEREF _Toc498599770 \h </w:instrText>
        </w:r>
        <w:r w:rsidR="00976907" w:rsidRPr="004F4C38">
          <w:rPr>
            <w:b/>
            <w:noProof/>
            <w:webHidden/>
          </w:rPr>
        </w:r>
        <w:r w:rsidR="00976907" w:rsidRPr="004F4C38">
          <w:rPr>
            <w:b/>
            <w:noProof/>
            <w:webHidden/>
          </w:rPr>
          <w:fldChar w:fldCharType="separate"/>
        </w:r>
        <w:r>
          <w:rPr>
            <w:b/>
            <w:noProof/>
            <w:webHidden/>
          </w:rPr>
          <w:t>5</w:t>
        </w:r>
        <w:r w:rsidR="00976907" w:rsidRPr="004F4C38">
          <w:rPr>
            <w:b/>
            <w:noProof/>
            <w:webHidden/>
          </w:rPr>
          <w:fldChar w:fldCharType="end"/>
        </w:r>
      </w:hyperlink>
    </w:p>
    <w:p w14:paraId="4F2AEC5E" w14:textId="77777777" w:rsidR="00062CA2" w:rsidRDefault="00062CA2" w:rsidP="00FA735A">
      <w:r>
        <w:fldChar w:fldCharType="end"/>
      </w:r>
    </w:p>
    <w:p w14:paraId="690BB122" w14:textId="77777777" w:rsidR="000B3B15" w:rsidRDefault="000B3B15">
      <w:pPr>
        <w:spacing w:before="0" w:after="160" w:line="259" w:lineRule="auto"/>
      </w:pPr>
      <w:r>
        <w:br w:type="page"/>
      </w:r>
    </w:p>
    <w:p w14:paraId="2F6A24A6" w14:textId="5BC37CFB" w:rsidR="00DA0BE2" w:rsidRPr="0049086B" w:rsidRDefault="00B37B02" w:rsidP="00976907">
      <w:pPr>
        <w:pStyle w:val="Heading1"/>
      </w:pPr>
      <w:bookmarkStart w:id="5" w:name="_Toc498599766"/>
      <w:r>
        <w:lastRenderedPageBreak/>
        <w:t>Policy statement</w:t>
      </w:r>
      <w:bookmarkEnd w:id="5"/>
    </w:p>
    <w:p w14:paraId="759E9F31" w14:textId="77777777" w:rsidR="00976907" w:rsidRDefault="00976907" w:rsidP="00976907">
      <w:r>
        <w:t xml:space="preserve">This policy authorises the use of the following instruments by the </w:t>
      </w:r>
      <w:r w:rsidRPr="009638A5">
        <w:t>Australian Health Practitioner Regulation Agency (AHPRA)</w:t>
      </w:r>
      <w:r>
        <w:t xml:space="preserve"> to </w:t>
      </w:r>
      <w:r w:rsidRPr="004E79A9">
        <w:t>make, manage, keep and, if appropriate, preserve</w:t>
      </w:r>
      <w:r>
        <w:t xml:space="preserve"> their records:</w:t>
      </w:r>
    </w:p>
    <w:p w14:paraId="614E1E39" w14:textId="77777777" w:rsidR="00976907" w:rsidRDefault="00976907" w:rsidP="00976907">
      <w:pPr>
        <w:pStyle w:val="ListParagraph"/>
        <w:numPr>
          <w:ilvl w:val="0"/>
          <w:numId w:val="32"/>
        </w:numPr>
        <w:spacing w:before="0" w:after="160" w:line="259" w:lineRule="auto"/>
        <w:contextualSpacing/>
        <w:rPr>
          <w:rFonts w:cs="Arial"/>
        </w:rPr>
      </w:pPr>
      <w:r w:rsidRPr="004E79A9">
        <w:rPr>
          <w:rFonts w:cs="Arial"/>
        </w:rPr>
        <w:t xml:space="preserve">Public Records Office of Victoria (PROV) recordkeeping policy, standards, guidelines and legislation to manage AHPRA records </w:t>
      </w:r>
      <w:r>
        <w:rPr>
          <w:rFonts w:cs="Arial"/>
        </w:rPr>
        <w:t>created on or after 1 July 2010</w:t>
      </w:r>
    </w:p>
    <w:p w14:paraId="0CEA61A1" w14:textId="77777777" w:rsidR="00976907" w:rsidRPr="004E79A9" w:rsidRDefault="00976907" w:rsidP="00976907">
      <w:pPr>
        <w:pStyle w:val="ListParagraph"/>
        <w:numPr>
          <w:ilvl w:val="0"/>
          <w:numId w:val="32"/>
        </w:numPr>
        <w:spacing w:before="0" w:after="160" w:line="259" w:lineRule="auto"/>
        <w:contextualSpacing/>
        <w:rPr>
          <w:rFonts w:cs="Arial"/>
        </w:rPr>
      </w:pPr>
      <w:r>
        <w:rPr>
          <w:rFonts w:cs="Arial"/>
        </w:rPr>
        <w:t>PROV Retention and Disposal Authority (RDA) endorsed by the Council of Australasian Archives and Records Authorities (CAARA) on 3 November 2017 to dispose of AHPRA records created on or after 1 July 2010.</w:t>
      </w:r>
    </w:p>
    <w:p w14:paraId="49E68F5B" w14:textId="70A4DE08" w:rsidR="000B3B15" w:rsidRDefault="00B37B02" w:rsidP="00DA0BE2">
      <w:pPr>
        <w:pStyle w:val="Heading1"/>
      </w:pPr>
      <w:bookmarkStart w:id="6" w:name="_Toc498599767"/>
      <w:r w:rsidRPr="00B37B02">
        <w:t>Principles</w:t>
      </w:r>
      <w:bookmarkEnd w:id="6"/>
    </w:p>
    <w:p w14:paraId="37058B35" w14:textId="77777777" w:rsidR="00976907" w:rsidRDefault="00976907" w:rsidP="00976907">
      <w:pPr>
        <w:autoSpaceDE w:val="0"/>
        <w:autoSpaceDN w:val="0"/>
        <w:adjustRightInd w:val="0"/>
      </w:pPr>
      <w:r>
        <w:t xml:space="preserve">To ensure that the responsibilities of the public authority (AHPRA) under the </w:t>
      </w:r>
      <w:r w:rsidRPr="009638A5">
        <w:rPr>
          <w:i/>
          <w:iCs/>
        </w:rPr>
        <w:t>Public Records Act 2002</w:t>
      </w:r>
      <w:r>
        <w:t xml:space="preserve"> outlined in s.7, s.8, s.9, s.12, s.13 and s.14 are met, the State Archivist authorises the use of PROV recordkeeping policy, standards, guidelines and legislation to manage AHPRA records created on or after 1 July 2010. </w:t>
      </w:r>
    </w:p>
    <w:p w14:paraId="209C9CA6" w14:textId="7422134D" w:rsidR="00976907" w:rsidRPr="00976907" w:rsidRDefault="00976907" w:rsidP="00976907">
      <w:pPr>
        <w:autoSpaceDE w:val="0"/>
        <w:autoSpaceDN w:val="0"/>
        <w:adjustRightInd w:val="0"/>
      </w:pPr>
      <w:r>
        <w:t xml:space="preserve">To ensure that the responsibilities of the archivist under the </w:t>
      </w:r>
      <w:r w:rsidRPr="009638A5">
        <w:rPr>
          <w:i/>
          <w:iCs/>
        </w:rPr>
        <w:t>Public Records Act 2002</w:t>
      </w:r>
      <w:r>
        <w:t xml:space="preserve"> outlined in s.26 are met, the State Archivist authorises the use of the PROV RDA endorsed by CAARA for the disposal of AHPRA records created on or after 1 July 2010 whilst this PROV RDA is current. </w:t>
      </w:r>
    </w:p>
    <w:p w14:paraId="74569328" w14:textId="2BD4C12B" w:rsidR="00DA0BE2" w:rsidRDefault="00B37B02" w:rsidP="00976907">
      <w:pPr>
        <w:pStyle w:val="Heading1"/>
      </w:pPr>
      <w:bookmarkStart w:id="7" w:name="_Toc498599768"/>
      <w:r>
        <w:t>Background</w:t>
      </w:r>
      <w:bookmarkEnd w:id="7"/>
    </w:p>
    <w:p w14:paraId="59757068" w14:textId="77777777" w:rsidR="00976907" w:rsidRPr="009638A5" w:rsidRDefault="00976907" w:rsidP="00976907">
      <w:r>
        <w:t>AHPRA</w:t>
      </w:r>
      <w:r w:rsidRPr="009638A5">
        <w:t>, first established on 1 July 2010, is responsible for the administration of the National Registration and Accreditation Scheme (NRAS). The NRAS is for the registration and accreditation of health practitioners across Australia. The NRAS is implemented by the Health Practitioner Regulation National Law (the Na</w:t>
      </w:r>
      <w:r>
        <w:t xml:space="preserve">tional Law) which is enacted in </w:t>
      </w:r>
      <w:r w:rsidRPr="009638A5">
        <w:t xml:space="preserve">each Australian State and Territory by legislation in that State or Territory. The National Law makes provision for a single regulatory framework for AHPRA’s privacy and freedom of information obligations by referring to the Commonwealth legislation. At this time, the National Law is silent on a single regulatory framework for AHPRA’s recordkeeping obligations for the management and disposal of their records. </w:t>
      </w:r>
    </w:p>
    <w:p w14:paraId="09662B03" w14:textId="77777777" w:rsidR="00976907" w:rsidRPr="009638A5" w:rsidRDefault="00976907" w:rsidP="00976907">
      <w:r w:rsidRPr="009638A5">
        <w:t>Because there is no provision for a single regulatory framework for AHPRA’s recordkeeping obli</w:t>
      </w:r>
      <w:r>
        <w:t xml:space="preserve">gations under the National Law – and AHPRA is established under legislation in each Australian State and Territory – this </w:t>
      </w:r>
      <w:r w:rsidRPr="009638A5">
        <w:t xml:space="preserve">means that AHPRA is concurrently subject to the recordkeeping policy, </w:t>
      </w:r>
      <w:r>
        <w:t xml:space="preserve">standards, guidelines </w:t>
      </w:r>
      <w:r w:rsidRPr="009638A5">
        <w:t xml:space="preserve">and </w:t>
      </w:r>
      <w:r>
        <w:t xml:space="preserve">legislation for each </w:t>
      </w:r>
      <w:r w:rsidRPr="009638A5">
        <w:t xml:space="preserve">State and Territory. </w:t>
      </w:r>
    </w:p>
    <w:p w14:paraId="2F8CD4C7" w14:textId="77777777" w:rsidR="00976907" w:rsidRDefault="00976907" w:rsidP="00976907">
      <w:r>
        <w:t>Each archives and records authority</w:t>
      </w:r>
      <w:r w:rsidRPr="009638A5">
        <w:t xml:space="preserve"> in each Aust</w:t>
      </w:r>
      <w:r>
        <w:t xml:space="preserve">ralian State and Territory endorsed the move to have </w:t>
      </w:r>
      <w:r w:rsidRPr="009638A5">
        <w:t>a single archival host</w:t>
      </w:r>
      <w:r>
        <w:t>, PROV,</w:t>
      </w:r>
      <w:r w:rsidRPr="009638A5">
        <w:t xml:space="preserve"> for the management and</w:t>
      </w:r>
      <w:r>
        <w:t xml:space="preserve"> disposal of AHPRA records</w:t>
      </w:r>
      <w:r w:rsidRPr="009638A5">
        <w:t xml:space="preserve">. This proposal </w:t>
      </w:r>
      <w:r>
        <w:t xml:space="preserve">for a </w:t>
      </w:r>
      <w:r w:rsidRPr="009638A5">
        <w:t xml:space="preserve">suitable single regulatory framework </w:t>
      </w:r>
      <w:r>
        <w:t>w</w:t>
      </w:r>
      <w:r w:rsidRPr="009638A5">
        <w:t xml:space="preserve">as </w:t>
      </w:r>
      <w:r>
        <w:t>approved by CAARA in 2017. Additionally, PROV</w:t>
      </w:r>
      <w:r w:rsidRPr="009638A5">
        <w:t xml:space="preserve"> has prepared a R</w:t>
      </w:r>
      <w:r>
        <w:t xml:space="preserve">DA </w:t>
      </w:r>
      <w:r w:rsidRPr="009638A5">
        <w:t xml:space="preserve">with </w:t>
      </w:r>
      <w:r>
        <w:t>CAARA</w:t>
      </w:r>
      <w:r w:rsidRPr="009638A5">
        <w:t xml:space="preserve"> for the disposal of AHPRA records</w:t>
      </w:r>
      <w:r>
        <w:t xml:space="preserve"> which was endorsed by CAARA on 3 November 2017. </w:t>
      </w:r>
    </w:p>
    <w:p w14:paraId="5D1EB00D" w14:textId="4F19BC30" w:rsidR="007637D4" w:rsidRDefault="00976907" w:rsidP="00976907">
      <w:r w:rsidRPr="009638A5">
        <w:t xml:space="preserve">To enact the single archival host for the management and disposal of AHPRA records, each archives and records authority in each Australian State and Territory will authorise the use of PROV </w:t>
      </w:r>
      <w:r>
        <w:t xml:space="preserve">recordkeeping policy, standards, guidelines and legislation </w:t>
      </w:r>
      <w:r w:rsidRPr="009638A5">
        <w:t xml:space="preserve">for the management of </w:t>
      </w:r>
      <w:r w:rsidRPr="009638A5">
        <w:lastRenderedPageBreak/>
        <w:t xml:space="preserve">AHPRA records and the </w:t>
      </w:r>
      <w:r>
        <w:t xml:space="preserve">use of the PROV </w:t>
      </w:r>
      <w:r w:rsidRPr="009638A5">
        <w:t xml:space="preserve">RDA </w:t>
      </w:r>
      <w:r>
        <w:t xml:space="preserve">endorsed by CAARA </w:t>
      </w:r>
      <w:r w:rsidRPr="009638A5">
        <w:t>for the disposal of AHPRA records.</w:t>
      </w:r>
    </w:p>
    <w:p w14:paraId="120B418C" w14:textId="4704E4AD" w:rsidR="0077635D" w:rsidRPr="00C9299B" w:rsidRDefault="00B37B02" w:rsidP="00B05D62">
      <w:pPr>
        <w:pStyle w:val="Heading1"/>
      </w:pPr>
      <w:bookmarkStart w:id="8" w:name="_Toc498599769"/>
      <w:r>
        <w:t>Conditions</w:t>
      </w:r>
      <w:bookmarkEnd w:id="8"/>
      <w:r w:rsidR="0077635D" w:rsidRPr="00C9299B">
        <w:t xml:space="preserve"> </w:t>
      </w:r>
    </w:p>
    <w:p w14:paraId="4A95D4C5" w14:textId="5088BFB8" w:rsidR="00976907" w:rsidRDefault="00820373" w:rsidP="00976907">
      <w:pPr>
        <w:autoSpaceDE w:val="0"/>
        <w:autoSpaceDN w:val="0"/>
        <w:adjustRightInd w:val="0"/>
      </w:pPr>
      <w:r>
        <w:t xml:space="preserve">AHPRA must seek </w:t>
      </w:r>
      <w:r w:rsidR="00976907">
        <w:t>further written authorisation from</w:t>
      </w:r>
      <w:r>
        <w:t xml:space="preserve"> the State Archivist</w:t>
      </w:r>
      <w:r w:rsidR="00976907">
        <w:t xml:space="preserve"> for the management and disposal of AHPRA records if the PROV RDA endorsed by CAARA is reviewed or revoked at a future date. </w:t>
      </w:r>
    </w:p>
    <w:p w14:paraId="3395B194" w14:textId="187E16CA" w:rsidR="00B37B02" w:rsidRPr="00976907" w:rsidRDefault="00976907" w:rsidP="00976907">
      <w:pPr>
        <w:autoSpaceDE w:val="0"/>
        <w:autoSpaceDN w:val="0"/>
        <w:adjustRightInd w:val="0"/>
      </w:pPr>
      <w:r>
        <w:t xml:space="preserve">AHPRA will still be bound by the </w:t>
      </w:r>
      <w:r>
        <w:rPr>
          <w:i/>
          <w:iCs/>
        </w:rPr>
        <w:t xml:space="preserve">Public Records Act 2002 </w:t>
      </w:r>
      <w:r>
        <w:t xml:space="preserve">but may carry out the day to day management of its public records in accordance with PROV </w:t>
      </w:r>
      <w:r w:rsidR="00660F94">
        <w:t>recordkeeping policy, standards, guidelines and legislation</w:t>
      </w:r>
      <w:r>
        <w:t>.</w:t>
      </w:r>
      <w:r w:rsidR="000B3B15" w:rsidRPr="00012E7B">
        <w:t xml:space="preserve"> </w:t>
      </w:r>
    </w:p>
    <w:p w14:paraId="37D374C9" w14:textId="3F8B1C23" w:rsidR="00B37B02" w:rsidRPr="00C9299B" w:rsidRDefault="00B37B02" w:rsidP="00B37B02">
      <w:pPr>
        <w:pStyle w:val="Heading1"/>
      </w:pPr>
      <w:bookmarkStart w:id="9" w:name="_Toc498599770"/>
      <w:r>
        <w:t>Exclusions</w:t>
      </w:r>
      <w:bookmarkEnd w:id="9"/>
      <w:r w:rsidRPr="00C9299B">
        <w:t xml:space="preserve"> </w:t>
      </w:r>
    </w:p>
    <w:p w14:paraId="7016DAC4" w14:textId="34B9A13C" w:rsidR="00B37B02" w:rsidRPr="00976907" w:rsidRDefault="00976907" w:rsidP="00976907">
      <w:pPr>
        <w:autoSpaceDE w:val="0"/>
        <w:autoSpaceDN w:val="0"/>
        <w:adjustRightInd w:val="0"/>
      </w:pPr>
      <w:r>
        <w:t>This authorisation does not apply to the Queensland records created before 1 July 2010 by predecessor agencies of AHPRA where AHPRA is the responsible agency for these records</w:t>
      </w:r>
      <w:r w:rsidR="00DC6DF8">
        <w:t xml:space="preserve"> in Queensland State Archives’ collection</w:t>
      </w:r>
      <w:r>
        <w:t xml:space="preserve"> under the </w:t>
      </w:r>
      <w:r w:rsidRPr="009638A5">
        <w:rPr>
          <w:i/>
          <w:iCs/>
        </w:rPr>
        <w:t>Public Records Act 2002</w:t>
      </w:r>
      <w:r>
        <w:t xml:space="preserve">. </w:t>
      </w:r>
    </w:p>
    <w:sectPr w:rsidR="00B37B02" w:rsidRPr="00976907" w:rsidSect="005A208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F5833" w14:textId="77777777" w:rsidR="0086621D" w:rsidRDefault="0086621D" w:rsidP="005A2086">
      <w:r>
        <w:separator/>
      </w:r>
    </w:p>
  </w:endnote>
  <w:endnote w:type="continuationSeparator" w:id="0">
    <w:p w14:paraId="15C70835" w14:textId="77777777" w:rsidR="0086621D" w:rsidRDefault="0086621D" w:rsidP="005A2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F2AC8" w14:textId="77777777" w:rsidR="00D14D21" w:rsidRDefault="00D14D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5885619"/>
      <w:docPartObj>
        <w:docPartGallery w:val="Page Numbers (Bottom of Page)"/>
        <w:docPartUnique/>
      </w:docPartObj>
    </w:sdtPr>
    <w:sdtEndPr/>
    <w:sdtContent>
      <w:p w14:paraId="6C4AA70A" w14:textId="77777777" w:rsidR="00FF424F" w:rsidRPr="005A2086" w:rsidRDefault="00FF424F" w:rsidP="00FA735A">
        <w:pPr>
          <w:pStyle w:val="Footer"/>
        </w:pPr>
        <w:r w:rsidRPr="00D900BD">
          <w:fldChar w:fldCharType="begin"/>
        </w:r>
        <w:r w:rsidRPr="00D900BD">
          <w:instrText xml:space="preserve"> PAGE   \* MERGEFORMAT </w:instrText>
        </w:r>
        <w:r w:rsidRPr="00D900BD">
          <w:fldChar w:fldCharType="separate"/>
        </w:r>
        <w:r w:rsidR="009849E8">
          <w:rPr>
            <w:noProof/>
          </w:rPr>
          <w:t>2</w:t>
        </w:r>
        <w:r w:rsidRPr="00D900BD">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36BF4" w14:textId="77777777" w:rsidR="00FF424F" w:rsidRDefault="00FF424F" w:rsidP="00D900BD">
    <w:pPr>
      <w:pStyle w:val="Footer"/>
    </w:pPr>
    <w:r>
      <w:rPr>
        <w:noProof/>
        <w:lang w:eastAsia="en-AU"/>
      </w:rPr>
      <w:drawing>
        <wp:anchor distT="0" distB="0" distL="114300" distR="114300" simplePos="0" relativeHeight="251658240" behindDoc="0" locked="0" layoutInCell="1" allowOverlap="1" wp14:anchorId="4FFCA129" wp14:editId="3E24659F">
          <wp:simplePos x="0" y="0"/>
          <wp:positionH relativeFrom="page">
            <wp:align>left</wp:align>
          </wp:positionH>
          <wp:positionV relativeFrom="paragraph">
            <wp:posOffset>-3721068</wp:posOffset>
          </wp:positionV>
          <wp:extent cx="7554390" cy="4417800"/>
          <wp:effectExtent l="0" t="0" r="889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K template cover.jpg"/>
                  <pic:cNvPicPr/>
                </pic:nvPicPr>
                <pic:blipFill>
                  <a:blip r:embed="rId1">
                    <a:extLst>
                      <a:ext uri="{28A0092B-C50C-407E-A947-70E740481C1C}">
                        <a14:useLocalDpi xmlns:a14="http://schemas.microsoft.com/office/drawing/2010/main" val="0"/>
                      </a:ext>
                    </a:extLst>
                  </a:blip>
                  <a:stretch>
                    <a:fillRect/>
                  </a:stretch>
                </pic:blipFill>
                <pic:spPr>
                  <a:xfrm>
                    <a:off x="0" y="0"/>
                    <a:ext cx="7554390" cy="4417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900027" w14:textId="77777777" w:rsidR="0086621D" w:rsidRDefault="0086621D" w:rsidP="005A2086">
      <w:r>
        <w:separator/>
      </w:r>
    </w:p>
  </w:footnote>
  <w:footnote w:type="continuationSeparator" w:id="0">
    <w:p w14:paraId="35ECCF96" w14:textId="77777777" w:rsidR="0086621D" w:rsidRDefault="0086621D" w:rsidP="005A20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63E3A" w14:textId="77777777" w:rsidR="00D14D21" w:rsidRDefault="00D14D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57C29" w14:textId="26069519" w:rsidR="00FF424F" w:rsidRDefault="00FF424F" w:rsidP="005A2086">
    <w:pPr>
      <w:pStyle w:val="Header"/>
    </w:pPr>
    <w:r>
      <w:t>M</w:t>
    </w:r>
    <w:r w:rsidR="00B37B02">
      <w:t>anagement and disposal of AHPRA records by single archival host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94637" w14:textId="77777777" w:rsidR="00D14D21" w:rsidRDefault="00D14D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A2C71"/>
    <w:multiLevelType w:val="multilevel"/>
    <w:tmpl w:val="15BC1EC8"/>
    <w:lvl w:ilvl="0">
      <w:start w:val="1"/>
      <w:numFmt w:val="decimal"/>
      <w:pStyle w:val="ListNumber"/>
      <w:lvlText w:val="%1."/>
      <w:lvlJc w:val="left"/>
      <w:pPr>
        <w:tabs>
          <w:tab w:val="num" w:pos="340"/>
        </w:tabs>
        <w:ind w:left="680" w:hanging="396"/>
      </w:pPr>
      <w:rPr>
        <w:rFonts w:hint="default"/>
      </w:rPr>
    </w:lvl>
    <w:lvl w:ilvl="1">
      <w:start w:val="1"/>
      <w:numFmt w:val="lowerLetter"/>
      <w:pStyle w:val="ListNumber2"/>
      <w:lvlText w:val="%2."/>
      <w:lvlJc w:val="left"/>
      <w:pPr>
        <w:tabs>
          <w:tab w:val="num" w:pos="737"/>
        </w:tabs>
        <w:ind w:left="1077" w:hanging="396"/>
      </w:pPr>
      <w:rPr>
        <w:rFonts w:ascii="Arial" w:hAnsi="Arial" w:hint="default"/>
        <w:sz w:val="22"/>
      </w:rPr>
    </w:lvl>
    <w:lvl w:ilvl="2">
      <w:start w:val="1"/>
      <w:numFmt w:val="lowerRoman"/>
      <w:pStyle w:val="ListNumber3"/>
      <w:lvlText w:val="%3."/>
      <w:lvlJc w:val="left"/>
      <w:pPr>
        <w:tabs>
          <w:tab w:val="num" w:pos="1134"/>
        </w:tabs>
        <w:ind w:left="1474" w:hanging="396"/>
      </w:pPr>
      <w:rPr>
        <w:rFonts w:hint="default"/>
      </w:rPr>
    </w:lvl>
    <w:lvl w:ilvl="3">
      <w:start w:val="1"/>
      <w:numFmt w:val="decimal"/>
      <w:pStyle w:val="ListNumber4"/>
      <w:lvlText w:val="%4."/>
      <w:lvlJc w:val="left"/>
      <w:pPr>
        <w:tabs>
          <w:tab w:val="num" w:pos="1531"/>
        </w:tabs>
        <w:ind w:left="1871" w:hanging="396"/>
      </w:pPr>
      <w:rPr>
        <w:rFonts w:hint="default"/>
      </w:rPr>
    </w:lvl>
    <w:lvl w:ilvl="4">
      <w:start w:val="1"/>
      <w:numFmt w:val="lowerLetter"/>
      <w:pStyle w:val="ListNumber5"/>
      <w:lvlText w:val="%5."/>
      <w:lvlJc w:val="left"/>
      <w:pPr>
        <w:tabs>
          <w:tab w:val="num" w:pos="1928"/>
        </w:tabs>
        <w:ind w:left="2268" w:hanging="396"/>
      </w:pPr>
      <w:rPr>
        <w:rFonts w:hint="default"/>
      </w:rPr>
    </w:lvl>
    <w:lvl w:ilvl="5">
      <w:start w:val="1"/>
      <w:numFmt w:val="none"/>
      <w:lvlText w:val="%6"/>
      <w:lvlJc w:val="right"/>
      <w:pPr>
        <w:tabs>
          <w:tab w:val="num" w:pos="2325"/>
        </w:tabs>
        <w:ind w:left="2665" w:hanging="396"/>
      </w:pPr>
      <w:rPr>
        <w:rFonts w:hint="default"/>
      </w:rPr>
    </w:lvl>
    <w:lvl w:ilvl="6">
      <w:start w:val="1"/>
      <w:numFmt w:val="none"/>
      <w:lvlText w:val="%7"/>
      <w:lvlJc w:val="left"/>
      <w:pPr>
        <w:tabs>
          <w:tab w:val="num" w:pos="2722"/>
        </w:tabs>
        <w:ind w:left="3062" w:hanging="396"/>
      </w:pPr>
      <w:rPr>
        <w:rFonts w:hint="default"/>
      </w:rPr>
    </w:lvl>
    <w:lvl w:ilvl="7">
      <w:start w:val="1"/>
      <w:numFmt w:val="none"/>
      <w:lvlText w:val="%8"/>
      <w:lvlJc w:val="left"/>
      <w:pPr>
        <w:tabs>
          <w:tab w:val="num" w:pos="3119"/>
        </w:tabs>
        <w:ind w:left="3459" w:hanging="396"/>
      </w:pPr>
      <w:rPr>
        <w:rFonts w:hint="default"/>
      </w:rPr>
    </w:lvl>
    <w:lvl w:ilvl="8">
      <w:start w:val="1"/>
      <w:numFmt w:val="none"/>
      <w:lvlText w:val="%9"/>
      <w:lvlJc w:val="right"/>
      <w:pPr>
        <w:tabs>
          <w:tab w:val="num" w:pos="3516"/>
        </w:tabs>
        <w:ind w:left="3856" w:hanging="396"/>
      </w:pPr>
      <w:rPr>
        <w:rFonts w:hint="default"/>
      </w:rPr>
    </w:lvl>
  </w:abstractNum>
  <w:abstractNum w:abstractNumId="1" w15:restartNumberingAfterBreak="0">
    <w:nsid w:val="072C4E01"/>
    <w:multiLevelType w:val="hybridMultilevel"/>
    <w:tmpl w:val="A44EB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7F6134"/>
    <w:multiLevelType w:val="hybridMultilevel"/>
    <w:tmpl w:val="90CA28A4"/>
    <w:lvl w:ilvl="0" w:tplc="0C090001">
      <w:start w:val="1"/>
      <w:numFmt w:val="bullet"/>
      <w:lvlText w:val=""/>
      <w:lvlJc w:val="left"/>
      <w:pPr>
        <w:tabs>
          <w:tab w:val="num" w:pos="1074"/>
        </w:tabs>
        <w:ind w:left="1074"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1">
      <w:start w:val="1"/>
      <w:numFmt w:val="bullet"/>
      <w:lvlText w:val=""/>
      <w:lvlJc w:val="left"/>
      <w:pPr>
        <w:tabs>
          <w:tab w:val="num" w:pos="2154"/>
        </w:tabs>
        <w:ind w:left="2154" w:hanging="360"/>
      </w:pPr>
      <w:rPr>
        <w:rFonts w:ascii="Symbol" w:hAnsi="Symbol" w:hint="default"/>
      </w:rPr>
    </w:lvl>
    <w:lvl w:ilvl="3" w:tplc="0C090001" w:tentative="1">
      <w:start w:val="1"/>
      <w:numFmt w:val="bullet"/>
      <w:lvlText w:val=""/>
      <w:lvlJc w:val="left"/>
      <w:pPr>
        <w:tabs>
          <w:tab w:val="num" w:pos="2874"/>
        </w:tabs>
        <w:ind w:left="2874" w:hanging="360"/>
      </w:pPr>
      <w:rPr>
        <w:rFonts w:ascii="Symbol" w:hAnsi="Symbol" w:hint="default"/>
      </w:rPr>
    </w:lvl>
    <w:lvl w:ilvl="4" w:tplc="0C090003" w:tentative="1">
      <w:start w:val="1"/>
      <w:numFmt w:val="bullet"/>
      <w:lvlText w:val="o"/>
      <w:lvlJc w:val="left"/>
      <w:pPr>
        <w:tabs>
          <w:tab w:val="num" w:pos="3594"/>
        </w:tabs>
        <w:ind w:left="3594" w:hanging="360"/>
      </w:pPr>
      <w:rPr>
        <w:rFonts w:ascii="Courier New" w:hAnsi="Courier New" w:cs="Courier New" w:hint="default"/>
      </w:rPr>
    </w:lvl>
    <w:lvl w:ilvl="5" w:tplc="0C090005" w:tentative="1">
      <w:start w:val="1"/>
      <w:numFmt w:val="bullet"/>
      <w:lvlText w:val=""/>
      <w:lvlJc w:val="left"/>
      <w:pPr>
        <w:tabs>
          <w:tab w:val="num" w:pos="4314"/>
        </w:tabs>
        <w:ind w:left="4314" w:hanging="360"/>
      </w:pPr>
      <w:rPr>
        <w:rFonts w:ascii="Wingdings" w:hAnsi="Wingdings" w:hint="default"/>
      </w:rPr>
    </w:lvl>
    <w:lvl w:ilvl="6" w:tplc="0C090001" w:tentative="1">
      <w:start w:val="1"/>
      <w:numFmt w:val="bullet"/>
      <w:lvlText w:val=""/>
      <w:lvlJc w:val="left"/>
      <w:pPr>
        <w:tabs>
          <w:tab w:val="num" w:pos="5034"/>
        </w:tabs>
        <w:ind w:left="5034" w:hanging="360"/>
      </w:pPr>
      <w:rPr>
        <w:rFonts w:ascii="Symbol" w:hAnsi="Symbol" w:hint="default"/>
      </w:rPr>
    </w:lvl>
    <w:lvl w:ilvl="7" w:tplc="0C090003" w:tentative="1">
      <w:start w:val="1"/>
      <w:numFmt w:val="bullet"/>
      <w:lvlText w:val="o"/>
      <w:lvlJc w:val="left"/>
      <w:pPr>
        <w:tabs>
          <w:tab w:val="num" w:pos="5754"/>
        </w:tabs>
        <w:ind w:left="5754" w:hanging="360"/>
      </w:pPr>
      <w:rPr>
        <w:rFonts w:ascii="Courier New" w:hAnsi="Courier New" w:cs="Courier New" w:hint="default"/>
      </w:rPr>
    </w:lvl>
    <w:lvl w:ilvl="8" w:tplc="0C090005" w:tentative="1">
      <w:start w:val="1"/>
      <w:numFmt w:val="bullet"/>
      <w:lvlText w:val=""/>
      <w:lvlJc w:val="left"/>
      <w:pPr>
        <w:tabs>
          <w:tab w:val="num" w:pos="6474"/>
        </w:tabs>
        <w:ind w:left="6474" w:hanging="360"/>
      </w:pPr>
      <w:rPr>
        <w:rFonts w:ascii="Wingdings" w:hAnsi="Wingdings" w:hint="default"/>
      </w:rPr>
    </w:lvl>
  </w:abstractNum>
  <w:abstractNum w:abstractNumId="3" w15:restartNumberingAfterBreak="0">
    <w:nsid w:val="0ABA3DAC"/>
    <w:multiLevelType w:val="hybridMultilevel"/>
    <w:tmpl w:val="3CF86296"/>
    <w:lvl w:ilvl="0" w:tplc="0C090001">
      <w:start w:val="1"/>
      <w:numFmt w:val="bullet"/>
      <w:lvlText w:val=""/>
      <w:lvlJc w:val="left"/>
      <w:pPr>
        <w:ind w:left="720" w:hanging="360"/>
      </w:pPr>
      <w:rPr>
        <w:rFonts w:ascii="Symbol" w:hAnsi="Symbol" w:hint="default"/>
      </w:rPr>
    </w:lvl>
    <w:lvl w:ilvl="1" w:tplc="82E4D8F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566C9E"/>
    <w:multiLevelType w:val="hybridMultilevel"/>
    <w:tmpl w:val="4E5CA4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B91FC7"/>
    <w:multiLevelType w:val="hybridMultilevel"/>
    <w:tmpl w:val="0E2E6644"/>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C564C5"/>
    <w:multiLevelType w:val="hybridMultilevel"/>
    <w:tmpl w:val="AAF29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FC0889"/>
    <w:multiLevelType w:val="hybridMultilevel"/>
    <w:tmpl w:val="32649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8E5F9F"/>
    <w:multiLevelType w:val="hybridMultilevel"/>
    <w:tmpl w:val="34CE33D4"/>
    <w:lvl w:ilvl="0" w:tplc="0C090001">
      <w:start w:val="1"/>
      <w:numFmt w:val="bullet"/>
      <w:lvlText w:val=""/>
      <w:lvlJc w:val="left"/>
      <w:pPr>
        <w:ind w:left="720" w:hanging="360"/>
      </w:pPr>
      <w:rPr>
        <w:rFonts w:ascii="Symbol" w:hAnsi="Symbol" w:hint="default"/>
      </w:rPr>
    </w:lvl>
    <w:lvl w:ilvl="1" w:tplc="82E4D8F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ascii="Arial" w:hAnsi="Arial" w:hint="default"/>
        <w:sz w:val="22"/>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10" w15:restartNumberingAfterBreak="0">
    <w:nsid w:val="1AC9548A"/>
    <w:multiLevelType w:val="hybridMultilevel"/>
    <w:tmpl w:val="B6903B92"/>
    <w:lvl w:ilvl="0" w:tplc="0C090001">
      <w:start w:val="1"/>
      <w:numFmt w:val="bullet"/>
      <w:lvlText w:val=""/>
      <w:lvlJc w:val="left"/>
      <w:pPr>
        <w:ind w:left="720" w:hanging="360"/>
      </w:pPr>
      <w:rPr>
        <w:rFonts w:ascii="Symbol" w:hAnsi="Symbol" w:hint="default"/>
      </w:rPr>
    </w:lvl>
    <w:lvl w:ilvl="1" w:tplc="82E4D8F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DD5507"/>
    <w:multiLevelType w:val="hybridMultilevel"/>
    <w:tmpl w:val="7EA2A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2C3EC0"/>
    <w:multiLevelType w:val="hybridMultilevel"/>
    <w:tmpl w:val="E7646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8444AB"/>
    <w:multiLevelType w:val="hybridMultilevel"/>
    <w:tmpl w:val="51D85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165B3F"/>
    <w:multiLevelType w:val="hybridMultilevel"/>
    <w:tmpl w:val="2E20F46E"/>
    <w:lvl w:ilvl="0" w:tplc="9794AAD4">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B44AAE"/>
    <w:multiLevelType w:val="hybridMultilevel"/>
    <w:tmpl w:val="41081D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B323812"/>
    <w:multiLevelType w:val="hybridMultilevel"/>
    <w:tmpl w:val="67628BE2"/>
    <w:lvl w:ilvl="0" w:tplc="0C090001">
      <w:start w:val="1"/>
      <w:numFmt w:val="bullet"/>
      <w:lvlText w:val=""/>
      <w:lvlJc w:val="left"/>
      <w:pPr>
        <w:tabs>
          <w:tab w:val="num" w:pos="717"/>
        </w:tabs>
        <w:ind w:left="717" w:hanging="360"/>
      </w:pPr>
      <w:rPr>
        <w:rFonts w:ascii="Symbol" w:hAnsi="Symbol" w:hint="default"/>
      </w:rPr>
    </w:lvl>
    <w:lvl w:ilvl="1" w:tplc="0C090003">
      <w:start w:val="1"/>
      <w:numFmt w:val="bullet"/>
      <w:lvlText w:val="o"/>
      <w:lvlJc w:val="left"/>
      <w:pPr>
        <w:tabs>
          <w:tab w:val="num" w:pos="1437"/>
        </w:tabs>
        <w:ind w:left="1437" w:hanging="360"/>
      </w:pPr>
      <w:rPr>
        <w:rFonts w:ascii="Courier New" w:hAnsi="Courier New" w:cs="Courier New" w:hint="default"/>
      </w:rPr>
    </w:lvl>
    <w:lvl w:ilvl="2" w:tplc="0C090005" w:tentative="1">
      <w:start w:val="1"/>
      <w:numFmt w:val="bullet"/>
      <w:lvlText w:val=""/>
      <w:lvlJc w:val="left"/>
      <w:pPr>
        <w:tabs>
          <w:tab w:val="num" w:pos="2157"/>
        </w:tabs>
        <w:ind w:left="2157" w:hanging="360"/>
      </w:pPr>
      <w:rPr>
        <w:rFonts w:ascii="Wingdings" w:hAnsi="Wingdings" w:hint="default"/>
      </w:rPr>
    </w:lvl>
    <w:lvl w:ilvl="3" w:tplc="0C090001" w:tentative="1">
      <w:start w:val="1"/>
      <w:numFmt w:val="bullet"/>
      <w:lvlText w:val=""/>
      <w:lvlJc w:val="left"/>
      <w:pPr>
        <w:tabs>
          <w:tab w:val="num" w:pos="2877"/>
        </w:tabs>
        <w:ind w:left="2877" w:hanging="360"/>
      </w:pPr>
      <w:rPr>
        <w:rFonts w:ascii="Symbol" w:hAnsi="Symbol" w:hint="default"/>
      </w:rPr>
    </w:lvl>
    <w:lvl w:ilvl="4" w:tplc="0C090003" w:tentative="1">
      <w:start w:val="1"/>
      <w:numFmt w:val="bullet"/>
      <w:lvlText w:val="o"/>
      <w:lvlJc w:val="left"/>
      <w:pPr>
        <w:tabs>
          <w:tab w:val="num" w:pos="3597"/>
        </w:tabs>
        <w:ind w:left="3597" w:hanging="360"/>
      </w:pPr>
      <w:rPr>
        <w:rFonts w:ascii="Courier New" w:hAnsi="Courier New" w:cs="Courier New" w:hint="default"/>
      </w:rPr>
    </w:lvl>
    <w:lvl w:ilvl="5" w:tplc="0C090005" w:tentative="1">
      <w:start w:val="1"/>
      <w:numFmt w:val="bullet"/>
      <w:lvlText w:val=""/>
      <w:lvlJc w:val="left"/>
      <w:pPr>
        <w:tabs>
          <w:tab w:val="num" w:pos="4317"/>
        </w:tabs>
        <w:ind w:left="4317" w:hanging="360"/>
      </w:pPr>
      <w:rPr>
        <w:rFonts w:ascii="Wingdings" w:hAnsi="Wingdings" w:hint="default"/>
      </w:rPr>
    </w:lvl>
    <w:lvl w:ilvl="6" w:tplc="0C090001" w:tentative="1">
      <w:start w:val="1"/>
      <w:numFmt w:val="bullet"/>
      <w:lvlText w:val=""/>
      <w:lvlJc w:val="left"/>
      <w:pPr>
        <w:tabs>
          <w:tab w:val="num" w:pos="5037"/>
        </w:tabs>
        <w:ind w:left="5037" w:hanging="360"/>
      </w:pPr>
      <w:rPr>
        <w:rFonts w:ascii="Symbol" w:hAnsi="Symbol" w:hint="default"/>
      </w:rPr>
    </w:lvl>
    <w:lvl w:ilvl="7" w:tplc="0C090003" w:tentative="1">
      <w:start w:val="1"/>
      <w:numFmt w:val="bullet"/>
      <w:lvlText w:val="o"/>
      <w:lvlJc w:val="left"/>
      <w:pPr>
        <w:tabs>
          <w:tab w:val="num" w:pos="5757"/>
        </w:tabs>
        <w:ind w:left="5757" w:hanging="360"/>
      </w:pPr>
      <w:rPr>
        <w:rFonts w:ascii="Courier New" w:hAnsi="Courier New" w:cs="Courier New" w:hint="default"/>
      </w:rPr>
    </w:lvl>
    <w:lvl w:ilvl="8" w:tplc="0C090005" w:tentative="1">
      <w:start w:val="1"/>
      <w:numFmt w:val="bullet"/>
      <w:lvlText w:val=""/>
      <w:lvlJc w:val="left"/>
      <w:pPr>
        <w:tabs>
          <w:tab w:val="num" w:pos="6477"/>
        </w:tabs>
        <w:ind w:left="6477" w:hanging="360"/>
      </w:pPr>
      <w:rPr>
        <w:rFonts w:ascii="Wingdings" w:hAnsi="Wingdings" w:hint="default"/>
      </w:rPr>
    </w:lvl>
  </w:abstractNum>
  <w:abstractNum w:abstractNumId="17" w15:restartNumberingAfterBreak="0">
    <w:nsid w:val="41F46AC3"/>
    <w:multiLevelType w:val="hybridMultilevel"/>
    <w:tmpl w:val="1D76B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626F84"/>
    <w:multiLevelType w:val="multilevel"/>
    <w:tmpl w:val="1122C248"/>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7402039"/>
    <w:multiLevelType w:val="hybridMultilevel"/>
    <w:tmpl w:val="91E22F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9552A7"/>
    <w:multiLevelType w:val="multilevel"/>
    <w:tmpl w:val="4B9AE68E"/>
    <w:name w:val="Bullets22"/>
    <w:lvl w:ilvl="0">
      <w:start w:val="1"/>
      <w:numFmt w:val="bullet"/>
      <w:pStyle w:val="ListBullet"/>
      <w:lvlText w:val=""/>
      <w:lvlJc w:val="left"/>
      <w:pPr>
        <w:tabs>
          <w:tab w:val="num" w:pos="680"/>
        </w:tabs>
        <w:ind w:left="680" w:hanging="396"/>
      </w:pPr>
      <w:rPr>
        <w:rFonts w:ascii="Symbol" w:hAnsi="Symbol" w:hint="default"/>
        <w:color w:val="auto"/>
      </w:rPr>
    </w:lvl>
    <w:lvl w:ilvl="1">
      <w:start w:val="1"/>
      <w:numFmt w:val="bullet"/>
      <w:pStyle w:val="ListBullet2"/>
      <w:lvlText w:val="–"/>
      <w:lvlJc w:val="left"/>
      <w:pPr>
        <w:tabs>
          <w:tab w:val="num" w:pos="1077"/>
        </w:tabs>
        <w:ind w:left="1077" w:hanging="396"/>
      </w:pPr>
      <w:rPr>
        <w:rFonts w:ascii="Arial" w:hAnsi="Arial" w:hint="default"/>
      </w:rPr>
    </w:lvl>
    <w:lvl w:ilvl="2">
      <w:start w:val="1"/>
      <w:numFmt w:val="bullet"/>
      <w:pStyle w:val="ListBullet3"/>
      <w:lvlText w:val="◦"/>
      <w:lvlJc w:val="left"/>
      <w:pPr>
        <w:tabs>
          <w:tab w:val="num" w:pos="1474"/>
        </w:tabs>
        <w:ind w:left="1474" w:hanging="396"/>
      </w:pPr>
      <w:rPr>
        <w:rFonts w:ascii="Arial" w:hAnsi="Arial" w:hint="default"/>
      </w:rPr>
    </w:lvl>
    <w:lvl w:ilvl="3">
      <w:start w:val="1"/>
      <w:numFmt w:val="bullet"/>
      <w:pStyle w:val="ListBullet4"/>
      <w:lvlText w:val="▪"/>
      <w:lvlJc w:val="left"/>
      <w:pPr>
        <w:tabs>
          <w:tab w:val="num" w:pos="1871"/>
        </w:tabs>
        <w:ind w:left="1871" w:hanging="396"/>
      </w:pPr>
      <w:rPr>
        <w:rFonts w:ascii="Arial" w:hAnsi="Arial" w:hint="default"/>
      </w:rPr>
    </w:lvl>
    <w:lvl w:ilvl="4">
      <w:start w:val="1"/>
      <w:numFmt w:val="bullet"/>
      <w:pStyle w:val="ListBullet5"/>
      <w:lvlText w:val="–"/>
      <w:lvlJc w:val="left"/>
      <w:pPr>
        <w:tabs>
          <w:tab w:val="num" w:pos="2268"/>
        </w:tabs>
        <w:ind w:left="2268" w:hanging="396"/>
      </w:pPr>
      <w:rPr>
        <w:rFonts w:ascii="Arial" w:hAnsi="Arial" w:hint="default"/>
      </w:rPr>
    </w:lvl>
    <w:lvl w:ilvl="5">
      <w:start w:val="1"/>
      <w:numFmt w:val="none"/>
      <w:lvlText w:val=""/>
      <w:lvlJc w:val="left"/>
      <w:pPr>
        <w:tabs>
          <w:tab w:val="num" w:pos="2665"/>
        </w:tabs>
        <w:ind w:left="2665" w:hanging="396"/>
      </w:pPr>
      <w:rPr>
        <w:rFonts w:hint="default"/>
      </w:rPr>
    </w:lvl>
    <w:lvl w:ilvl="6">
      <w:start w:val="1"/>
      <w:numFmt w:val="none"/>
      <w:lvlText w:val=""/>
      <w:lvlJc w:val="left"/>
      <w:pPr>
        <w:tabs>
          <w:tab w:val="num" w:pos="2722"/>
        </w:tabs>
        <w:ind w:left="3062" w:hanging="396"/>
      </w:pPr>
      <w:rPr>
        <w:rFonts w:hint="default"/>
      </w:rPr>
    </w:lvl>
    <w:lvl w:ilvl="7">
      <w:start w:val="1"/>
      <w:numFmt w:val="none"/>
      <w:lvlText w:val=""/>
      <w:lvlJc w:val="left"/>
      <w:pPr>
        <w:tabs>
          <w:tab w:val="num" w:pos="3119"/>
        </w:tabs>
        <w:ind w:left="3459" w:hanging="396"/>
      </w:pPr>
      <w:rPr>
        <w:rFonts w:hint="default"/>
      </w:rPr>
    </w:lvl>
    <w:lvl w:ilvl="8">
      <w:start w:val="1"/>
      <w:numFmt w:val="none"/>
      <w:lvlText w:val=""/>
      <w:lvlJc w:val="left"/>
      <w:pPr>
        <w:tabs>
          <w:tab w:val="num" w:pos="3516"/>
        </w:tabs>
        <w:ind w:left="3856" w:hanging="396"/>
      </w:pPr>
      <w:rPr>
        <w:rFonts w:hint="default"/>
      </w:rPr>
    </w:lvl>
  </w:abstractNum>
  <w:abstractNum w:abstractNumId="21" w15:restartNumberingAfterBreak="0">
    <w:nsid w:val="522D5633"/>
    <w:multiLevelType w:val="hybridMultilevel"/>
    <w:tmpl w:val="78B06E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F65243"/>
    <w:multiLevelType w:val="hybridMultilevel"/>
    <w:tmpl w:val="9C7857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056DE1"/>
    <w:multiLevelType w:val="hybridMultilevel"/>
    <w:tmpl w:val="6A966874"/>
    <w:lvl w:ilvl="0" w:tplc="932214B8">
      <w:start w:val="1"/>
      <w:numFmt w:val="bullet"/>
      <w:pStyle w:val="bullet"/>
      <w:lvlText w:val=""/>
      <w:lvlJc w:val="left"/>
      <w:pPr>
        <w:tabs>
          <w:tab w:val="num" w:pos="1134"/>
        </w:tabs>
        <w:ind w:left="1134" w:hanging="567"/>
      </w:pPr>
      <w:rPr>
        <w:rFonts w:ascii="Wingdings" w:hAnsi="Wingdings" w:hint="default"/>
        <w:b w:val="0"/>
        <w:i w:val="0"/>
        <w:color w:val="336699"/>
        <w:sz w:val="24"/>
      </w:rPr>
    </w:lvl>
    <w:lvl w:ilvl="1" w:tplc="82E4D8FA">
      <w:start w:val="1"/>
      <w:numFmt w:val="bullet"/>
      <w:lvlText w:val=""/>
      <w:lvlJc w:val="left"/>
      <w:pPr>
        <w:tabs>
          <w:tab w:val="num" w:pos="1440"/>
        </w:tabs>
        <w:ind w:left="1440" w:hanging="360"/>
      </w:pPr>
      <w:rPr>
        <w:rFonts w:ascii="Symbol" w:hAnsi="Symbol" w:hint="default"/>
      </w:rPr>
    </w:lvl>
    <w:lvl w:ilvl="2" w:tplc="1E7A7142" w:tentative="1">
      <w:start w:val="1"/>
      <w:numFmt w:val="bullet"/>
      <w:lvlText w:val=""/>
      <w:lvlJc w:val="left"/>
      <w:pPr>
        <w:tabs>
          <w:tab w:val="num" w:pos="2160"/>
        </w:tabs>
        <w:ind w:left="2160" w:hanging="360"/>
      </w:pPr>
      <w:rPr>
        <w:rFonts w:ascii="Wingdings" w:hAnsi="Wingdings" w:hint="default"/>
      </w:rPr>
    </w:lvl>
    <w:lvl w:ilvl="3" w:tplc="62F27084" w:tentative="1">
      <w:start w:val="1"/>
      <w:numFmt w:val="bullet"/>
      <w:lvlText w:val=""/>
      <w:lvlJc w:val="left"/>
      <w:pPr>
        <w:tabs>
          <w:tab w:val="num" w:pos="2880"/>
        </w:tabs>
        <w:ind w:left="2880" w:hanging="360"/>
      </w:pPr>
      <w:rPr>
        <w:rFonts w:ascii="Symbol" w:hAnsi="Symbol" w:hint="default"/>
      </w:rPr>
    </w:lvl>
    <w:lvl w:ilvl="4" w:tplc="DC74E6C6" w:tentative="1">
      <w:start w:val="1"/>
      <w:numFmt w:val="bullet"/>
      <w:lvlText w:val="o"/>
      <w:lvlJc w:val="left"/>
      <w:pPr>
        <w:tabs>
          <w:tab w:val="num" w:pos="3600"/>
        </w:tabs>
        <w:ind w:left="3600" w:hanging="360"/>
      </w:pPr>
      <w:rPr>
        <w:rFonts w:ascii="Courier New" w:hAnsi="Courier New" w:cs="Courier New" w:hint="default"/>
      </w:rPr>
    </w:lvl>
    <w:lvl w:ilvl="5" w:tplc="FCCE0FAC" w:tentative="1">
      <w:start w:val="1"/>
      <w:numFmt w:val="bullet"/>
      <w:lvlText w:val=""/>
      <w:lvlJc w:val="left"/>
      <w:pPr>
        <w:tabs>
          <w:tab w:val="num" w:pos="4320"/>
        </w:tabs>
        <w:ind w:left="4320" w:hanging="360"/>
      </w:pPr>
      <w:rPr>
        <w:rFonts w:ascii="Wingdings" w:hAnsi="Wingdings" w:hint="default"/>
      </w:rPr>
    </w:lvl>
    <w:lvl w:ilvl="6" w:tplc="7C0C741E" w:tentative="1">
      <w:start w:val="1"/>
      <w:numFmt w:val="bullet"/>
      <w:lvlText w:val=""/>
      <w:lvlJc w:val="left"/>
      <w:pPr>
        <w:tabs>
          <w:tab w:val="num" w:pos="5040"/>
        </w:tabs>
        <w:ind w:left="5040" w:hanging="360"/>
      </w:pPr>
      <w:rPr>
        <w:rFonts w:ascii="Symbol" w:hAnsi="Symbol" w:hint="default"/>
      </w:rPr>
    </w:lvl>
    <w:lvl w:ilvl="7" w:tplc="2E6C3B30" w:tentative="1">
      <w:start w:val="1"/>
      <w:numFmt w:val="bullet"/>
      <w:lvlText w:val="o"/>
      <w:lvlJc w:val="left"/>
      <w:pPr>
        <w:tabs>
          <w:tab w:val="num" w:pos="5760"/>
        </w:tabs>
        <w:ind w:left="5760" w:hanging="360"/>
      </w:pPr>
      <w:rPr>
        <w:rFonts w:ascii="Courier New" w:hAnsi="Courier New" w:cs="Courier New" w:hint="default"/>
      </w:rPr>
    </w:lvl>
    <w:lvl w:ilvl="8" w:tplc="F26CAD82"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2B313A"/>
    <w:multiLevelType w:val="hybridMultilevel"/>
    <w:tmpl w:val="A4085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217542"/>
    <w:multiLevelType w:val="hybridMultilevel"/>
    <w:tmpl w:val="874C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C34720"/>
    <w:multiLevelType w:val="hybridMultilevel"/>
    <w:tmpl w:val="A1E42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BA3DA4"/>
    <w:multiLevelType w:val="hybridMultilevel"/>
    <w:tmpl w:val="17768E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F9606A"/>
    <w:multiLevelType w:val="hybridMultilevel"/>
    <w:tmpl w:val="2012A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3764041"/>
    <w:multiLevelType w:val="hybridMultilevel"/>
    <w:tmpl w:val="26529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B74EA8"/>
    <w:multiLevelType w:val="hybridMultilevel"/>
    <w:tmpl w:val="84CC2AA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2F5171"/>
    <w:multiLevelType w:val="hybridMultilevel"/>
    <w:tmpl w:val="1EF8587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1">
      <w:start w:val="1"/>
      <w:numFmt w:val="bullet"/>
      <w:lvlText w:val=""/>
      <w:lvlJc w:val="left"/>
      <w:pPr>
        <w:tabs>
          <w:tab w:val="num" w:pos="1800"/>
        </w:tabs>
        <w:ind w:left="1800" w:hanging="360"/>
      </w:pPr>
      <w:rPr>
        <w:rFonts w:ascii="Symbol" w:hAnsi="Symbol"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9"/>
  </w:num>
  <w:num w:numId="2">
    <w:abstractNumId w:val="0"/>
  </w:num>
  <w:num w:numId="3">
    <w:abstractNumId w:val="20"/>
  </w:num>
  <w:num w:numId="4">
    <w:abstractNumId w:val="15"/>
  </w:num>
  <w:num w:numId="5">
    <w:abstractNumId w:val="23"/>
  </w:num>
  <w:num w:numId="6">
    <w:abstractNumId w:val="22"/>
  </w:num>
  <w:num w:numId="7">
    <w:abstractNumId w:val="7"/>
  </w:num>
  <w:num w:numId="8">
    <w:abstractNumId w:val="3"/>
  </w:num>
  <w:num w:numId="9">
    <w:abstractNumId w:val="12"/>
  </w:num>
  <w:num w:numId="10">
    <w:abstractNumId w:val="18"/>
  </w:num>
  <w:num w:numId="11">
    <w:abstractNumId w:val="29"/>
  </w:num>
  <w:num w:numId="12">
    <w:abstractNumId w:val="26"/>
  </w:num>
  <w:num w:numId="13">
    <w:abstractNumId w:val="14"/>
  </w:num>
  <w:num w:numId="14">
    <w:abstractNumId w:val="5"/>
  </w:num>
  <w:num w:numId="15">
    <w:abstractNumId w:val="31"/>
  </w:num>
  <w:num w:numId="16">
    <w:abstractNumId w:val="16"/>
  </w:num>
  <w:num w:numId="17">
    <w:abstractNumId w:val="2"/>
  </w:num>
  <w:num w:numId="18">
    <w:abstractNumId w:val="4"/>
  </w:num>
  <w:num w:numId="19">
    <w:abstractNumId w:val="11"/>
  </w:num>
  <w:num w:numId="20">
    <w:abstractNumId w:val="25"/>
  </w:num>
  <w:num w:numId="21">
    <w:abstractNumId w:val="21"/>
  </w:num>
  <w:num w:numId="22">
    <w:abstractNumId w:val="27"/>
  </w:num>
  <w:num w:numId="23">
    <w:abstractNumId w:val="19"/>
  </w:num>
  <w:num w:numId="24">
    <w:abstractNumId w:val="30"/>
  </w:num>
  <w:num w:numId="25">
    <w:abstractNumId w:val="1"/>
  </w:num>
  <w:num w:numId="26">
    <w:abstractNumId w:val="6"/>
  </w:num>
  <w:num w:numId="27">
    <w:abstractNumId w:val="17"/>
  </w:num>
  <w:num w:numId="28">
    <w:abstractNumId w:val="8"/>
  </w:num>
  <w:num w:numId="29">
    <w:abstractNumId w:val="13"/>
  </w:num>
  <w:num w:numId="30">
    <w:abstractNumId w:val="10"/>
  </w:num>
  <w:num w:numId="31">
    <w:abstractNumId w:val="24"/>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644"/>
    <w:rsid w:val="00035BD4"/>
    <w:rsid w:val="00050987"/>
    <w:rsid w:val="00056041"/>
    <w:rsid w:val="00061F62"/>
    <w:rsid w:val="00062CA2"/>
    <w:rsid w:val="000868C1"/>
    <w:rsid w:val="00092B7C"/>
    <w:rsid w:val="000B3B15"/>
    <w:rsid w:val="000C39AF"/>
    <w:rsid w:val="000D52A7"/>
    <w:rsid w:val="000F3F69"/>
    <w:rsid w:val="000F5614"/>
    <w:rsid w:val="0011377A"/>
    <w:rsid w:val="00140004"/>
    <w:rsid w:val="0019107B"/>
    <w:rsid w:val="001A553E"/>
    <w:rsid w:val="001B0CCB"/>
    <w:rsid w:val="001B76A5"/>
    <w:rsid w:val="001C254F"/>
    <w:rsid w:val="002073B1"/>
    <w:rsid w:val="00215907"/>
    <w:rsid w:val="0021636A"/>
    <w:rsid w:val="00225736"/>
    <w:rsid w:val="002950AF"/>
    <w:rsid w:val="00315DD0"/>
    <w:rsid w:val="003541E8"/>
    <w:rsid w:val="00412EF9"/>
    <w:rsid w:val="004276D1"/>
    <w:rsid w:val="00433B21"/>
    <w:rsid w:val="00451939"/>
    <w:rsid w:val="00464C33"/>
    <w:rsid w:val="004853B9"/>
    <w:rsid w:val="004B6997"/>
    <w:rsid w:val="004C6AE7"/>
    <w:rsid w:val="004D3D48"/>
    <w:rsid w:val="004D73AB"/>
    <w:rsid w:val="004E3D10"/>
    <w:rsid w:val="004F2339"/>
    <w:rsid w:val="004F4C38"/>
    <w:rsid w:val="00503D22"/>
    <w:rsid w:val="005153B1"/>
    <w:rsid w:val="0056275D"/>
    <w:rsid w:val="005768B1"/>
    <w:rsid w:val="00582FCE"/>
    <w:rsid w:val="005A2086"/>
    <w:rsid w:val="005B5862"/>
    <w:rsid w:val="005C685E"/>
    <w:rsid w:val="005D47F0"/>
    <w:rsid w:val="005F756D"/>
    <w:rsid w:val="006115BE"/>
    <w:rsid w:val="00635DBF"/>
    <w:rsid w:val="00660F94"/>
    <w:rsid w:val="00690F19"/>
    <w:rsid w:val="00694FCA"/>
    <w:rsid w:val="006A2823"/>
    <w:rsid w:val="006C04C2"/>
    <w:rsid w:val="0072564A"/>
    <w:rsid w:val="00736FB2"/>
    <w:rsid w:val="007637D4"/>
    <w:rsid w:val="0077635D"/>
    <w:rsid w:val="00791882"/>
    <w:rsid w:val="007D1C65"/>
    <w:rsid w:val="007D7AD6"/>
    <w:rsid w:val="007F0E7D"/>
    <w:rsid w:val="00810BD7"/>
    <w:rsid w:val="0081458E"/>
    <w:rsid w:val="00820373"/>
    <w:rsid w:val="00842735"/>
    <w:rsid w:val="0086621D"/>
    <w:rsid w:val="008837E1"/>
    <w:rsid w:val="00892644"/>
    <w:rsid w:val="008D61A8"/>
    <w:rsid w:val="008E022F"/>
    <w:rsid w:val="008E6875"/>
    <w:rsid w:val="009315EA"/>
    <w:rsid w:val="00936A5E"/>
    <w:rsid w:val="00970550"/>
    <w:rsid w:val="00976907"/>
    <w:rsid w:val="00976E1E"/>
    <w:rsid w:val="00976F46"/>
    <w:rsid w:val="009849E8"/>
    <w:rsid w:val="00985EBD"/>
    <w:rsid w:val="009B5E4E"/>
    <w:rsid w:val="009C1748"/>
    <w:rsid w:val="00A26313"/>
    <w:rsid w:val="00A43D65"/>
    <w:rsid w:val="00A65096"/>
    <w:rsid w:val="00A9189D"/>
    <w:rsid w:val="00A953BE"/>
    <w:rsid w:val="00AA1026"/>
    <w:rsid w:val="00AB23F3"/>
    <w:rsid w:val="00AE2E92"/>
    <w:rsid w:val="00AF06DD"/>
    <w:rsid w:val="00AF64D2"/>
    <w:rsid w:val="00B05D62"/>
    <w:rsid w:val="00B11800"/>
    <w:rsid w:val="00B37B02"/>
    <w:rsid w:val="00B455DD"/>
    <w:rsid w:val="00B72887"/>
    <w:rsid w:val="00B83421"/>
    <w:rsid w:val="00BE3AD7"/>
    <w:rsid w:val="00BF2E67"/>
    <w:rsid w:val="00C12531"/>
    <w:rsid w:val="00C241B5"/>
    <w:rsid w:val="00C25F91"/>
    <w:rsid w:val="00C26C06"/>
    <w:rsid w:val="00C8132C"/>
    <w:rsid w:val="00C90AEA"/>
    <w:rsid w:val="00C9299B"/>
    <w:rsid w:val="00CB18D9"/>
    <w:rsid w:val="00CF33E6"/>
    <w:rsid w:val="00D14D21"/>
    <w:rsid w:val="00D627F9"/>
    <w:rsid w:val="00D72A8C"/>
    <w:rsid w:val="00D900BD"/>
    <w:rsid w:val="00DA0BE2"/>
    <w:rsid w:val="00DB4369"/>
    <w:rsid w:val="00DB7B77"/>
    <w:rsid w:val="00DC6DF8"/>
    <w:rsid w:val="00DF25FA"/>
    <w:rsid w:val="00E72ED0"/>
    <w:rsid w:val="00E80E73"/>
    <w:rsid w:val="00E86E4F"/>
    <w:rsid w:val="00EA49DE"/>
    <w:rsid w:val="00EC5383"/>
    <w:rsid w:val="00F42575"/>
    <w:rsid w:val="00F7283A"/>
    <w:rsid w:val="00F85623"/>
    <w:rsid w:val="00F94D0A"/>
    <w:rsid w:val="00FA735A"/>
    <w:rsid w:val="00FE188F"/>
    <w:rsid w:val="00FE2A12"/>
    <w:rsid w:val="00FF42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D8E2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35A"/>
    <w:pPr>
      <w:spacing w:before="180" w:after="60" w:line="264" w:lineRule="auto"/>
    </w:pPr>
    <w:rPr>
      <w:rFonts w:ascii="Arial" w:hAnsi="Arial" w:cs="Arial"/>
    </w:rPr>
  </w:style>
  <w:style w:type="paragraph" w:styleId="Heading1">
    <w:name w:val="heading 1"/>
    <w:basedOn w:val="Normal"/>
    <w:next w:val="Normal"/>
    <w:link w:val="Heading1Char"/>
    <w:uiPriority w:val="9"/>
    <w:qFormat/>
    <w:rsid w:val="00FA735A"/>
    <w:pPr>
      <w:keepNext/>
      <w:keepLines/>
      <w:spacing w:before="440" w:after="180"/>
      <w:outlineLvl w:val="0"/>
    </w:pPr>
    <w:rPr>
      <w:rFonts w:eastAsiaTheme="majorEastAsia" w:cstheme="majorBidi"/>
      <w:b/>
      <w:color w:val="1A8859"/>
      <w:sz w:val="36"/>
      <w:szCs w:val="32"/>
    </w:rPr>
  </w:style>
  <w:style w:type="paragraph" w:styleId="Heading2">
    <w:name w:val="heading 2"/>
    <w:basedOn w:val="Normal"/>
    <w:next w:val="Normal"/>
    <w:link w:val="Heading2Char"/>
    <w:uiPriority w:val="9"/>
    <w:unhideWhenUsed/>
    <w:qFormat/>
    <w:rsid w:val="00FA735A"/>
    <w:pPr>
      <w:keepNext/>
      <w:keepLines/>
      <w:spacing w:before="320" w:after="180"/>
      <w:outlineLvl w:val="1"/>
    </w:pPr>
    <w:rPr>
      <w:rFonts w:eastAsiaTheme="majorEastAsia"/>
      <w:b/>
      <w:color w:val="54A2D2"/>
      <w:sz w:val="26"/>
      <w:szCs w:val="26"/>
    </w:rPr>
  </w:style>
  <w:style w:type="paragraph" w:styleId="Heading3">
    <w:name w:val="heading 3"/>
    <w:basedOn w:val="Normal"/>
    <w:next w:val="Normal"/>
    <w:link w:val="Heading3Char"/>
    <w:unhideWhenUsed/>
    <w:qFormat/>
    <w:rsid w:val="00FA735A"/>
    <w:pPr>
      <w:keepNext/>
      <w:keepLines/>
      <w:spacing w:before="280" w:after="180"/>
      <w:outlineLvl w:val="2"/>
    </w:pPr>
    <w:rPr>
      <w:rFonts w:eastAsiaTheme="majorEastAsia"/>
      <w:b/>
      <w:color w:val="DA8937"/>
      <w:sz w:val="24"/>
      <w:szCs w:val="24"/>
    </w:rPr>
  </w:style>
  <w:style w:type="paragraph" w:styleId="Heading4">
    <w:name w:val="heading 4"/>
    <w:basedOn w:val="Normal"/>
    <w:next w:val="Normal"/>
    <w:link w:val="Heading4Char"/>
    <w:uiPriority w:val="9"/>
    <w:unhideWhenUsed/>
    <w:qFormat/>
    <w:rsid w:val="00FA735A"/>
    <w:pPr>
      <w:keepNext/>
      <w:keepLines/>
      <w:spacing w:before="260" w:after="180"/>
      <w:outlineLvl w:val="3"/>
    </w:pPr>
    <w:rPr>
      <w:rFonts w:eastAsiaTheme="majorEastAsia"/>
      <w:i/>
      <w:iCs/>
      <w:color w:val="1A8859"/>
    </w:rPr>
  </w:style>
  <w:style w:type="paragraph" w:styleId="Heading5">
    <w:name w:val="heading 5"/>
    <w:basedOn w:val="Normal"/>
    <w:next w:val="Normal"/>
    <w:link w:val="Heading5Char"/>
    <w:uiPriority w:val="9"/>
    <w:semiHidden/>
    <w:unhideWhenUsed/>
    <w:qFormat/>
    <w:rsid w:val="00FA735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086"/>
    <w:pPr>
      <w:tabs>
        <w:tab w:val="center" w:pos="4513"/>
        <w:tab w:val="right" w:pos="9026"/>
      </w:tabs>
      <w:spacing w:after="0" w:line="240" w:lineRule="auto"/>
      <w:jc w:val="right"/>
    </w:pPr>
    <w:rPr>
      <w:b/>
      <w:sz w:val="18"/>
      <w:szCs w:val="18"/>
    </w:rPr>
  </w:style>
  <w:style w:type="character" w:customStyle="1" w:styleId="HeaderChar">
    <w:name w:val="Header Char"/>
    <w:basedOn w:val="DefaultParagraphFont"/>
    <w:link w:val="Header"/>
    <w:uiPriority w:val="99"/>
    <w:rsid w:val="005A2086"/>
    <w:rPr>
      <w:rFonts w:ascii="Arial" w:hAnsi="Arial" w:cs="Arial"/>
      <w:b/>
      <w:sz w:val="18"/>
      <w:szCs w:val="18"/>
    </w:rPr>
  </w:style>
  <w:style w:type="paragraph" w:styleId="Footer">
    <w:name w:val="footer"/>
    <w:basedOn w:val="Normal"/>
    <w:link w:val="FooterChar"/>
    <w:uiPriority w:val="99"/>
    <w:unhideWhenUsed/>
    <w:rsid w:val="00D900BD"/>
    <w:pPr>
      <w:tabs>
        <w:tab w:val="center" w:pos="4513"/>
        <w:tab w:val="right" w:pos="9026"/>
      </w:tabs>
      <w:spacing w:after="0" w:line="240" w:lineRule="auto"/>
      <w:jc w:val="right"/>
    </w:pPr>
    <w:rPr>
      <w:b/>
      <w:sz w:val="20"/>
      <w:szCs w:val="20"/>
    </w:rPr>
  </w:style>
  <w:style w:type="character" w:customStyle="1" w:styleId="FooterChar">
    <w:name w:val="Footer Char"/>
    <w:basedOn w:val="DefaultParagraphFont"/>
    <w:link w:val="Footer"/>
    <w:uiPriority w:val="99"/>
    <w:rsid w:val="00D900BD"/>
    <w:rPr>
      <w:rFonts w:ascii="Arial" w:hAnsi="Arial" w:cs="Arial"/>
      <w:b/>
      <w:sz w:val="20"/>
      <w:szCs w:val="20"/>
    </w:rPr>
  </w:style>
  <w:style w:type="character" w:customStyle="1" w:styleId="Heading1Char">
    <w:name w:val="Heading 1 Char"/>
    <w:basedOn w:val="DefaultParagraphFont"/>
    <w:link w:val="Heading1"/>
    <w:uiPriority w:val="9"/>
    <w:rsid w:val="00FA735A"/>
    <w:rPr>
      <w:rFonts w:ascii="Arial" w:eastAsiaTheme="majorEastAsia" w:hAnsi="Arial" w:cstheme="majorBidi"/>
      <w:b/>
      <w:color w:val="1A8859"/>
      <w:sz w:val="36"/>
      <w:szCs w:val="32"/>
    </w:rPr>
  </w:style>
  <w:style w:type="character" w:customStyle="1" w:styleId="Heading2Char">
    <w:name w:val="Heading 2 Char"/>
    <w:basedOn w:val="DefaultParagraphFont"/>
    <w:link w:val="Heading2"/>
    <w:uiPriority w:val="9"/>
    <w:rsid w:val="00FA735A"/>
    <w:rPr>
      <w:rFonts w:ascii="Arial" w:eastAsiaTheme="majorEastAsia" w:hAnsi="Arial" w:cs="Arial"/>
      <w:b/>
      <w:color w:val="54A2D2"/>
      <w:sz w:val="26"/>
      <w:szCs w:val="26"/>
    </w:rPr>
  </w:style>
  <w:style w:type="character" w:customStyle="1" w:styleId="Heading3Char">
    <w:name w:val="Heading 3 Char"/>
    <w:basedOn w:val="DefaultParagraphFont"/>
    <w:link w:val="Heading3"/>
    <w:rsid w:val="00FA735A"/>
    <w:rPr>
      <w:rFonts w:ascii="Arial" w:eastAsiaTheme="majorEastAsia" w:hAnsi="Arial" w:cs="Arial"/>
      <w:b/>
      <w:color w:val="DA8937"/>
      <w:sz w:val="24"/>
      <w:szCs w:val="24"/>
    </w:rPr>
  </w:style>
  <w:style w:type="character" w:customStyle="1" w:styleId="Heading4Char">
    <w:name w:val="Heading 4 Char"/>
    <w:basedOn w:val="DefaultParagraphFont"/>
    <w:link w:val="Heading4"/>
    <w:uiPriority w:val="9"/>
    <w:rsid w:val="00FA735A"/>
    <w:rPr>
      <w:rFonts w:ascii="Arial" w:eastAsiaTheme="majorEastAsia" w:hAnsi="Arial" w:cs="Arial"/>
      <w:i/>
      <w:iCs/>
      <w:color w:val="1A8859"/>
    </w:rPr>
  </w:style>
  <w:style w:type="paragraph" w:styleId="Title">
    <w:name w:val="Title"/>
    <w:basedOn w:val="Normal"/>
    <w:next w:val="Normal"/>
    <w:link w:val="TitleChar"/>
    <w:uiPriority w:val="10"/>
    <w:qFormat/>
    <w:rsid w:val="00D900BD"/>
    <w:rPr>
      <w:b/>
      <w:caps/>
      <w:noProof/>
      <w:sz w:val="96"/>
      <w:szCs w:val="96"/>
      <w:lang w:eastAsia="en-AU"/>
    </w:rPr>
  </w:style>
  <w:style w:type="character" w:customStyle="1" w:styleId="TitleChar">
    <w:name w:val="Title Char"/>
    <w:basedOn w:val="DefaultParagraphFont"/>
    <w:link w:val="Title"/>
    <w:uiPriority w:val="10"/>
    <w:rsid w:val="00D900BD"/>
    <w:rPr>
      <w:rFonts w:ascii="Arial" w:hAnsi="Arial" w:cs="Arial"/>
      <w:b/>
      <w:caps/>
      <w:noProof/>
      <w:sz w:val="96"/>
      <w:szCs w:val="96"/>
      <w:lang w:eastAsia="en-AU"/>
    </w:rPr>
  </w:style>
  <w:style w:type="paragraph" w:styleId="Subtitle">
    <w:name w:val="Subtitle"/>
    <w:basedOn w:val="Normal"/>
    <w:next w:val="Normal"/>
    <w:link w:val="SubtitleChar"/>
    <w:qFormat/>
    <w:rsid w:val="00FA735A"/>
    <w:pPr>
      <w:autoSpaceDE w:val="0"/>
      <w:autoSpaceDN w:val="0"/>
      <w:adjustRightInd w:val="0"/>
    </w:pPr>
    <w:rPr>
      <w:rFonts w:eastAsia="Times New Roman" w:cs="Times New Roman"/>
      <w:sz w:val="30"/>
      <w:szCs w:val="30"/>
      <w:lang w:eastAsia="en-AU"/>
    </w:rPr>
  </w:style>
  <w:style w:type="character" w:customStyle="1" w:styleId="SubtitleChar">
    <w:name w:val="Subtitle Char"/>
    <w:basedOn w:val="DefaultParagraphFont"/>
    <w:link w:val="Subtitle"/>
    <w:rsid w:val="00FA735A"/>
    <w:rPr>
      <w:rFonts w:ascii="Arial" w:eastAsia="Times New Roman" w:hAnsi="Arial" w:cs="Times New Roman"/>
      <w:sz w:val="30"/>
      <w:szCs w:val="30"/>
      <w:lang w:eastAsia="en-AU"/>
    </w:rPr>
  </w:style>
  <w:style w:type="paragraph" w:styleId="TOC2">
    <w:name w:val="toc 2"/>
    <w:basedOn w:val="Heading2"/>
    <w:next w:val="Normal"/>
    <w:uiPriority w:val="39"/>
    <w:rsid w:val="00062CA2"/>
    <w:pPr>
      <w:keepNext w:val="0"/>
      <w:keepLines w:val="0"/>
      <w:tabs>
        <w:tab w:val="right" w:leader="dot" w:pos="9639"/>
      </w:tabs>
      <w:autoSpaceDE w:val="0"/>
      <w:autoSpaceDN w:val="0"/>
      <w:adjustRightInd w:val="0"/>
      <w:spacing w:before="180" w:after="60"/>
      <w:ind w:left="170"/>
    </w:pPr>
    <w:rPr>
      <w:rFonts w:eastAsia="Times New Roman"/>
      <w:b w:val="0"/>
      <w:bCs/>
      <w:color w:val="auto"/>
      <w:sz w:val="22"/>
      <w:szCs w:val="20"/>
      <w:lang w:eastAsia="en-AU"/>
    </w:rPr>
  </w:style>
  <w:style w:type="paragraph" w:styleId="TOC1">
    <w:name w:val="toc 1"/>
    <w:basedOn w:val="Heading1"/>
    <w:next w:val="Normal"/>
    <w:uiPriority w:val="39"/>
    <w:rsid w:val="00062CA2"/>
    <w:pPr>
      <w:keepNext w:val="0"/>
      <w:keepLines w:val="0"/>
      <w:tabs>
        <w:tab w:val="right" w:leader="dot" w:pos="9639"/>
      </w:tabs>
      <w:autoSpaceDE w:val="0"/>
      <w:autoSpaceDN w:val="0"/>
      <w:adjustRightInd w:val="0"/>
      <w:spacing w:before="180" w:after="60"/>
    </w:pPr>
    <w:rPr>
      <w:rFonts w:eastAsia="Times New Roman" w:cs="Arial"/>
      <w:bCs/>
      <w:color w:val="auto"/>
      <w:sz w:val="22"/>
      <w:szCs w:val="20"/>
      <w:lang w:eastAsia="en-AU"/>
    </w:rPr>
  </w:style>
  <w:style w:type="paragraph" w:styleId="TOC3">
    <w:name w:val="toc 3"/>
    <w:basedOn w:val="Normal"/>
    <w:next w:val="Normal"/>
    <w:uiPriority w:val="39"/>
    <w:rsid w:val="00062CA2"/>
    <w:pPr>
      <w:tabs>
        <w:tab w:val="right" w:leader="dot" w:pos="9639"/>
      </w:tabs>
      <w:ind w:left="340"/>
    </w:pPr>
    <w:rPr>
      <w:rFonts w:eastAsia="Times New Roman" w:cs="Times New Roman"/>
      <w:i/>
      <w:szCs w:val="24"/>
    </w:rPr>
  </w:style>
  <w:style w:type="character" w:styleId="Hyperlink">
    <w:name w:val="Hyperlink"/>
    <w:uiPriority w:val="99"/>
    <w:rsid w:val="00062CA2"/>
    <w:rPr>
      <w:color w:val="003399"/>
      <w:u w:val="single"/>
    </w:rPr>
  </w:style>
  <w:style w:type="paragraph" w:styleId="ListNumber">
    <w:name w:val="List Number"/>
    <w:basedOn w:val="Normal"/>
    <w:link w:val="ListNumberChar"/>
    <w:rsid w:val="00062CA2"/>
    <w:pPr>
      <w:numPr>
        <w:numId w:val="2"/>
      </w:numPr>
      <w:spacing w:before="60"/>
    </w:pPr>
    <w:rPr>
      <w:rFonts w:eastAsia="Times New Roman" w:cs="Times New Roman"/>
      <w:szCs w:val="24"/>
    </w:rPr>
  </w:style>
  <w:style w:type="numbering" w:customStyle="1" w:styleId="StyleNumbered">
    <w:name w:val="Style Numbered"/>
    <w:basedOn w:val="NoList"/>
    <w:rsid w:val="00062CA2"/>
    <w:pPr>
      <w:numPr>
        <w:numId w:val="1"/>
      </w:numPr>
    </w:pPr>
  </w:style>
  <w:style w:type="paragraph" w:styleId="ListNumber2">
    <w:name w:val="List Number 2"/>
    <w:basedOn w:val="Normal"/>
    <w:link w:val="ListNumber2Char"/>
    <w:rsid w:val="00062CA2"/>
    <w:pPr>
      <w:numPr>
        <w:ilvl w:val="1"/>
        <w:numId w:val="2"/>
      </w:numPr>
      <w:spacing w:before="60"/>
    </w:pPr>
    <w:rPr>
      <w:rFonts w:eastAsia="Times New Roman" w:cs="Times New Roman"/>
      <w:szCs w:val="24"/>
    </w:rPr>
  </w:style>
  <w:style w:type="paragraph" w:styleId="ListBullet">
    <w:name w:val="List Bullet"/>
    <w:basedOn w:val="Normal"/>
    <w:rsid w:val="00062CA2"/>
    <w:pPr>
      <w:numPr>
        <w:numId w:val="3"/>
      </w:numPr>
      <w:spacing w:before="60"/>
    </w:pPr>
    <w:rPr>
      <w:rFonts w:eastAsia="Times New Roman" w:cs="Times New Roman"/>
      <w:szCs w:val="24"/>
    </w:rPr>
  </w:style>
  <w:style w:type="paragraph" w:styleId="ListNumber3">
    <w:name w:val="List Number 3"/>
    <w:basedOn w:val="Normal"/>
    <w:link w:val="ListNumber3Char"/>
    <w:rsid w:val="00062CA2"/>
    <w:pPr>
      <w:numPr>
        <w:ilvl w:val="2"/>
        <w:numId w:val="2"/>
      </w:numPr>
      <w:spacing w:before="60"/>
    </w:pPr>
    <w:rPr>
      <w:rFonts w:eastAsia="Times New Roman" w:cs="Times New Roman"/>
      <w:szCs w:val="24"/>
    </w:rPr>
  </w:style>
  <w:style w:type="paragraph" w:styleId="ListBullet2">
    <w:name w:val="List Bullet 2"/>
    <w:basedOn w:val="Normal"/>
    <w:rsid w:val="00062CA2"/>
    <w:pPr>
      <w:numPr>
        <w:ilvl w:val="1"/>
        <w:numId w:val="3"/>
      </w:numPr>
      <w:spacing w:before="60"/>
    </w:pPr>
    <w:rPr>
      <w:rFonts w:eastAsia="Times New Roman" w:cs="Times New Roman"/>
      <w:szCs w:val="24"/>
    </w:rPr>
  </w:style>
  <w:style w:type="paragraph" w:styleId="ListBullet3">
    <w:name w:val="List Bullet 3"/>
    <w:basedOn w:val="Normal"/>
    <w:rsid w:val="00062CA2"/>
    <w:pPr>
      <w:numPr>
        <w:ilvl w:val="2"/>
        <w:numId w:val="3"/>
      </w:numPr>
      <w:spacing w:before="60"/>
    </w:pPr>
    <w:rPr>
      <w:rFonts w:eastAsia="Times New Roman" w:cs="Times New Roman"/>
      <w:szCs w:val="24"/>
    </w:rPr>
  </w:style>
  <w:style w:type="paragraph" w:styleId="ListBullet4">
    <w:name w:val="List Bullet 4"/>
    <w:basedOn w:val="Normal"/>
    <w:rsid w:val="00062CA2"/>
    <w:pPr>
      <w:numPr>
        <w:ilvl w:val="3"/>
        <w:numId w:val="3"/>
      </w:numPr>
      <w:spacing w:before="120"/>
    </w:pPr>
    <w:rPr>
      <w:rFonts w:eastAsia="Times New Roman" w:cs="Times New Roman"/>
      <w:szCs w:val="24"/>
    </w:rPr>
  </w:style>
  <w:style w:type="paragraph" w:styleId="ListBullet5">
    <w:name w:val="List Bullet 5"/>
    <w:basedOn w:val="Normal"/>
    <w:rsid w:val="00062CA2"/>
    <w:pPr>
      <w:numPr>
        <w:ilvl w:val="4"/>
        <w:numId w:val="3"/>
      </w:numPr>
    </w:pPr>
    <w:rPr>
      <w:rFonts w:eastAsia="Times New Roman" w:cs="Times New Roman"/>
      <w:szCs w:val="24"/>
    </w:rPr>
  </w:style>
  <w:style w:type="paragraph" w:styleId="ListNumber4">
    <w:name w:val="List Number 4"/>
    <w:basedOn w:val="Normal"/>
    <w:rsid w:val="00062CA2"/>
    <w:pPr>
      <w:numPr>
        <w:ilvl w:val="3"/>
        <w:numId w:val="2"/>
      </w:numPr>
      <w:spacing w:before="120"/>
    </w:pPr>
    <w:rPr>
      <w:rFonts w:eastAsia="Times New Roman" w:cs="Times New Roman"/>
      <w:szCs w:val="24"/>
    </w:rPr>
  </w:style>
  <w:style w:type="paragraph" w:styleId="ListNumber5">
    <w:name w:val="List Number 5"/>
    <w:basedOn w:val="Normal"/>
    <w:rsid w:val="00062CA2"/>
    <w:pPr>
      <w:numPr>
        <w:ilvl w:val="4"/>
        <w:numId w:val="2"/>
      </w:numPr>
      <w:spacing w:before="120"/>
    </w:pPr>
    <w:rPr>
      <w:rFonts w:eastAsia="Times New Roman" w:cs="Times New Roman"/>
      <w:szCs w:val="24"/>
    </w:rPr>
  </w:style>
  <w:style w:type="paragraph" w:customStyle="1" w:styleId="Tabletext">
    <w:name w:val="Table text"/>
    <w:basedOn w:val="Normal"/>
    <w:link w:val="TabletextChar"/>
    <w:rsid w:val="00062CA2"/>
    <w:pPr>
      <w:spacing w:before="20" w:after="20"/>
    </w:pPr>
    <w:rPr>
      <w:rFonts w:eastAsia="Times New Roman" w:cs="Times New Roman"/>
      <w:sz w:val="20"/>
      <w:szCs w:val="20"/>
    </w:rPr>
  </w:style>
  <w:style w:type="paragraph" w:customStyle="1" w:styleId="Tableheadings">
    <w:name w:val="Table headings"/>
    <w:basedOn w:val="Normal"/>
    <w:rsid w:val="00062CA2"/>
    <w:pPr>
      <w:spacing w:after="0"/>
    </w:pPr>
    <w:rPr>
      <w:rFonts w:eastAsia="Times New Roman" w:cs="Times New Roman"/>
      <w:b/>
      <w:bCs/>
      <w:color w:val="FFFFFF"/>
      <w:sz w:val="24"/>
      <w:szCs w:val="20"/>
    </w:rPr>
  </w:style>
  <w:style w:type="character" w:styleId="Emphasis">
    <w:name w:val="Emphasis"/>
    <w:qFormat/>
    <w:rsid w:val="00062CA2"/>
    <w:rPr>
      <w:b/>
    </w:rPr>
  </w:style>
  <w:style w:type="paragraph" w:styleId="ListParagraph">
    <w:name w:val="List Paragraph"/>
    <w:basedOn w:val="ListBullet"/>
    <w:uiPriority w:val="34"/>
    <w:qFormat/>
    <w:rsid w:val="00062CA2"/>
    <w:pPr>
      <w:spacing w:before="180"/>
    </w:pPr>
  </w:style>
  <w:style w:type="character" w:customStyle="1" w:styleId="ListNumberChar">
    <w:name w:val="List Number Char"/>
    <w:link w:val="ListNumber"/>
    <w:rsid w:val="00062CA2"/>
    <w:rPr>
      <w:rFonts w:ascii="Arial" w:eastAsia="Times New Roman" w:hAnsi="Arial" w:cs="Times New Roman"/>
      <w:szCs w:val="24"/>
    </w:rPr>
  </w:style>
  <w:style w:type="character" w:customStyle="1" w:styleId="ListNumber2Char">
    <w:name w:val="List Number 2 Char"/>
    <w:link w:val="ListNumber2"/>
    <w:rsid w:val="00062CA2"/>
    <w:rPr>
      <w:rFonts w:ascii="Arial" w:eastAsia="Times New Roman" w:hAnsi="Arial" w:cs="Times New Roman"/>
      <w:szCs w:val="24"/>
    </w:rPr>
  </w:style>
  <w:style w:type="character" w:customStyle="1" w:styleId="ListNumber3Char">
    <w:name w:val="List Number 3 Char"/>
    <w:link w:val="ListNumber3"/>
    <w:rsid w:val="00062CA2"/>
    <w:rPr>
      <w:rFonts w:ascii="Arial" w:eastAsia="Times New Roman" w:hAnsi="Arial" w:cs="Times New Roman"/>
      <w:szCs w:val="24"/>
    </w:rPr>
  </w:style>
  <w:style w:type="paragraph" w:customStyle="1" w:styleId="Numberedlist">
    <w:name w:val="Numbered list"/>
    <w:basedOn w:val="ListNumber"/>
    <w:link w:val="NumberedlistChar"/>
    <w:qFormat/>
    <w:rsid w:val="00FA735A"/>
    <w:pPr>
      <w:spacing w:before="180"/>
      <w:ind w:left="681" w:hanging="397"/>
    </w:pPr>
  </w:style>
  <w:style w:type="character" w:customStyle="1" w:styleId="NumberedlistChar">
    <w:name w:val="Numbered list Char"/>
    <w:basedOn w:val="ListNumberChar"/>
    <w:link w:val="Numberedlist"/>
    <w:rsid w:val="00FA735A"/>
    <w:rPr>
      <w:rFonts w:ascii="Arial" w:eastAsia="Times New Roman" w:hAnsi="Arial" w:cs="Times New Roman"/>
      <w:szCs w:val="24"/>
    </w:rPr>
  </w:style>
  <w:style w:type="paragraph" w:customStyle="1" w:styleId="Reference">
    <w:name w:val="Reference"/>
    <w:basedOn w:val="Subtitle"/>
    <w:link w:val="ReferenceChar"/>
    <w:qFormat/>
    <w:rsid w:val="00FA735A"/>
    <w:rPr>
      <w:sz w:val="18"/>
      <w:szCs w:val="20"/>
    </w:rPr>
  </w:style>
  <w:style w:type="character" w:customStyle="1" w:styleId="Heading5Char">
    <w:name w:val="Heading 5 Char"/>
    <w:basedOn w:val="DefaultParagraphFont"/>
    <w:link w:val="Heading5"/>
    <w:uiPriority w:val="9"/>
    <w:semiHidden/>
    <w:rsid w:val="00FA735A"/>
    <w:rPr>
      <w:rFonts w:asciiTheme="majorHAnsi" w:eastAsiaTheme="majorEastAsia" w:hAnsiTheme="majorHAnsi" w:cstheme="majorBidi"/>
      <w:color w:val="2E74B5" w:themeColor="accent1" w:themeShade="BF"/>
    </w:rPr>
  </w:style>
  <w:style w:type="character" w:customStyle="1" w:styleId="ReferenceChar">
    <w:name w:val="Reference Char"/>
    <w:basedOn w:val="SubtitleChar"/>
    <w:link w:val="Reference"/>
    <w:rsid w:val="00FA735A"/>
    <w:rPr>
      <w:rFonts w:ascii="Arial" w:eastAsia="Times New Roman" w:hAnsi="Arial" w:cs="Times New Roman"/>
      <w:sz w:val="18"/>
      <w:szCs w:val="20"/>
      <w:lang w:eastAsia="en-AU"/>
    </w:rPr>
  </w:style>
  <w:style w:type="paragraph" w:customStyle="1" w:styleId="Table">
    <w:name w:val="Table"/>
    <w:basedOn w:val="Normal"/>
    <w:link w:val="TableChar"/>
    <w:qFormat/>
    <w:rsid w:val="00976E1E"/>
    <w:pPr>
      <w:spacing w:before="60"/>
    </w:pPr>
  </w:style>
  <w:style w:type="character" w:customStyle="1" w:styleId="TableChar">
    <w:name w:val="Table Char"/>
    <w:basedOn w:val="DefaultParagraphFont"/>
    <w:link w:val="Table"/>
    <w:rsid w:val="00976E1E"/>
    <w:rPr>
      <w:rFonts w:ascii="Arial" w:hAnsi="Arial" w:cs="Arial"/>
    </w:rPr>
  </w:style>
  <w:style w:type="paragraph" w:customStyle="1" w:styleId="bullet">
    <w:name w:val="bullet"/>
    <w:basedOn w:val="Normal"/>
    <w:rsid w:val="000B3B15"/>
    <w:pPr>
      <w:numPr>
        <w:numId w:val="5"/>
      </w:numPr>
      <w:spacing w:before="120" w:after="120" w:line="300" w:lineRule="atLeast"/>
    </w:pPr>
    <w:rPr>
      <w:rFonts w:eastAsia="Times New Roman" w:cs="Times New Roman"/>
      <w:szCs w:val="24"/>
      <w:lang w:eastAsia="en-AU"/>
    </w:rPr>
  </w:style>
  <w:style w:type="character" w:styleId="CommentReference">
    <w:name w:val="annotation reference"/>
    <w:uiPriority w:val="99"/>
    <w:rsid w:val="000B3B15"/>
    <w:rPr>
      <w:sz w:val="16"/>
      <w:szCs w:val="16"/>
    </w:rPr>
  </w:style>
  <w:style w:type="paragraph" w:styleId="CommentText">
    <w:name w:val="annotation text"/>
    <w:basedOn w:val="Normal"/>
    <w:link w:val="CommentTextChar"/>
    <w:uiPriority w:val="99"/>
    <w:rsid w:val="000B3B15"/>
    <w:pPr>
      <w:spacing w:before="120" w:after="120" w:line="300" w:lineRule="atLeast"/>
    </w:pPr>
    <w:rPr>
      <w:rFonts w:eastAsia="Times New Roman" w:cs="Times New Roman"/>
      <w:sz w:val="20"/>
      <w:szCs w:val="20"/>
      <w:lang w:eastAsia="en-AU"/>
    </w:rPr>
  </w:style>
  <w:style w:type="character" w:customStyle="1" w:styleId="CommentTextChar">
    <w:name w:val="Comment Text Char"/>
    <w:basedOn w:val="DefaultParagraphFont"/>
    <w:link w:val="CommentText"/>
    <w:uiPriority w:val="99"/>
    <w:rsid w:val="000B3B15"/>
    <w:rPr>
      <w:rFonts w:ascii="Arial" w:eastAsia="Times New Roman" w:hAnsi="Arial" w:cs="Times New Roman"/>
      <w:sz w:val="20"/>
      <w:szCs w:val="20"/>
      <w:lang w:eastAsia="en-AU"/>
    </w:rPr>
  </w:style>
  <w:style w:type="paragraph" w:customStyle="1" w:styleId="Heading30">
    <w:name w:val="Heading3"/>
    <w:basedOn w:val="Tabletext"/>
    <w:rsid w:val="000B3B15"/>
    <w:pPr>
      <w:spacing w:before="0" w:after="0" w:line="240" w:lineRule="auto"/>
    </w:pPr>
    <w:rPr>
      <w:rFonts w:eastAsia="Calibri" w:cs="Arial"/>
      <w:b/>
      <w:bCs/>
      <w:sz w:val="22"/>
      <w:szCs w:val="22"/>
    </w:rPr>
  </w:style>
  <w:style w:type="character" w:customStyle="1" w:styleId="TabletextChar">
    <w:name w:val="Table text Char"/>
    <w:link w:val="Tabletext"/>
    <w:locked/>
    <w:rsid w:val="000B3B15"/>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0B3B1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B1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12531"/>
    <w:pPr>
      <w:spacing w:before="180" w:after="60" w:line="240" w:lineRule="auto"/>
    </w:pPr>
    <w:rPr>
      <w:rFonts w:eastAsiaTheme="minorHAnsi" w:cs="Arial"/>
      <w:b/>
      <w:bCs/>
      <w:lang w:eastAsia="en-US"/>
    </w:rPr>
  </w:style>
  <w:style w:type="character" w:customStyle="1" w:styleId="CommentSubjectChar">
    <w:name w:val="Comment Subject Char"/>
    <w:basedOn w:val="CommentTextChar"/>
    <w:link w:val="CommentSubject"/>
    <w:uiPriority w:val="99"/>
    <w:semiHidden/>
    <w:rsid w:val="00C12531"/>
    <w:rPr>
      <w:rFonts w:ascii="Arial" w:eastAsia="Times New Roman" w:hAnsi="Arial" w:cs="Arial"/>
      <w:b/>
      <w:bCs/>
      <w:sz w:val="20"/>
      <w:szCs w:val="20"/>
      <w:lang w:eastAsia="en-AU"/>
    </w:rPr>
  </w:style>
  <w:style w:type="paragraph" w:styleId="Revision">
    <w:name w:val="Revision"/>
    <w:hidden/>
    <w:uiPriority w:val="99"/>
    <w:semiHidden/>
    <w:rsid w:val="00842735"/>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rgov.qld.gov.au/search-retention-and-disposal-schedul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17444-4213-4FB2-B05C-A6FBA8421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756</Words>
  <Characters>4312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Management and disposal of AHPRA records by single archival host</vt:lpstr>
    </vt:vector>
  </TitlesOfParts>
  <Company/>
  <LinksUpToDate>false</LinksUpToDate>
  <CharactersWithSpaces>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and disposal of AHPRA records by single archival host</dc:title>
  <dc:subject/>
  <dc:creator/>
  <cp:keywords>Policy, Disposal Authorisation, AHPRA, Australian Health Practitioner Registration Agency, PROV, Public records office victoria, manage records, public records,</cp:keywords>
  <dc:description>An authorisation under s.24 and s.25 of the Public Records Act 2002 for the management and disposal of Australian Health Practitioner Regulation Agency (AHPRA) records</dc:description>
  <cp:lastModifiedBy/>
  <cp:revision>1</cp:revision>
  <dcterms:created xsi:type="dcterms:W3CDTF">2017-11-30T01:13:00Z</dcterms:created>
  <dcterms:modified xsi:type="dcterms:W3CDTF">2017-11-30T01:15:00Z</dcterms:modified>
</cp:coreProperties>
</file>