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D3" w:rsidRPr="00EB08D3" w:rsidRDefault="00EB08D3" w:rsidP="00EB08D3">
      <w:pPr>
        <w:spacing w:after="0" w:line="259" w:lineRule="auto"/>
        <w:ind w:right="2271"/>
        <w:jc w:val="left"/>
        <w:rPr>
          <w:b/>
          <w:color w:val="auto"/>
          <w:sz w:val="32"/>
        </w:rPr>
      </w:pPr>
    </w:p>
    <w:p w:rsidR="00EB08D3" w:rsidRDefault="00EB08D3" w:rsidP="00877994">
      <w:pPr>
        <w:spacing w:after="0" w:line="259" w:lineRule="auto"/>
        <w:ind w:left="3960" w:firstLine="0"/>
        <w:jc w:val="left"/>
        <w:rPr>
          <w:b/>
          <w:color w:val="auto"/>
          <w:sz w:val="28"/>
        </w:rPr>
      </w:pPr>
      <w:r w:rsidRPr="00EB08D3">
        <w:rPr>
          <w:i/>
          <w:color w:val="auto"/>
          <w:sz w:val="16"/>
        </w:rPr>
        <w:t xml:space="preserve"> </w:t>
      </w:r>
      <w:r>
        <w:rPr>
          <w:i/>
          <w:color w:val="auto"/>
          <w:sz w:val="16"/>
        </w:rPr>
        <w:tab/>
      </w:r>
      <w:r>
        <w:rPr>
          <w:i/>
          <w:color w:val="auto"/>
          <w:sz w:val="16"/>
        </w:rPr>
        <w:tab/>
      </w:r>
      <w:r>
        <w:rPr>
          <w:i/>
          <w:color w:val="auto"/>
          <w:sz w:val="16"/>
        </w:rPr>
        <w:tab/>
      </w:r>
      <w:r>
        <w:rPr>
          <w:i/>
          <w:color w:val="auto"/>
          <w:sz w:val="16"/>
        </w:rPr>
        <w:tab/>
      </w:r>
      <w:r>
        <w:rPr>
          <w:i/>
          <w:color w:val="auto"/>
          <w:sz w:val="16"/>
        </w:rPr>
        <w:tab/>
      </w:r>
      <w:r w:rsidRPr="00EB08D3">
        <w:rPr>
          <w:b/>
          <w:color w:val="auto"/>
          <w:sz w:val="28"/>
        </w:rPr>
        <w:t>DIRECTIVE No. 3</w:t>
      </w:r>
      <w:r>
        <w:rPr>
          <w:b/>
          <w:color w:val="auto"/>
          <w:sz w:val="28"/>
        </w:rPr>
        <w:t>/10</w:t>
      </w:r>
    </w:p>
    <w:p w:rsidR="00877994" w:rsidRPr="00EB08D3" w:rsidRDefault="00877994" w:rsidP="00877994">
      <w:pPr>
        <w:spacing w:after="0" w:line="259" w:lineRule="auto"/>
        <w:ind w:left="7210" w:right="-1" w:firstLine="710"/>
      </w:pPr>
      <w:r w:rsidRPr="00EB08D3">
        <w:rPr>
          <w:i/>
          <w:color w:val="auto"/>
          <w:sz w:val="16"/>
        </w:rPr>
        <w:t>Supersedes: 21/09</w:t>
      </w:r>
    </w:p>
    <w:p w:rsidR="00EB08D3" w:rsidRPr="00EB08D3" w:rsidRDefault="00EB08D3" w:rsidP="00877994">
      <w:pPr>
        <w:spacing w:after="0" w:line="259" w:lineRule="auto"/>
        <w:ind w:left="0" w:right="2271" w:firstLine="0"/>
        <w:jc w:val="left"/>
      </w:pPr>
    </w:p>
    <w:p w:rsidR="00746FAF" w:rsidRPr="00746FAF" w:rsidRDefault="00EB08D3" w:rsidP="005248CD">
      <w:pPr>
        <w:pStyle w:val="Heading"/>
        <w:numPr>
          <w:ilvl w:val="0"/>
          <w:numId w:val="41"/>
        </w:numPr>
        <w:ind w:left="426"/>
        <w:rPr>
          <w:sz w:val="22"/>
        </w:rPr>
      </w:pPr>
      <w:r w:rsidRPr="00746FAF">
        <w:t>Title: Declaration of Interests – Public Service Employees</w:t>
      </w:r>
      <w:r w:rsidR="00746FAF" w:rsidRPr="00746FAF">
        <w:br/>
      </w:r>
      <w:r w:rsidRPr="00746FAF">
        <w:t>(other than departmental Chief Executives)</w:t>
      </w:r>
    </w:p>
    <w:p w:rsidR="00746FAF" w:rsidRDefault="00EB08D3" w:rsidP="005248CD">
      <w:pPr>
        <w:numPr>
          <w:ilvl w:val="0"/>
          <w:numId w:val="41"/>
        </w:numPr>
        <w:spacing w:after="0" w:line="346" w:lineRule="auto"/>
        <w:ind w:left="426" w:right="708"/>
        <w:jc w:val="left"/>
      </w:pPr>
      <w:r w:rsidRPr="00746FAF">
        <w:rPr>
          <w:b/>
          <w:sz w:val="24"/>
        </w:rPr>
        <w:t xml:space="preserve">Purpose: </w:t>
      </w:r>
      <w:r w:rsidRPr="00746FAF">
        <w:t xml:space="preserve">  T</w:t>
      </w:r>
      <w:r>
        <w:t>his directive provides for the matters which must be disclosed by public service employe</w:t>
      </w:r>
      <w:bookmarkStart w:id="0" w:name="_GoBack"/>
      <w:bookmarkEnd w:id="0"/>
      <w:r>
        <w:t>es when directed by their Chief Executive, how those matters must be disclosed, the purpose of the disclosure, and specifies requirements for the storage of, and acces</w:t>
      </w:r>
      <w:r w:rsidR="00746FAF">
        <w:t>s to, declarations.</w:t>
      </w:r>
    </w:p>
    <w:p w:rsidR="00746FAF" w:rsidRDefault="00EB08D3" w:rsidP="005248CD">
      <w:pPr>
        <w:numPr>
          <w:ilvl w:val="0"/>
          <w:numId w:val="41"/>
        </w:numPr>
        <w:spacing w:after="0" w:line="346" w:lineRule="auto"/>
        <w:ind w:left="426" w:right="708"/>
        <w:jc w:val="left"/>
        <w:rPr>
          <w:color w:val="auto"/>
        </w:rPr>
      </w:pPr>
      <w:r w:rsidRPr="00560835">
        <w:rPr>
          <w:b/>
          <w:color w:val="auto"/>
          <w:sz w:val="24"/>
          <w:szCs w:val="24"/>
        </w:rPr>
        <w:t>Legislative Provision:</w:t>
      </w:r>
      <w:r w:rsidRPr="00746FAF">
        <w:rPr>
          <w:color w:val="auto"/>
        </w:rPr>
        <w:t xml:space="preserve"> </w:t>
      </w:r>
      <w:r w:rsidRPr="00746FAF">
        <w:rPr>
          <w:i/>
          <w:color w:val="auto"/>
        </w:rPr>
        <w:t xml:space="preserve">Public Service Act 2008 – </w:t>
      </w:r>
      <w:r w:rsidR="00877994" w:rsidRPr="00746FAF">
        <w:rPr>
          <w:color w:val="auto"/>
        </w:rPr>
        <w:t>sections 185-</w:t>
      </w:r>
      <w:r w:rsidRPr="00746FAF">
        <w:rPr>
          <w:color w:val="auto"/>
        </w:rPr>
        <w:t>186</w:t>
      </w:r>
    </w:p>
    <w:p w:rsidR="00746FAF" w:rsidRPr="00746FAF" w:rsidRDefault="00EB08D3" w:rsidP="005248CD">
      <w:pPr>
        <w:numPr>
          <w:ilvl w:val="0"/>
          <w:numId w:val="41"/>
        </w:numPr>
        <w:spacing w:after="0" w:line="346" w:lineRule="auto"/>
        <w:ind w:left="426" w:right="708"/>
        <w:jc w:val="left"/>
        <w:rPr>
          <w:color w:val="auto"/>
          <w:sz w:val="24"/>
          <w:szCs w:val="24"/>
        </w:rPr>
      </w:pPr>
      <w:r w:rsidRPr="00560835">
        <w:rPr>
          <w:b/>
          <w:color w:val="auto"/>
          <w:sz w:val="24"/>
          <w:szCs w:val="24"/>
        </w:rPr>
        <w:t>Effective date:</w:t>
      </w:r>
      <w:r w:rsidRPr="00746FAF">
        <w:rPr>
          <w:color w:val="auto"/>
        </w:rPr>
        <w:t xml:space="preserve"> 9 July 2010</w:t>
      </w:r>
    </w:p>
    <w:p w:rsidR="00EB08D3" w:rsidRPr="00746FAF" w:rsidRDefault="00EB08D3" w:rsidP="005248CD">
      <w:pPr>
        <w:numPr>
          <w:ilvl w:val="0"/>
          <w:numId w:val="41"/>
        </w:numPr>
        <w:spacing w:after="0" w:line="346" w:lineRule="auto"/>
        <w:ind w:left="426" w:right="708"/>
        <w:jc w:val="left"/>
        <w:rPr>
          <w:color w:val="auto"/>
          <w:sz w:val="24"/>
          <w:szCs w:val="24"/>
        </w:rPr>
      </w:pPr>
      <w:r w:rsidRPr="00746FAF">
        <w:rPr>
          <w:b/>
          <w:color w:val="auto"/>
          <w:sz w:val="24"/>
          <w:szCs w:val="24"/>
        </w:rPr>
        <w:t xml:space="preserve">Directive: </w:t>
      </w:r>
    </w:p>
    <w:p w:rsidR="00EB08D3" w:rsidRDefault="00EB08D3" w:rsidP="00EB08D3">
      <w:pPr>
        <w:spacing w:after="0" w:line="259" w:lineRule="auto"/>
        <w:ind w:left="0" w:firstLine="0"/>
        <w:jc w:val="left"/>
      </w:pPr>
      <w:r>
        <w:rPr>
          <w:b/>
          <w:sz w:val="24"/>
        </w:rPr>
        <w:t xml:space="preserve"> </w:t>
      </w:r>
    </w:p>
    <w:p w:rsidR="00EB08D3" w:rsidRPr="00877994" w:rsidRDefault="00EB08D3" w:rsidP="00EB08D3">
      <w:pPr>
        <w:pStyle w:val="Heading2"/>
        <w:ind w:left="-5" w:right="2271"/>
        <w:rPr>
          <w:b/>
          <w:color w:val="auto"/>
          <w:sz w:val="24"/>
        </w:rPr>
      </w:pPr>
      <w:r w:rsidRPr="00877994">
        <w:rPr>
          <w:b/>
          <w:color w:val="auto"/>
          <w:sz w:val="24"/>
        </w:rPr>
        <w:t xml:space="preserve">5.1 Principles </w:t>
      </w:r>
    </w:p>
    <w:p w:rsidR="00EB08D3" w:rsidRDefault="00EB08D3" w:rsidP="00EB08D3">
      <w:r>
        <w:t xml:space="preserve">When a public service employee is directed by a Chief Executive to provide a Declaration of Interests, the following principles apply: </w:t>
      </w:r>
    </w:p>
    <w:p w:rsidR="00EB08D3" w:rsidRDefault="00EB08D3" w:rsidP="00877994">
      <w:pPr>
        <w:ind w:left="567" w:hanging="567"/>
      </w:pPr>
      <w:r>
        <w:t xml:space="preserve">5.1.1 This Directive should be interpreted broadly. Its application should not be limited to a literal reading of the provisions. </w:t>
      </w:r>
    </w:p>
    <w:p w:rsidR="00EB08D3" w:rsidRDefault="00EB08D3" w:rsidP="00877994">
      <w:pPr>
        <w:spacing w:after="120" w:line="240" w:lineRule="auto"/>
        <w:ind w:left="567" w:hanging="567"/>
        <w:jc w:val="left"/>
      </w:pPr>
      <w:r>
        <w:t xml:space="preserve">5.1.2 Employees subject to this policy are responsible for fully disclosing their interests that may have a bearing, or be perceived to have a bearing, on their ability to properly and impartially discharge the duties of their office.   </w:t>
      </w:r>
    </w:p>
    <w:p w:rsidR="00EB08D3" w:rsidRDefault="00EB08D3" w:rsidP="00877994">
      <w:pPr>
        <w:spacing w:after="120" w:line="240" w:lineRule="auto"/>
        <w:ind w:left="567" w:hanging="567"/>
        <w:jc w:val="left"/>
      </w:pPr>
      <w:r>
        <w:t xml:space="preserve">5.1.3 Employees are also responsible for disclosing the interests of their partner and/or dependents only if those interests have a bearing, or may be perceived to have a bearing, on their ability to properly and impartially discharge the duties of their office.          </w:t>
      </w:r>
    </w:p>
    <w:p w:rsidR="00EB08D3" w:rsidRDefault="00EB08D3" w:rsidP="00877994">
      <w:pPr>
        <w:spacing w:after="10"/>
        <w:ind w:left="567" w:hanging="567"/>
      </w:pPr>
      <w:r>
        <w:t xml:space="preserve">5.1.4 Responsibility for the recognition of a real or perceived conflict of interest rests solely with the employee concerned.   </w:t>
      </w:r>
    </w:p>
    <w:p w:rsidR="00EB08D3" w:rsidRDefault="00EB08D3" w:rsidP="00EB08D3">
      <w:pPr>
        <w:spacing w:after="0" w:line="259" w:lineRule="auto"/>
        <w:ind w:left="0" w:firstLine="0"/>
        <w:jc w:val="left"/>
      </w:pPr>
      <w:r>
        <w:rPr>
          <w:sz w:val="24"/>
        </w:rPr>
        <w:t xml:space="preserve"> </w:t>
      </w:r>
    </w:p>
    <w:p w:rsidR="00EB08D3" w:rsidRPr="00877994" w:rsidRDefault="00EB08D3" w:rsidP="00EB08D3">
      <w:pPr>
        <w:pStyle w:val="Heading2"/>
        <w:tabs>
          <w:tab w:val="center" w:pos="1230"/>
        </w:tabs>
        <w:ind w:left="-15"/>
        <w:rPr>
          <w:b/>
          <w:color w:val="auto"/>
          <w:sz w:val="24"/>
        </w:rPr>
      </w:pPr>
      <w:r w:rsidRPr="00877994">
        <w:rPr>
          <w:b/>
          <w:color w:val="auto"/>
          <w:sz w:val="24"/>
        </w:rPr>
        <w:t xml:space="preserve">5.2 </w:t>
      </w:r>
      <w:r w:rsidRPr="00877994">
        <w:rPr>
          <w:b/>
          <w:color w:val="auto"/>
          <w:sz w:val="24"/>
        </w:rPr>
        <w:tab/>
        <w:t xml:space="preserve">Provisions </w:t>
      </w:r>
    </w:p>
    <w:p w:rsidR="00EB08D3" w:rsidRDefault="00EB08D3" w:rsidP="00877994">
      <w:pPr>
        <w:ind w:left="567" w:hanging="567"/>
      </w:pPr>
      <w:r>
        <w:t xml:space="preserve">5.2.1 When directed by the Chief Executive of their department, public service employees are required to provide the Chief Executive with a Declaration of Interests in a form prescribed by the Commission Chief Executive. </w:t>
      </w:r>
    </w:p>
    <w:p w:rsidR="00EB08D3" w:rsidRDefault="00EB08D3" w:rsidP="00877994">
      <w:pPr>
        <w:spacing w:after="0"/>
        <w:ind w:left="567" w:hanging="567"/>
      </w:pPr>
      <w:r>
        <w:t xml:space="preserve">5.2.2 In the event that the interests of a public service employee change, the public service employee should notify their Chief Executive of the change in a form prescribed by the Commission Chief Executive. </w:t>
      </w:r>
    </w:p>
    <w:p w:rsidR="00EB08D3" w:rsidRDefault="00EB08D3" w:rsidP="00EB08D3">
      <w:pPr>
        <w:spacing w:after="0" w:line="259" w:lineRule="auto"/>
        <w:ind w:left="0" w:firstLine="0"/>
        <w:jc w:val="left"/>
      </w:pPr>
      <w:r>
        <w:t xml:space="preserve"> </w:t>
      </w:r>
    </w:p>
    <w:p w:rsidR="00EB08D3" w:rsidRPr="00877994" w:rsidRDefault="00EB08D3" w:rsidP="00EB08D3">
      <w:pPr>
        <w:pStyle w:val="Heading2"/>
        <w:tabs>
          <w:tab w:val="center" w:pos="2099"/>
        </w:tabs>
        <w:ind w:left="-15"/>
        <w:rPr>
          <w:b/>
          <w:color w:val="auto"/>
          <w:sz w:val="24"/>
        </w:rPr>
      </w:pPr>
      <w:r w:rsidRPr="00877994">
        <w:rPr>
          <w:b/>
          <w:color w:val="auto"/>
          <w:sz w:val="24"/>
        </w:rPr>
        <w:t xml:space="preserve">5.3 </w:t>
      </w:r>
      <w:r w:rsidRPr="00877994">
        <w:rPr>
          <w:b/>
          <w:color w:val="auto"/>
          <w:sz w:val="24"/>
        </w:rPr>
        <w:tab/>
        <w:t xml:space="preserve">Information to be declared </w:t>
      </w:r>
    </w:p>
    <w:p w:rsidR="00EB08D3" w:rsidRDefault="00EB08D3" w:rsidP="00877994">
      <w:pPr>
        <w:ind w:left="567" w:hanging="567"/>
      </w:pPr>
      <w:r>
        <w:t xml:space="preserve">5.3.1 Information about interests which public service employees shall declare includes information in relation to all significant </w:t>
      </w:r>
      <w:r>
        <w:rPr>
          <w:i/>
        </w:rPr>
        <w:t>pecuniary</w:t>
      </w:r>
      <w:r>
        <w:t xml:space="preserve"> interests and relevant </w:t>
      </w:r>
      <w:r>
        <w:rPr>
          <w:i/>
        </w:rPr>
        <w:t xml:space="preserve">non-pecuniary </w:t>
      </w:r>
      <w:r>
        <w:t xml:space="preserve">interests of: </w:t>
      </w:r>
    </w:p>
    <w:p w:rsidR="00877994" w:rsidRDefault="00EB08D3" w:rsidP="00EB08D3">
      <w:pPr>
        <w:numPr>
          <w:ilvl w:val="0"/>
          <w:numId w:val="38"/>
        </w:numPr>
        <w:spacing w:after="0"/>
        <w:ind w:right="5502" w:hanging="360"/>
      </w:pPr>
      <w:r>
        <w:t xml:space="preserve">the public service employee,   </w:t>
      </w:r>
    </w:p>
    <w:p w:rsidR="00EB08D3" w:rsidRDefault="00877994" w:rsidP="00EB08D3">
      <w:pPr>
        <w:numPr>
          <w:ilvl w:val="0"/>
          <w:numId w:val="38"/>
        </w:numPr>
        <w:spacing w:after="0"/>
        <w:ind w:right="5502" w:hanging="360"/>
      </w:pPr>
      <w:r>
        <w:t>t</w:t>
      </w:r>
      <w:r w:rsidR="00EB08D3">
        <w:t xml:space="preserve">heir partner; and   </w:t>
      </w:r>
    </w:p>
    <w:p w:rsidR="00EB08D3" w:rsidRDefault="00EB08D3" w:rsidP="00EB08D3">
      <w:pPr>
        <w:numPr>
          <w:ilvl w:val="0"/>
          <w:numId w:val="38"/>
        </w:numPr>
        <w:ind w:right="5502" w:hanging="360"/>
      </w:pPr>
      <w:proofErr w:type="gramStart"/>
      <w:r>
        <w:t>any</w:t>
      </w:r>
      <w:proofErr w:type="gramEnd"/>
      <w:r>
        <w:t xml:space="preserve"> dependents.   </w:t>
      </w:r>
    </w:p>
    <w:p w:rsidR="00EB08D3" w:rsidRDefault="00EB08D3" w:rsidP="00877994">
      <w:pPr>
        <w:ind w:left="567" w:hanging="567"/>
      </w:pPr>
      <w:r>
        <w:lastRenderedPageBreak/>
        <w:t xml:space="preserve">5.3.2 Within the principles outlined in section 5.1 of this directive, the interests referred to in 5.3.1 above are those which may have, or may be perceived to have, the potential for a conflict of interest and may include – </w:t>
      </w:r>
    </w:p>
    <w:p w:rsidR="00EB08D3" w:rsidRDefault="00EB08D3" w:rsidP="00EB08D3">
      <w:pPr>
        <w:numPr>
          <w:ilvl w:val="0"/>
          <w:numId w:val="39"/>
        </w:numPr>
        <w:ind w:hanging="360"/>
      </w:pPr>
      <w:r>
        <w:t xml:space="preserve">shareholdings in public and private companies; </w:t>
      </w:r>
    </w:p>
    <w:p w:rsidR="00EB08D3" w:rsidRDefault="00EB08D3" w:rsidP="00EB08D3">
      <w:pPr>
        <w:numPr>
          <w:ilvl w:val="0"/>
          <w:numId w:val="39"/>
        </w:numPr>
        <w:ind w:hanging="360"/>
      </w:pPr>
      <w:r>
        <w:t xml:space="preserve">family and business trusts and nominee companies; </w:t>
      </w:r>
    </w:p>
    <w:p w:rsidR="00EB08D3" w:rsidRDefault="00EB08D3" w:rsidP="00EB08D3">
      <w:pPr>
        <w:numPr>
          <w:ilvl w:val="0"/>
          <w:numId w:val="39"/>
        </w:numPr>
        <w:ind w:hanging="360"/>
      </w:pPr>
      <w:r>
        <w:t xml:space="preserve">bonds, debentures and like investments; </w:t>
      </w:r>
    </w:p>
    <w:p w:rsidR="00EB08D3" w:rsidRDefault="00EB08D3" w:rsidP="00EB08D3">
      <w:pPr>
        <w:numPr>
          <w:ilvl w:val="0"/>
          <w:numId w:val="39"/>
        </w:numPr>
        <w:ind w:hanging="360"/>
      </w:pPr>
      <w:r>
        <w:t xml:space="preserve">savings and investment accounts; </w:t>
      </w:r>
    </w:p>
    <w:p w:rsidR="00EB08D3" w:rsidRDefault="00EB08D3" w:rsidP="00EB08D3">
      <w:pPr>
        <w:numPr>
          <w:ilvl w:val="0"/>
          <w:numId w:val="39"/>
        </w:numPr>
        <w:ind w:hanging="360"/>
      </w:pPr>
      <w:r>
        <w:t xml:space="preserve">partnerships; </w:t>
      </w:r>
    </w:p>
    <w:p w:rsidR="00EB08D3" w:rsidRDefault="00EB08D3" w:rsidP="00EB08D3">
      <w:pPr>
        <w:numPr>
          <w:ilvl w:val="0"/>
          <w:numId w:val="39"/>
        </w:numPr>
        <w:ind w:hanging="360"/>
      </w:pPr>
      <w:r>
        <w:t xml:space="preserve">real estate; </w:t>
      </w:r>
    </w:p>
    <w:p w:rsidR="00EB08D3" w:rsidRDefault="00EB08D3" w:rsidP="00EB08D3">
      <w:pPr>
        <w:numPr>
          <w:ilvl w:val="0"/>
          <w:numId w:val="39"/>
        </w:numPr>
        <w:ind w:hanging="360"/>
      </w:pPr>
      <w:r>
        <w:t xml:space="preserve">directorships in or employment by a public or private company; </w:t>
      </w:r>
    </w:p>
    <w:p w:rsidR="00EB08D3" w:rsidRDefault="00EB08D3" w:rsidP="00EB08D3">
      <w:pPr>
        <w:numPr>
          <w:ilvl w:val="0"/>
          <w:numId w:val="39"/>
        </w:numPr>
        <w:ind w:hanging="360"/>
      </w:pPr>
      <w:r>
        <w:t xml:space="preserve">other assets; </w:t>
      </w:r>
    </w:p>
    <w:p w:rsidR="00EB08D3" w:rsidRDefault="00EB08D3" w:rsidP="00EB08D3">
      <w:pPr>
        <w:numPr>
          <w:ilvl w:val="0"/>
          <w:numId w:val="39"/>
        </w:numPr>
        <w:ind w:hanging="360"/>
      </w:pPr>
      <w:r>
        <w:t xml:space="preserve">other substantial sources of income; </w:t>
      </w:r>
    </w:p>
    <w:p w:rsidR="00EB08D3" w:rsidRDefault="00EB08D3" w:rsidP="00EB08D3">
      <w:pPr>
        <w:numPr>
          <w:ilvl w:val="0"/>
          <w:numId w:val="39"/>
        </w:numPr>
        <w:ind w:hanging="360"/>
      </w:pPr>
      <w:r>
        <w:t xml:space="preserve">other interests; </w:t>
      </w:r>
    </w:p>
    <w:p w:rsidR="00EB08D3" w:rsidRDefault="00EB08D3" w:rsidP="00EB08D3">
      <w:pPr>
        <w:numPr>
          <w:ilvl w:val="0"/>
          <w:numId w:val="39"/>
        </w:numPr>
        <w:ind w:hanging="360"/>
      </w:pPr>
      <w:r>
        <w:t xml:space="preserve">liabilities; </w:t>
      </w:r>
    </w:p>
    <w:p w:rsidR="00EB08D3" w:rsidRDefault="00EB08D3" w:rsidP="00EB08D3">
      <w:pPr>
        <w:numPr>
          <w:ilvl w:val="0"/>
          <w:numId w:val="39"/>
        </w:numPr>
        <w:spacing w:after="9"/>
        <w:ind w:hanging="360"/>
      </w:pPr>
      <w:proofErr w:type="gramStart"/>
      <w:r>
        <w:t>organisational</w:t>
      </w:r>
      <w:proofErr w:type="gramEnd"/>
      <w:r>
        <w:t xml:space="preserve"> memberships.   </w:t>
      </w:r>
    </w:p>
    <w:p w:rsidR="00EB08D3" w:rsidRDefault="00EB08D3" w:rsidP="00EB08D3">
      <w:pPr>
        <w:spacing w:after="0" w:line="259" w:lineRule="auto"/>
        <w:ind w:left="0" w:firstLine="0"/>
        <w:jc w:val="left"/>
      </w:pPr>
      <w:r>
        <w:rPr>
          <w:sz w:val="24"/>
        </w:rPr>
        <w:t xml:space="preserve"> </w:t>
      </w:r>
    </w:p>
    <w:p w:rsidR="00EB08D3" w:rsidRPr="00877994" w:rsidRDefault="00EB08D3" w:rsidP="00EB08D3">
      <w:pPr>
        <w:pStyle w:val="Heading2"/>
        <w:tabs>
          <w:tab w:val="center" w:pos="2360"/>
        </w:tabs>
        <w:ind w:left="-15"/>
        <w:rPr>
          <w:b/>
          <w:color w:val="auto"/>
          <w:sz w:val="24"/>
        </w:rPr>
      </w:pPr>
      <w:r w:rsidRPr="00877994">
        <w:rPr>
          <w:b/>
          <w:color w:val="auto"/>
          <w:sz w:val="24"/>
        </w:rPr>
        <w:t xml:space="preserve">5.4 </w:t>
      </w:r>
      <w:r w:rsidRPr="00877994">
        <w:rPr>
          <w:b/>
          <w:color w:val="auto"/>
          <w:sz w:val="24"/>
        </w:rPr>
        <w:tab/>
        <w:t xml:space="preserve">Identifying a conflict of interest </w:t>
      </w:r>
    </w:p>
    <w:p w:rsidR="00EB08D3" w:rsidRDefault="00EB08D3" w:rsidP="00877994">
      <w:pPr>
        <w:spacing w:after="0" w:line="240" w:lineRule="auto"/>
        <w:ind w:left="567" w:hanging="567"/>
        <w:jc w:val="left"/>
      </w:pPr>
      <w:r>
        <w:t xml:space="preserve">5.4.1 A public service employee who identifies that he or she has a conflict of interest, or potential for a conflict of interest, must disclose the circumstances to their Chief Executive.  They must not take action in the matter unless authorised by the Chief Executive – see section 186 of the </w:t>
      </w:r>
      <w:r>
        <w:rPr>
          <w:i/>
        </w:rPr>
        <w:t xml:space="preserve">Public Service Act 2008.  </w:t>
      </w:r>
      <w:r>
        <w:t xml:space="preserve">     </w:t>
      </w:r>
      <w:r>
        <w:rPr>
          <w:b/>
          <w:sz w:val="24"/>
        </w:rPr>
        <w:t xml:space="preserve"> </w:t>
      </w:r>
    </w:p>
    <w:p w:rsidR="00EB08D3" w:rsidRDefault="00EB08D3" w:rsidP="00EB08D3">
      <w:pPr>
        <w:spacing w:after="0" w:line="259" w:lineRule="auto"/>
        <w:ind w:left="0" w:firstLine="0"/>
        <w:jc w:val="left"/>
      </w:pPr>
      <w:r>
        <w:rPr>
          <w:b/>
          <w:sz w:val="24"/>
        </w:rPr>
        <w:t xml:space="preserve"> </w:t>
      </w:r>
    </w:p>
    <w:p w:rsidR="00EB08D3" w:rsidRPr="00877994" w:rsidRDefault="00EB08D3" w:rsidP="00EB08D3">
      <w:pPr>
        <w:pStyle w:val="Heading2"/>
        <w:tabs>
          <w:tab w:val="center" w:pos="1810"/>
        </w:tabs>
        <w:ind w:left="-15"/>
        <w:rPr>
          <w:b/>
          <w:color w:val="auto"/>
          <w:sz w:val="24"/>
        </w:rPr>
      </w:pPr>
      <w:r w:rsidRPr="00877994">
        <w:rPr>
          <w:b/>
          <w:color w:val="auto"/>
          <w:sz w:val="24"/>
        </w:rPr>
        <w:t xml:space="preserve">5.5 </w:t>
      </w:r>
      <w:r w:rsidRPr="00877994">
        <w:rPr>
          <w:b/>
          <w:color w:val="auto"/>
          <w:sz w:val="24"/>
        </w:rPr>
        <w:tab/>
        <w:t xml:space="preserve">Changes in interests </w:t>
      </w:r>
    </w:p>
    <w:p w:rsidR="00EB08D3" w:rsidRDefault="00EB08D3" w:rsidP="00877994">
      <w:pPr>
        <w:spacing w:after="120" w:line="240" w:lineRule="auto"/>
        <w:ind w:left="567" w:hanging="567"/>
        <w:jc w:val="left"/>
      </w:pPr>
      <w:r>
        <w:t xml:space="preserve">5.5.1 When interests change to the extent that the potential for a conflict of interest is altered, a public service employee must submit a revised Declaration of Interests within one (1) month after the relevant facts of the change come to the knowledge of the person.  </w:t>
      </w:r>
    </w:p>
    <w:p w:rsidR="00EB08D3" w:rsidRDefault="00EB08D3" w:rsidP="00877994">
      <w:pPr>
        <w:ind w:left="567" w:hanging="567"/>
      </w:pPr>
      <w:r>
        <w:t xml:space="preserve">5.5.2 Change in interests may include: </w:t>
      </w:r>
    </w:p>
    <w:p w:rsidR="00EB08D3" w:rsidRDefault="00EB08D3" w:rsidP="00EB08D3">
      <w:pPr>
        <w:numPr>
          <w:ilvl w:val="0"/>
          <w:numId w:val="40"/>
        </w:numPr>
        <w:ind w:hanging="360"/>
      </w:pPr>
      <w:r>
        <w:t xml:space="preserve">any significant change in the interests about which information is required including acquisition, divestment or an altered relationship in the interest; or </w:t>
      </w:r>
    </w:p>
    <w:p w:rsidR="00EB08D3" w:rsidRDefault="00EB08D3" w:rsidP="00EB08D3">
      <w:pPr>
        <w:numPr>
          <w:ilvl w:val="0"/>
          <w:numId w:val="40"/>
        </w:numPr>
        <w:spacing w:after="9"/>
        <w:ind w:hanging="360"/>
      </w:pPr>
      <w:proofErr w:type="gramStart"/>
      <w:r>
        <w:t>a</w:t>
      </w:r>
      <w:proofErr w:type="gramEnd"/>
      <w:r>
        <w:t xml:space="preserve"> significant change in the official responsibilities of the public service employee.  </w:t>
      </w:r>
    </w:p>
    <w:p w:rsidR="00EB08D3" w:rsidRDefault="00EB08D3" w:rsidP="00EB08D3">
      <w:pPr>
        <w:spacing w:after="0" w:line="259" w:lineRule="auto"/>
        <w:ind w:left="720" w:firstLine="0"/>
        <w:jc w:val="left"/>
      </w:pPr>
      <w:r>
        <w:rPr>
          <w:sz w:val="24"/>
        </w:rPr>
        <w:t xml:space="preserve"> </w:t>
      </w:r>
    </w:p>
    <w:p w:rsidR="00EB08D3" w:rsidRPr="00877994" w:rsidRDefault="00EB08D3" w:rsidP="00EB08D3">
      <w:pPr>
        <w:pStyle w:val="Heading2"/>
        <w:tabs>
          <w:tab w:val="center" w:pos="1697"/>
        </w:tabs>
        <w:ind w:left="-15"/>
        <w:rPr>
          <w:b/>
          <w:color w:val="auto"/>
          <w:sz w:val="24"/>
        </w:rPr>
      </w:pPr>
      <w:r w:rsidRPr="00877994">
        <w:rPr>
          <w:b/>
          <w:color w:val="auto"/>
          <w:sz w:val="24"/>
        </w:rPr>
        <w:t xml:space="preserve">5.6 </w:t>
      </w:r>
      <w:r w:rsidRPr="00877994">
        <w:rPr>
          <w:b/>
          <w:color w:val="auto"/>
          <w:sz w:val="24"/>
        </w:rPr>
        <w:tab/>
        <w:t xml:space="preserve">Storage of records  </w:t>
      </w:r>
    </w:p>
    <w:p w:rsidR="00EB08D3" w:rsidRDefault="00EB08D3" w:rsidP="00877994">
      <w:pPr>
        <w:ind w:left="567" w:hanging="567"/>
      </w:pPr>
      <w:r>
        <w:t xml:space="preserve">5.6.1 Completed Declaration of Interests records will be filed securely with the Chief Executive.   </w:t>
      </w:r>
    </w:p>
    <w:p w:rsidR="00EB08D3" w:rsidRDefault="00EB08D3" w:rsidP="00877994">
      <w:pPr>
        <w:spacing w:after="0"/>
        <w:ind w:left="567" w:hanging="567"/>
      </w:pPr>
      <w:r>
        <w:t xml:space="preserve">5.6.2 Upon the employee ceasing employment with the agency, their declaration of interest documentation will be securely filed on the employee’s personal record.  </w:t>
      </w:r>
    </w:p>
    <w:p w:rsidR="00EB08D3" w:rsidRDefault="00EB08D3" w:rsidP="00EB08D3">
      <w:pPr>
        <w:spacing w:after="0" w:line="259" w:lineRule="auto"/>
        <w:ind w:left="0" w:firstLine="0"/>
        <w:jc w:val="left"/>
      </w:pPr>
      <w:r>
        <w:t xml:space="preserve"> </w:t>
      </w:r>
    </w:p>
    <w:p w:rsidR="00EB08D3" w:rsidRPr="00877994" w:rsidRDefault="00EB08D3" w:rsidP="00EB08D3">
      <w:pPr>
        <w:pStyle w:val="Heading2"/>
        <w:tabs>
          <w:tab w:val="center" w:pos="1669"/>
        </w:tabs>
        <w:ind w:left="-15"/>
        <w:rPr>
          <w:b/>
          <w:color w:val="auto"/>
          <w:sz w:val="24"/>
        </w:rPr>
      </w:pPr>
      <w:r w:rsidRPr="00877994">
        <w:rPr>
          <w:b/>
          <w:color w:val="auto"/>
          <w:sz w:val="24"/>
        </w:rPr>
        <w:t xml:space="preserve">5.7 </w:t>
      </w:r>
      <w:r w:rsidRPr="00877994">
        <w:rPr>
          <w:b/>
          <w:color w:val="auto"/>
          <w:sz w:val="24"/>
        </w:rPr>
        <w:tab/>
        <w:t xml:space="preserve">Access to records </w:t>
      </w:r>
    </w:p>
    <w:p w:rsidR="00EB08D3" w:rsidRDefault="00EB08D3" w:rsidP="00877994">
      <w:pPr>
        <w:ind w:left="567" w:hanging="567"/>
      </w:pPr>
      <w:r>
        <w:t xml:space="preserve">5.7.1 Declarations are to be maintained in the strictest confidence. Unless required by law, access to Declarations of Interests is limited to the employee and the Chief Executive or delegate.  </w:t>
      </w:r>
    </w:p>
    <w:p w:rsidR="00EB08D3" w:rsidRDefault="00EB08D3" w:rsidP="00877994">
      <w:pPr>
        <w:ind w:left="567" w:hanging="567"/>
      </w:pPr>
      <w:r>
        <w:t xml:space="preserve">5.7.2 Declaration of Interests records may be the subject of applications for access under the </w:t>
      </w:r>
      <w:r>
        <w:rPr>
          <w:i/>
        </w:rPr>
        <w:t>Right to Information Act 2009</w:t>
      </w:r>
      <w:r>
        <w:t xml:space="preserve"> and/or the </w:t>
      </w:r>
      <w:r>
        <w:rPr>
          <w:i/>
        </w:rPr>
        <w:t>Information Privacy Act 2009</w:t>
      </w:r>
      <w:r>
        <w:t xml:space="preserve">.  Each application for access would be considered on a case by case basis before a decision is made on whether it is in the public interest to release the document. </w:t>
      </w:r>
    </w:p>
    <w:p w:rsidR="00EB08D3" w:rsidRDefault="00EB08D3" w:rsidP="00877994">
      <w:pPr>
        <w:spacing w:after="0"/>
        <w:ind w:left="567" w:hanging="567"/>
      </w:pPr>
      <w:r>
        <w:lastRenderedPageBreak/>
        <w:t xml:space="preserve">5.7.3 In the event of receipt of an application for access to a Declaration of Interests, the agency is required to consult the public service employee who made the declaration about their views on the application prior to any decision being made to release the document. </w:t>
      </w:r>
    </w:p>
    <w:p w:rsidR="00EB08D3" w:rsidRDefault="00EB08D3" w:rsidP="00EB08D3">
      <w:pPr>
        <w:spacing w:after="0" w:line="259" w:lineRule="auto"/>
        <w:ind w:left="0" w:firstLine="0"/>
        <w:jc w:val="left"/>
      </w:pPr>
      <w:r>
        <w:t xml:space="preserve"> </w:t>
      </w:r>
    </w:p>
    <w:p w:rsidR="00EB08D3" w:rsidRPr="00877994" w:rsidRDefault="00EB08D3" w:rsidP="00EB08D3">
      <w:pPr>
        <w:pStyle w:val="Heading2"/>
        <w:tabs>
          <w:tab w:val="center" w:pos="3171"/>
        </w:tabs>
        <w:ind w:left="-15"/>
        <w:rPr>
          <w:b/>
          <w:color w:val="auto"/>
          <w:sz w:val="24"/>
        </w:rPr>
      </w:pPr>
      <w:r w:rsidRPr="00877994">
        <w:rPr>
          <w:b/>
          <w:color w:val="auto"/>
          <w:sz w:val="24"/>
        </w:rPr>
        <w:t xml:space="preserve">5.8 </w:t>
      </w:r>
      <w:r w:rsidRPr="00877994">
        <w:rPr>
          <w:b/>
          <w:color w:val="auto"/>
          <w:sz w:val="24"/>
        </w:rPr>
        <w:tab/>
        <w:t xml:space="preserve">Public service employee to be fully informed </w:t>
      </w:r>
    </w:p>
    <w:p w:rsidR="00EB08D3" w:rsidRDefault="00EB08D3" w:rsidP="00877994">
      <w:pPr>
        <w:ind w:left="567" w:hanging="567"/>
      </w:pPr>
      <w:r>
        <w:t xml:space="preserve">5.8.1 A public service employee is responsible for acquiring and being familiar with the information released from time to time by the Integrity Commissioner, the Public Service Commission and the Crime and Misconduct Commission concerning conflict of interest issues. </w:t>
      </w:r>
    </w:p>
    <w:p w:rsidR="00EB08D3" w:rsidRDefault="00EB08D3" w:rsidP="00877994">
      <w:pPr>
        <w:ind w:left="567" w:hanging="567"/>
      </w:pPr>
      <w:r>
        <w:t xml:space="preserve">5.8.2 Public service employees who are senior officers or senior executives should be aware of the role of the Queensland Integrity Commissioner and seek counsel on any issue that may arise as a conflict of interest or potential conflict of interest. </w:t>
      </w:r>
    </w:p>
    <w:p w:rsidR="009F7472" w:rsidRPr="00F027C2" w:rsidRDefault="00877994" w:rsidP="00EB08D3">
      <w:r>
        <w:rPr>
          <w:rFonts w:ascii="Calibri" w:eastAsia="Calibri" w:hAnsi="Calibri" w:cs="Calibri"/>
          <w:noProof/>
        </w:rPr>
        <mc:AlternateContent>
          <mc:Choice Requires="wpg">
            <w:drawing>
              <wp:anchor distT="0" distB="0" distL="114300" distR="114300" simplePos="0" relativeHeight="251662336" behindDoc="0" locked="0" layoutInCell="1" allowOverlap="1" wp14:anchorId="77860B48" wp14:editId="6C6BD32C">
                <wp:simplePos x="0" y="0"/>
                <wp:positionH relativeFrom="page">
                  <wp:posOffset>717755</wp:posOffset>
                </wp:positionH>
                <wp:positionV relativeFrom="page">
                  <wp:posOffset>10161639</wp:posOffset>
                </wp:positionV>
                <wp:extent cx="6491740" cy="318770"/>
                <wp:effectExtent l="0" t="0" r="0" b="0"/>
                <wp:wrapTopAndBottom/>
                <wp:docPr id="1315" name="Group 1315"/>
                <wp:cNvGraphicFramePr/>
                <a:graphic xmlns:a="http://schemas.openxmlformats.org/drawingml/2006/main">
                  <a:graphicData uri="http://schemas.microsoft.com/office/word/2010/wordprocessingGroup">
                    <wpg:wgp>
                      <wpg:cNvGrpSpPr/>
                      <wpg:grpSpPr>
                        <a:xfrm>
                          <a:off x="0" y="0"/>
                          <a:ext cx="6491740" cy="318770"/>
                          <a:chOff x="720088" y="407098"/>
                          <a:chExt cx="6492204" cy="319033"/>
                        </a:xfrm>
                      </wpg:grpSpPr>
                      <wps:wsp>
                        <wps:cNvPr id="326" name="Rectangle 326"/>
                        <wps:cNvSpPr/>
                        <wps:spPr>
                          <a:xfrm>
                            <a:off x="6892756" y="407098"/>
                            <a:ext cx="42233" cy="169653"/>
                          </a:xfrm>
                          <a:prstGeom prst="rect">
                            <a:avLst/>
                          </a:prstGeom>
                          <a:ln>
                            <a:noFill/>
                          </a:ln>
                        </wps:spPr>
                        <wps:txbx>
                          <w:txbxContent>
                            <w:p w:rsidR="00EB08D3" w:rsidRDefault="00EB08D3" w:rsidP="00EB08D3">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328" name="Rectangle 328"/>
                        <wps:cNvSpPr/>
                        <wps:spPr>
                          <a:xfrm>
                            <a:off x="7121345" y="407098"/>
                            <a:ext cx="84541" cy="169653"/>
                          </a:xfrm>
                          <a:prstGeom prst="rect">
                            <a:avLst/>
                          </a:prstGeom>
                          <a:ln>
                            <a:noFill/>
                          </a:ln>
                        </wps:spPr>
                        <wps:txbx>
                          <w:txbxContent>
                            <w:p w:rsidR="00EB08D3" w:rsidRDefault="00EB08D3" w:rsidP="00EB08D3">
                              <w:pPr>
                                <w:spacing w:after="160" w:line="259" w:lineRule="auto"/>
                                <w:ind w:left="0" w:firstLine="0"/>
                                <w:jc w:val="left"/>
                              </w:pPr>
                              <w:r>
                                <w:rPr>
                                  <w:color w:val="FFFFFF"/>
                                  <w:sz w:val="18"/>
                                </w:rPr>
                                <w:t>3</w:t>
                              </w:r>
                            </w:p>
                          </w:txbxContent>
                        </wps:txbx>
                        <wps:bodyPr horzOverflow="overflow" vert="horz" lIns="0" tIns="0" rIns="0" bIns="0" rtlCol="0">
                          <a:noAutofit/>
                        </wps:bodyPr>
                      </wps:wsp>
                      <wps:wsp>
                        <wps:cNvPr id="189" name="Rectangle 189"/>
                        <wps:cNvSpPr/>
                        <wps:spPr>
                          <a:xfrm>
                            <a:off x="7184135" y="441579"/>
                            <a:ext cx="28157" cy="113102"/>
                          </a:xfrm>
                          <a:prstGeom prst="rect">
                            <a:avLst/>
                          </a:prstGeom>
                          <a:ln>
                            <a:noFill/>
                          </a:ln>
                        </wps:spPr>
                        <wps:txbx>
                          <w:txbxContent>
                            <w:p w:rsidR="00EB08D3" w:rsidRDefault="00EB08D3" w:rsidP="00EB08D3">
                              <w:pPr>
                                <w:spacing w:after="160" w:line="259" w:lineRule="auto"/>
                                <w:ind w:left="0" w:firstLine="0"/>
                                <w:jc w:val="left"/>
                              </w:pPr>
                              <w:r>
                                <w:rPr>
                                  <w:color w:val="FFFFFF"/>
                                  <w:sz w:val="12"/>
                                </w:rPr>
                                <w:t xml:space="preserve"> </w:t>
                              </w:r>
                            </w:p>
                          </w:txbxContent>
                        </wps:txbx>
                        <wps:bodyPr horzOverflow="overflow" vert="horz" lIns="0" tIns="0" rIns="0" bIns="0" rtlCol="0">
                          <a:noAutofit/>
                        </wps:bodyPr>
                      </wps:wsp>
                      <wps:wsp>
                        <wps:cNvPr id="190" name="Rectangle 190"/>
                        <wps:cNvSpPr/>
                        <wps:spPr>
                          <a:xfrm>
                            <a:off x="720088" y="613029"/>
                            <a:ext cx="28157" cy="113102"/>
                          </a:xfrm>
                          <a:prstGeom prst="rect">
                            <a:avLst/>
                          </a:prstGeom>
                          <a:ln>
                            <a:noFill/>
                          </a:ln>
                        </wps:spPr>
                        <wps:txbx>
                          <w:txbxContent>
                            <w:p w:rsidR="00EB08D3" w:rsidRDefault="00EB08D3" w:rsidP="00EB08D3">
                              <w:pPr>
                                <w:spacing w:after="160" w:line="259" w:lineRule="auto"/>
                                <w:ind w:left="0" w:firstLine="0"/>
                                <w:jc w:val="left"/>
                              </w:pPr>
                              <w:r>
                                <w:rPr>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7860B48" id="Group 1315" o:spid="_x0000_s1026" style="position:absolute;left:0;text-align:left;margin-left:56.5pt;margin-top:800.15pt;width:511.15pt;height:25.1pt;z-index:251662336;mso-position-horizontal-relative:page;mso-position-vertical-relative:page;mso-width-relative:margin;mso-height-relative:margin" coordorigin="7200,4070" coordsize="6492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">
                <v:rect id="Rectangle 326" o:spid="_x0000_s1027" style="position:absolute;left:68927;top:4070;width:422;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EB08D3" w:rsidRDefault="00EB08D3" w:rsidP="00EB08D3">
                        <w:pPr>
                          <w:spacing w:after="160" w:line="259" w:lineRule="auto"/>
                          <w:ind w:left="0" w:firstLine="0"/>
                          <w:jc w:val="left"/>
                        </w:pPr>
                        <w:r>
                          <w:rPr>
                            <w:color w:val="FFFFFF"/>
                            <w:sz w:val="18"/>
                          </w:rPr>
                          <w:t xml:space="preserve"> </w:t>
                        </w:r>
                      </w:p>
                    </w:txbxContent>
                  </v:textbox>
                </v:rect>
                <v:rect id="Rectangle 328" o:spid="_x0000_s1028" style="position:absolute;left:71213;top:4070;width:845;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EB08D3" w:rsidRDefault="00EB08D3" w:rsidP="00EB08D3">
                        <w:pPr>
                          <w:spacing w:after="160" w:line="259" w:lineRule="auto"/>
                          <w:ind w:left="0" w:firstLine="0"/>
                          <w:jc w:val="left"/>
                        </w:pPr>
                        <w:r>
                          <w:rPr>
                            <w:color w:val="FFFFFF"/>
                            <w:sz w:val="18"/>
                          </w:rPr>
                          <w:t>3</w:t>
                        </w:r>
                      </w:p>
                    </w:txbxContent>
                  </v:textbox>
                </v:rect>
                <v:rect id="Rectangle 189" o:spid="_x0000_s1029" style="position:absolute;left:71841;top:4415;width:281;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EB08D3" w:rsidRDefault="00EB08D3" w:rsidP="00EB08D3">
                        <w:pPr>
                          <w:spacing w:after="160" w:line="259" w:lineRule="auto"/>
                          <w:ind w:left="0" w:firstLine="0"/>
                          <w:jc w:val="left"/>
                        </w:pPr>
                        <w:r>
                          <w:rPr>
                            <w:color w:val="FFFFFF"/>
                            <w:sz w:val="12"/>
                          </w:rPr>
                          <w:t xml:space="preserve"> </w:t>
                        </w:r>
                      </w:p>
                    </w:txbxContent>
                  </v:textbox>
                </v:rect>
                <v:rect id="Rectangle 190" o:spid="_x0000_s1030" style="position:absolute;left:7200;top:6130;width:282;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EB08D3" w:rsidRDefault="00EB08D3" w:rsidP="00EB08D3">
                        <w:pPr>
                          <w:spacing w:after="160" w:line="259" w:lineRule="auto"/>
                          <w:ind w:left="0" w:firstLine="0"/>
                          <w:jc w:val="left"/>
                        </w:pPr>
                        <w:r>
                          <w:rPr>
                            <w:sz w:val="12"/>
                          </w:rPr>
                          <w:t xml:space="preserve"> </w:t>
                        </w:r>
                      </w:p>
                    </w:txbxContent>
                  </v:textbox>
                </v:rect>
                <w10:wrap type="topAndBottom" anchorx="page" anchory="page"/>
              </v:group>
            </w:pict>
          </mc:Fallback>
        </mc:AlternateContent>
      </w:r>
    </w:p>
    <w:sectPr w:rsidR="009F7472" w:rsidRPr="00F027C2" w:rsidSect="00C54449">
      <w:headerReference w:type="default" r:id="rId10"/>
      <w:footerReference w:type="default" r:id="rId11"/>
      <w:headerReference w:type="first" r:id="rId12"/>
      <w:footerReference w:type="first" r:id="rId13"/>
      <w:type w:val="continuous"/>
      <w:pgSz w:w="11907" w:h="16840" w:code="9"/>
      <w:pgMar w:top="1134" w:right="709" w:bottom="1134" w:left="709"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23" w:rsidRDefault="005E2423" w:rsidP="002C39DD">
      <w:r>
        <w:separator/>
      </w:r>
    </w:p>
    <w:p w:rsidR="005E2423" w:rsidRDefault="005E2423" w:rsidP="002C39DD"/>
    <w:p w:rsidR="005E2423" w:rsidRDefault="005E2423" w:rsidP="002C39DD"/>
    <w:p w:rsidR="005E2423" w:rsidRDefault="005E2423" w:rsidP="002C39DD"/>
    <w:p w:rsidR="005E2423" w:rsidRDefault="005E2423"/>
    <w:p w:rsidR="005E2423" w:rsidRDefault="005E2423"/>
  </w:endnote>
  <w:endnote w:type="continuationSeparator" w:id="0">
    <w:p w:rsidR="005E2423" w:rsidRDefault="005E2423" w:rsidP="002C39DD">
      <w:r>
        <w:continuationSeparator/>
      </w:r>
    </w:p>
    <w:p w:rsidR="005E2423" w:rsidRDefault="005E2423" w:rsidP="002C39DD"/>
    <w:p w:rsidR="005E2423" w:rsidRDefault="005E2423" w:rsidP="002C39DD"/>
    <w:p w:rsidR="005E2423" w:rsidRDefault="005E2423" w:rsidP="002C39DD"/>
    <w:p w:rsidR="005E2423" w:rsidRDefault="005E2423"/>
    <w:p w:rsidR="005E2423" w:rsidRDefault="005E24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9157"/>
      <w:gridCol w:w="1296"/>
    </w:tblGrid>
    <w:tr w:rsidR="003B707D" w:rsidRPr="00933F6B" w:rsidTr="005C4352">
      <w:tc>
        <w:tcPr>
          <w:tcW w:w="9348" w:type="dxa"/>
          <w:vAlign w:val="bottom"/>
        </w:tcPr>
        <w:p w:rsidR="003B707D" w:rsidRPr="00933F6B" w:rsidRDefault="00560835" w:rsidP="005C4352">
          <w:pPr>
            <w:pStyle w:val="Footer"/>
          </w:pPr>
          <w:fldSimple w:instr=" TITLE  \* Caps  \* MERGEFORMAT ">
            <w:r w:rsidR="00CA212D">
              <w:t>DIRECTIVE No. 3/10 - Declaration Of Interests – Public Service Employees (Other Than Departmental Chief Executives)</w:t>
            </w:r>
          </w:fldSimple>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5248CD">
            <w:rPr>
              <w:noProof/>
            </w:rPr>
            <w:t>2</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9F7472">
    <w:pPr>
      <w:pStyle w:val="Footer"/>
    </w:pPr>
    <w:r>
      <w:rPr>
        <w:noProof/>
      </w:rPr>
      <w:drawing>
        <wp:anchor distT="0" distB="0" distL="114300" distR="114300" simplePos="0" relativeHeight="251663360" behindDoc="1" locked="0" layoutInCell="1" allowOverlap="1" wp14:anchorId="505C1718" wp14:editId="2ED0357B">
          <wp:simplePos x="0" y="0"/>
          <wp:positionH relativeFrom="page">
            <wp:posOffset>13970</wp:posOffset>
          </wp:positionH>
          <wp:positionV relativeFrom="page">
            <wp:posOffset>9547860</wp:posOffset>
          </wp:positionV>
          <wp:extent cx="7560310" cy="1144905"/>
          <wp:effectExtent l="0" t="0" r="2540" b="0"/>
          <wp:wrapNone/>
          <wp:docPr id="1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23" w:rsidRDefault="005E2423" w:rsidP="002C39DD">
      <w:r>
        <w:separator/>
      </w:r>
    </w:p>
    <w:p w:rsidR="005E2423" w:rsidRDefault="005E2423"/>
  </w:footnote>
  <w:footnote w:type="continuationSeparator" w:id="0">
    <w:p w:rsidR="005E2423" w:rsidRDefault="005E2423" w:rsidP="002C39DD">
      <w:r>
        <w:continuationSeparator/>
      </w:r>
    </w:p>
    <w:p w:rsidR="005E2423" w:rsidRDefault="005E2423" w:rsidP="002C39DD"/>
    <w:p w:rsidR="005E2423" w:rsidRDefault="005E2423" w:rsidP="002C39DD"/>
    <w:p w:rsidR="005E2423" w:rsidRDefault="005E2423" w:rsidP="002C39DD"/>
    <w:p w:rsidR="005E2423" w:rsidRDefault="005E2423"/>
    <w:p w:rsidR="005E2423" w:rsidRDefault="005E24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9F7472" w:rsidP="00D91BE3">
    <w:pPr>
      <w:pStyle w:val="Header"/>
      <w:rPr>
        <w:sz w:val="2"/>
        <w:szCs w:val="2"/>
      </w:rPr>
    </w:pPr>
    <w:r>
      <w:rPr>
        <w:noProof/>
      </w:rPr>
      <w:drawing>
        <wp:anchor distT="0" distB="0" distL="114300" distR="114300" simplePos="0" relativeHeight="251661312" behindDoc="1" locked="0" layoutInCell="1" allowOverlap="1" wp14:anchorId="638F4B2F" wp14:editId="174182CC">
          <wp:simplePos x="0" y="0"/>
          <wp:positionH relativeFrom="page">
            <wp:posOffset>-653415</wp:posOffset>
          </wp:positionH>
          <wp:positionV relativeFrom="page">
            <wp:posOffset>10795</wp:posOffset>
          </wp:positionV>
          <wp:extent cx="8229600" cy="783590"/>
          <wp:effectExtent l="0" t="0" r="0" b="0"/>
          <wp:wrapNone/>
          <wp:docPr id="15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9F7472">
    <w:pPr>
      <w:pStyle w:val="Header"/>
    </w:pPr>
    <w:r>
      <w:rPr>
        <w:noProof/>
      </w:rPr>
      <w:drawing>
        <wp:anchor distT="0" distB="0" distL="114300" distR="114300" simplePos="0" relativeHeight="251659264" behindDoc="1" locked="0" layoutInCell="1" allowOverlap="1" wp14:anchorId="0B44256A" wp14:editId="0BE7FC3E">
          <wp:simplePos x="0" y="0"/>
          <wp:positionH relativeFrom="page">
            <wp:posOffset>15240</wp:posOffset>
          </wp:positionH>
          <wp:positionV relativeFrom="page">
            <wp:posOffset>5715</wp:posOffset>
          </wp:positionV>
          <wp:extent cx="7559675" cy="1079500"/>
          <wp:effectExtent l="0" t="0" r="3175" b="6350"/>
          <wp:wrapNone/>
          <wp:docPr id="1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FC41C2"/>
    <w:multiLevelType w:val="multilevel"/>
    <w:tmpl w:val="5CE8BB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B80B4D"/>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1C26A2B"/>
    <w:multiLevelType w:val="hybridMultilevel"/>
    <w:tmpl w:val="9B127C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BA1313"/>
    <w:multiLevelType w:val="hybridMultilevel"/>
    <w:tmpl w:val="D100A8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455886"/>
    <w:multiLevelType w:val="hybridMultilevel"/>
    <w:tmpl w:val="636EE1D6"/>
    <w:lvl w:ilvl="0" w:tplc="FE8E11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66211B"/>
    <w:multiLevelType w:val="hybridMultilevel"/>
    <w:tmpl w:val="655ABD22"/>
    <w:lvl w:ilvl="0" w:tplc="597C7874">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0CB67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C4EF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0291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4CE0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FE036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16F9E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A884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9478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CA745C"/>
    <w:multiLevelType w:val="hybridMultilevel"/>
    <w:tmpl w:val="7D7A3858"/>
    <w:lvl w:ilvl="0" w:tplc="EF342C10">
      <w:start w:val="1"/>
      <w:numFmt w:val="low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7C34F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BEBFA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C2671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E42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4E06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E383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F6902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86131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4C0A86"/>
    <w:multiLevelType w:val="hybridMultilevel"/>
    <w:tmpl w:val="EE06F0CC"/>
    <w:lvl w:ilvl="0" w:tplc="FDF07928">
      <w:start w:val="1"/>
      <w:numFmt w:val="decimal"/>
      <w:lvlText w:val="%1."/>
      <w:lvlJc w:val="left"/>
      <w:pPr>
        <w:ind w:left="36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8"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45B16A6A"/>
    <w:multiLevelType w:val="hybridMultilevel"/>
    <w:tmpl w:val="8348D316"/>
    <w:lvl w:ilvl="0" w:tplc="90FA4802">
      <w:start w:val="1"/>
      <w:numFmt w:val="decimal"/>
      <w:lvlText w:val="%1."/>
      <w:lvlJc w:val="left"/>
      <w:pPr>
        <w:ind w:left="3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ED1AB76A">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F762F4C4">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88C09CBE">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B62E7B4A">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5D2E182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D5D0327A">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EA008070">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B6DC847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479315B5"/>
    <w:multiLevelType w:val="hybridMultilevel"/>
    <w:tmpl w:val="E31AE90E"/>
    <w:lvl w:ilvl="0" w:tplc="44CEEDA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A93A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30DBE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C8DBB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8CC1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B08B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92B52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E783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10945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886550"/>
    <w:multiLevelType w:val="hybridMultilevel"/>
    <w:tmpl w:val="91A01DD6"/>
    <w:lvl w:ilvl="0" w:tplc="2022FF8C">
      <w:start w:val="1"/>
      <w:numFmt w:val="decimal"/>
      <w:lvlText w:val="5.%1"/>
      <w:lvlJc w:val="left"/>
      <w:pPr>
        <w:ind w:left="720" w:hanging="360"/>
      </w:pPr>
      <w:rPr>
        <w:rFonts w:hint="default"/>
        <w:color w:val="B80B4D"/>
      </w:rPr>
    </w:lvl>
    <w:lvl w:ilvl="1" w:tplc="A5702BCE">
      <w:start w:val="1"/>
      <w:numFmt w:val="lowerLetter"/>
      <w:lvlText w:val="(%2)"/>
      <w:lvlJc w:val="left"/>
      <w:pPr>
        <w:ind w:left="1440" w:hanging="360"/>
      </w:pPr>
      <w:rPr>
        <w:rFonts w:ascii="Arial" w:eastAsia="Times New Roman" w:hAnsi="Arial"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54AE5A77"/>
    <w:multiLevelType w:val="hybridMultilevel"/>
    <w:tmpl w:val="A2B6C3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9"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3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9"/>
  </w:num>
  <w:num w:numId="3">
    <w:abstractNumId w:val="27"/>
  </w:num>
  <w:num w:numId="4">
    <w:abstractNumId w:val="31"/>
  </w:num>
  <w:num w:numId="5">
    <w:abstractNumId w:val="8"/>
  </w:num>
  <w:num w:numId="6">
    <w:abstractNumId w:val="30"/>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8"/>
  </w:num>
  <w:num w:numId="17">
    <w:abstractNumId w:val="1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8"/>
  </w:num>
  <w:num w:numId="27">
    <w:abstractNumId w:val="22"/>
  </w:num>
  <w:num w:numId="28">
    <w:abstractNumId w:val="26"/>
  </w:num>
  <w:num w:numId="29">
    <w:abstractNumId w:val="18"/>
  </w:num>
  <w:num w:numId="30">
    <w:abstractNumId w:val="32"/>
  </w:num>
  <w:num w:numId="31">
    <w:abstractNumId w:val="23"/>
  </w:num>
  <w:num w:numId="32">
    <w:abstractNumId w:val="9"/>
  </w:num>
  <w:num w:numId="33">
    <w:abstractNumId w:val="25"/>
  </w:num>
  <w:num w:numId="34">
    <w:abstractNumId w:val="11"/>
  </w:num>
  <w:num w:numId="35">
    <w:abstractNumId w:val="12"/>
  </w:num>
  <w:num w:numId="36">
    <w:abstractNumId w:val="13"/>
  </w:num>
  <w:num w:numId="37">
    <w:abstractNumId w:val="20"/>
  </w:num>
  <w:num w:numId="38">
    <w:abstractNumId w:val="21"/>
  </w:num>
  <w:num w:numId="39">
    <w:abstractNumId w:val="14"/>
  </w:num>
  <w:num w:numId="40">
    <w:abstractNumId w:val="15"/>
  </w:num>
  <w:num w:numId="4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4097"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D3"/>
    <w:rsid w:val="00002875"/>
    <w:rsid w:val="00003033"/>
    <w:rsid w:val="0000348F"/>
    <w:rsid w:val="000064FE"/>
    <w:rsid w:val="000140C9"/>
    <w:rsid w:val="00015349"/>
    <w:rsid w:val="000169CF"/>
    <w:rsid w:val="00020076"/>
    <w:rsid w:val="000219A1"/>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69F0"/>
    <w:rsid w:val="002B0481"/>
    <w:rsid w:val="002B5503"/>
    <w:rsid w:val="002B6135"/>
    <w:rsid w:val="002C1864"/>
    <w:rsid w:val="002C39DD"/>
    <w:rsid w:val="002D2009"/>
    <w:rsid w:val="002D28E7"/>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206F"/>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CFC"/>
    <w:rsid w:val="005029CF"/>
    <w:rsid w:val="00505BAC"/>
    <w:rsid w:val="00507906"/>
    <w:rsid w:val="00513343"/>
    <w:rsid w:val="005135BC"/>
    <w:rsid w:val="00513B0D"/>
    <w:rsid w:val="0051469E"/>
    <w:rsid w:val="0051492C"/>
    <w:rsid w:val="005149D1"/>
    <w:rsid w:val="005231B2"/>
    <w:rsid w:val="005248CD"/>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0835"/>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4AAE"/>
    <w:rsid w:val="005C6D42"/>
    <w:rsid w:val="005D0CCC"/>
    <w:rsid w:val="005D1863"/>
    <w:rsid w:val="005D41EE"/>
    <w:rsid w:val="005D4B60"/>
    <w:rsid w:val="005E09C2"/>
    <w:rsid w:val="005E2423"/>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6FAF"/>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0E4E"/>
    <w:rsid w:val="00802096"/>
    <w:rsid w:val="008021EB"/>
    <w:rsid w:val="00804931"/>
    <w:rsid w:val="00810ADF"/>
    <w:rsid w:val="00815785"/>
    <w:rsid w:val="00820AD2"/>
    <w:rsid w:val="00821162"/>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994"/>
    <w:rsid w:val="00877D93"/>
    <w:rsid w:val="00880DB1"/>
    <w:rsid w:val="00887873"/>
    <w:rsid w:val="00887BD6"/>
    <w:rsid w:val="008946B9"/>
    <w:rsid w:val="00896537"/>
    <w:rsid w:val="008A1343"/>
    <w:rsid w:val="008A2D81"/>
    <w:rsid w:val="008A3DBC"/>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3C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55EA"/>
    <w:rsid w:val="00A573C9"/>
    <w:rsid w:val="00A611E3"/>
    <w:rsid w:val="00A624D7"/>
    <w:rsid w:val="00A62998"/>
    <w:rsid w:val="00A63268"/>
    <w:rsid w:val="00A64AE3"/>
    <w:rsid w:val="00A657D2"/>
    <w:rsid w:val="00A7070F"/>
    <w:rsid w:val="00A75695"/>
    <w:rsid w:val="00A7597B"/>
    <w:rsid w:val="00A75ADF"/>
    <w:rsid w:val="00A76630"/>
    <w:rsid w:val="00A77515"/>
    <w:rsid w:val="00A77AFA"/>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66E6"/>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12D"/>
    <w:rsid w:val="00CA24A9"/>
    <w:rsid w:val="00CA2872"/>
    <w:rsid w:val="00CA2C44"/>
    <w:rsid w:val="00CA50C7"/>
    <w:rsid w:val="00CB083F"/>
    <w:rsid w:val="00CB144D"/>
    <w:rsid w:val="00CB6181"/>
    <w:rsid w:val="00CB6E29"/>
    <w:rsid w:val="00CB79BA"/>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692A"/>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8B9"/>
    <w:rsid w:val="00E8580E"/>
    <w:rsid w:val="00E8648D"/>
    <w:rsid w:val="00E91867"/>
    <w:rsid w:val="00E92F1D"/>
    <w:rsid w:val="00E95383"/>
    <w:rsid w:val="00E96BAB"/>
    <w:rsid w:val="00E96C8D"/>
    <w:rsid w:val="00E96F07"/>
    <w:rsid w:val="00EA06FF"/>
    <w:rsid w:val="00EA1DE4"/>
    <w:rsid w:val="00EA78EA"/>
    <w:rsid w:val="00EA7D32"/>
    <w:rsid w:val="00EB08D3"/>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7C2"/>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1EB"/>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5:chartTrackingRefBased/>
  <w15:docId w15:val="{213F4594-B162-4EF0-B2AE-4D7A832F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D3"/>
    <w:pPr>
      <w:spacing w:after="110" w:line="249" w:lineRule="auto"/>
      <w:ind w:left="10" w:hanging="10"/>
      <w:jc w:val="both"/>
    </w:pPr>
    <w:rPr>
      <w:rFonts w:ascii="Arial" w:eastAsia="Arial" w:hAnsi="Arial" w:cs="Arial"/>
      <w:color w:val="000000"/>
      <w:sz w:val="22"/>
      <w:szCs w:val="22"/>
    </w:rPr>
  </w:style>
  <w:style w:type="paragraph" w:styleId="Heading1">
    <w:name w:val="heading 1"/>
    <w:next w:val="BodyText"/>
    <w:link w:val="Heading1Char"/>
    <w:uiPriority w:val="9"/>
    <w:qFormat/>
    <w:rsid w:val="009F7472"/>
    <w:pPr>
      <w:keepNext/>
      <w:spacing w:before="240" w:after="240"/>
      <w:outlineLvl w:val="0"/>
    </w:pPr>
    <w:rPr>
      <w:rFonts w:ascii="Arial" w:hAnsi="Arial"/>
      <w:b/>
      <w:color w:val="B80B4D"/>
      <w:sz w:val="36"/>
      <w:szCs w:val="36"/>
    </w:rPr>
  </w:style>
  <w:style w:type="paragraph" w:styleId="Heading2">
    <w:name w:val="heading 2"/>
    <w:next w:val="BodyText"/>
    <w:link w:val="Heading2Char"/>
    <w:uiPriority w:val="9"/>
    <w:qFormat/>
    <w:rsid w:val="009F7472"/>
    <w:pPr>
      <w:keepNext/>
      <w:spacing w:before="120" w:after="120"/>
      <w:outlineLvl w:val="1"/>
    </w:pPr>
    <w:rPr>
      <w:rFonts w:ascii="Arial" w:hAnsi="Arial"/>
      <w:color w:val="B80B4D"/>
      <w:sz w:val="32"/>
      <w:szCs w:val="24"/>
    </w:rPr>
  </w:style>
  <w:style w:type="paragraph" w:styleId="Heading3">
    <w:name w:val="heading 3"/>
    <w:next w:val="BodyText"/>
    <w:link w:val="Heading3Char"/>
    <w:qFormat/>
    <w:rsid w:val="009F7472"/>
    <w:pPr>
      <w:keepNext/>
      <w:spacing w:before="120" w:after="120"/>
      <w:outlineLvl w:val="2"/>
    </w:pPr>
    <w:rPr>
      <w:rFonts w:ascii="Arial" w:hAnsi="Arial"/>
      <w:b/>
      <w:color w:val="373F3C"/>
      <w:sz w:val="28"/>
      <w:szCs w:val="24"/>
    </w:rPr>
  </w:style>
  <w:style w:type="paragraph" w:styleId="Heading4">
    <w:name w:val="heading 4"/>
    <w:next w:val="BodyText"/>
    <w:qFormat/>
    <w:rsid w:val="00A555EA"/>
    <w:pPr>
      <w:keepNext/>
      <w:spacing w:before="12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9F7472"/>
    <w:pPr>
      <w:spacing w:before="200" w:after="200"/>
    </w:pPr>
    <w:rPr>
      <w:b/>
      <w:color w:val="B80B4D"/>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uiPriority w:val="34"/>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sz w:val="24"/>
    </w:rPr>
  </w:style>
  <w:style w:type="paragraph" w:styleId="EnvelopeReturn">
    <w:name w:val="envelope return"/>
    <w:basedOn w:val="Normal"/>
    <w:semiHidden/>
    <w:rsid w:val="00931A24"/>
    <w:rPr>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vanish/>
      <w:sz w:val="16"/>
      <w:szCs w:val="16"/>
    </w:rPr>
  </w:style>
  <w:style w:type="character" w:customStyle="1" w:styleId="Heading1Char">
    <w:name w:val="Heading 1 Char"/>
    <w:basedOn w:val="DefaultParagraphFont"/>
    <w:link w:val="Heading1"/>
    <w:locked/>
    <w:rsid w:val="009F7472"/>
    <w:rPr>
      <w:rFonts w:ascii="Arial" w:hAnsi="Arial"/>
      <w:b/>
      <w:color w:val="B80B4D"/>
      <w:sz w:val="36"/>
      <w:szCs w:val="36"/>
    </w:rPr>
  </w:style>
  <w:style w:type="character" w:customStyle="1" w:styleId="Heading2Char">
    <w:name w:val="Heading 2 Char"/>
    <w:basedOn w:val="DefaultParagraphFont"/>
    <w:link w:val="Heading2"/>
    <w:locked/>
    <w:rsid w:val="009F7472"/>
    <w:rPr>
      <w:rFonts w:ascii="Arial" w:hAnsi="Arial"/>
      <w:color w:val="B80B4D"/>
      <w:sz w:val="32"/>
      <w:szCs w:val="24"/>
    </w:rPr>
  </w:style>
  <w:style w:type="paragraph" w:styleId="z-TopofForm">
    <w:name w:val="HTML Top of Form"/>
    <w:basedOn w:val="Normal"/>
    <w:next w:val="Normal"/>
    <w:hidden/>
    <w:rsid w:val="008C1302"/>
    <w:pPr>
      <w:pBdr>
        <w:bottom w:val="single" w:sz="6" w:space="1" w:color="auto"/>
      </w:pBdr>
      <w:jc w:val="center"/>
    </w:pPr>
    <w:rPr>
      <w:vanish/>
      <w:sz w:val="16"/>
      <w:szCs w:val="16"/>
    </w:rPr>
  </w:style>
  <w:style w:type="character" w:customStyle="1" w:styleId="Heading3Char">
    <w:name w:val="Heading 3 Char"/>
    <w:basedOn w:val="DefaultParagraphFont"/>
    <w:link w:val="Heading3"/>
    <w:locked/>
    <w:rsid w:val="009F7472"/>
    <w:rPr>
      <w:rFonts w:ascii="Arial" w:hAnsi="Arial"/>
      <w:b/>
      <w:color w:val="373F3C"/>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paragraph" w:styleId="BalloonText">
    <w:name w:val="Balloon Text"/>
    <w:basedOn w:val="Normal"/>
    <w:link w:val="BalloonTextChar"/>
    <w:rsid w:val="00FE71EB"/>
    <w:rPr>
      <w:rFonts w:ascii="Segoe UI" w:hAnsi="Segoe UI" w:cs="Segoe UI"/>
      <w:sz w:val="18"/>
      <w:szCs w:val="18"/>
    </w:rPr>
  </w:style>
  <w:style w:type="character" w:customStyle="1" w:styleId="BalloonTextChar">
    <w:name w:val="Balloon Text Char"/>
    <w:basedOn w:val="DefaultParagraphFont"/>
    <w:link w:val="BalloonText"/>
    <w:rsid w:val="00FE7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neyb\Dropbox%20(DPC)\Desktop\for%20Comms\lobbyist-disclosure-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62915-6782-4977-AE63-1FF65139CBC6}">
  <ds:schemaRefs>
    <ds:schemaRef ds:uri="http://purl.org/dc/elements/1.1/"/>
    <ds:schemaRef ds:uri="http://schemas.microsoft.com/office/2006/metadata/properties"/>
    <ds:schemaRef ds:uri="http://purl.org/dc/terms/"/>
    <ds:schemaRef ds:uri="http://schemas.openxmlformats.org/package/2006/metadata/core-properties"/>
    <ds:schemaRef ds:uri="0303becd-d999-4b18-bd4d-d2e9f8940f02"/>
    <ds:schemaRef ds:uri="http://schemas.microsoft.com/office/2006/documentManagement/types"/>
    <ds:schemaRef ds:uri="http://schemas.microsoft.com/office/infopath/2007/PartnerControls"/>
    <ds:schemaRef ds:uri="39303455-0690-4fc8-a6f1-b969d4549fb5"/>
    <ds:schemaRef ds:uri="http://www.w3.org/XML/1998/namespace"/>
    <ds:schemaRef ds:uri="http://purl.org/dc/dcmitype/"/>
  </ds:schemaRefs>
</ds:datastoreItem>
</file>

<file path=customXml/itemProps2.xml><?xml version="1.0" encoding="utf-8"?>
<ds:datastoreItem xmlns:ds="http://schemas.openxmlformats.org/officeDocument/2006/customXml" ds:itemID="{3790C5A4-55CF-4028-8704-2F3C7BAA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118A7-CE98-4C8E-83D1-623AAE1C5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lobbyist-disclosure-policy.dotx</Template>
  <TotalTime>5</TotalTime>
  <Pages>3</Pages>
  <Words>844</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DIRECTIVE No. 3/10 - Declaration of Interests – Public Service Employees (other than departmental Chief Executives)</vt:lpstr>
    </vt:vector>
  </TitlesOfParts>
  <Manager/>
  <Company>Public Service Commission, Queensland Government</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No. 3/10 - Declaration of Interests – Public Service Employees (other than departmental Chief Executives)</dc:title>
  <dc:subject>DIRECTIVE No. 3/10 - Declaration of Interests – Public Service Employees (other than departmental Chief Executives)</dc:subject>
  <dc:creator>Public Service Commission;Queensland Government</dc:creator>
  <cp:keywords>DIRECTIVE No. 3/10 - Declaration of Interests – Public Service Employees (other than departmental Chief Executives)</cp:keywords>
  <dc:description>DIRECTIVE No. 3/10 - Declaration of Interests – Public Service Employees (other than departmental Chief Executives)</dc:description>
  <cp:lastModifiedBy>Ben Toussaint</cp:lastModifiedBy>
  <cp:revision>3</cp:revision>
  <cp:lastPrinted>2017-04-11T04:34:00Z</cp:lastPrinted>
  <dcterms:created xsi:type="dcterms:W3CDTF">2017-04-21T05:58:00Z</dcterms:created>
  <dcterms:modified xsi:type="dcterms:W3CDTF">2017-04-21T06:01:00Z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