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3D" w:rsidRPr="00DC6AE9" w:rsidRDefault="00741B3D" w:rsidP="00741B3D">
      <w:pPr>
        <w:ind w:left="360" w:hanging="360"/>
        <w:rPr>
          <w:rStyle w:val="Heading1Char"/>
          <w:color w:val="auto"/>
        </w:rPr>
      </w:pPr>
    </w:p>
    <w:p w:rsidR="00DC6AE9" w:rsidRDefault="00DC6AE9" w:rsidP="00B35EEE">
      <w:pPr>
        <w:pStyle w:val="Heading"/>
        <w:jc w:val="right"/>
        <w:rPr>
          <w:rStyle w:val="Heading1Char"/>
          <w:color w:val="auto"/>
        </w:rPr>
      </w:pPr>
      <w:r w:rsidRPr="00B35EEE">
        <w:rPr>
          <w:rStyle w:val="Heading1Char"/>
          <w:b/>
        </w:rPr>
        <w:t>Guideline</w:t>
      </w:r>
    </w:p>
    <w:p w:rsidR="00741B3D" w:rsidRPr="00B35EEE" w:rsidRDefault="00741B3D" w:rsidP="00B35EEE">
      <w:pPr>
        <w:pStyle w:val="Heading"/>
        <w:jc w:val="left"/>
      </w:pPr>
      <w:r w:rsidRPr="00B35EEE">
        <w:rPr>
          <w:rStyle w:val="Heading1Char"/>
          <w:b/>
        </w:rPr>
        <w:t>1.</w:t>
      </w:r>
      <w:r w:rsidRPr="00B35EEE">
        <w:rPr>
          <w:rStyle w:val="Heading1Char"/>
          <w:b/>
        </w:rPr>
        <w:tab/>
        <w:t>Title:</w:t>
      </w:r>
      <w:r w:rsidRPr="00B35EEE">
        <w:tab/>
        <w:t>Appointment, Secondment and Interchange Arrangements Senior Executive Service</w:t>
      </w:r>
    </w:p>
    <w:p w:rsidR="00741B3D" w:rsidRDefault="00741B3D" w:rsidP="00741B3D">
      <w:pPr>
        <w:ind w:left="360" w:hanging="360"/>
        <w:rPr>
          <w:b/>
        </w:rPr>
      </w:pPr>
      <w:r w:rsidRPr="008F3260">
        <w:rPr>
          <w:b/>
          <w:sz w:val="32"/>
          <w:szCs w:val="32"/>
        </w:rPr>
        <w:t>2.</w:t>
      </w:r>
      <w:r w:rsidRPr="008F3260">
        <w:rPr>
          <w:b/>
          <w:sz w:val="32"/>
          <w:szCs w:val="32"/>
        </w:rPr>
        <w:tab/>
        <w:t>Effective Date:</w:t>
      </w:r>
      <w:r>
        <w:rPr>
          <w:b/>
        </w:rPr>
        <w:tab/>
      </w:r>
      <w:r w:rsidRPr="00AF5359">
        <w:t>1 July 2008</w:t>
      </w:r>
    </w:p>
    <w:p w:rsidR="00741B3D" w:rsidRPr="00AF5359" w:rsidRDefault="00741B3D" w:rsidP="00741B3D">
      <w:pPr>
        <w:ind w:left="360" w:hanging="360"/>
      </w:pPr>
      <w:r w:rsidRPr="008F3260">
        <w:rPr>
          <w:b/>
          <w:sz w:val="32"/>
          <w:szCs w:val="32"/>
        </w:rPr>
        <w:t>3.</w:t>
      </w:r>
      <w:r w:rsidRPr="008F3260">
        <w:rPr>
          <w:b/>
          <w:sz w:val="32"/>
          <w:szCs w:val="32"/>
        </w:rPr>
        <w:tab/>
        <w:t>Purpose:</w:t>
      </w:r>
      <w:r>
        <w:rPr>
          <w:b/>
        </w:rPr>
        <w:tab/>
      </w:r>
      <w:r w:rsidRPr="00AF5359">
        <w:t xml:space="preserve">The purpose of these guidelines is to provide chief executives with guidelines about the new arrangements for appointing persons to, and promoting, transferring, seconding or redeploying officers within the Senior Executive Service by the Public Service Commission Chief Executive (CCE) in accordance with s.110 and s.115 of the </w:t>
      </w:r>
      <w:r w:rsidRPr="00AF5359">
        <w:rPr>
          <w:i/>
        </w:rPr>
        <w:t xml:space="preserve">Public Service Act 2008 </w:t>
      </w:r>
      <w:r w:rsidRPr="00AF5359">
        <w:t>(the Act).</w:t>
      </w:r>
    </w:p>
    <w:p w:rsidR="00741B3D" w:rsidRPr="00AF5359" w:rsidRDefault="00741B3D" w:rsidP="00741B3D">
      <w:pPr>
        <w:ind w:left="360"/>
      </w:pPr>
      <w:r w:rsidRPr="00AF5359">
        <w:t>These guidelines should be read in conjunction with relevant sections dealing with recruitment and selection of Directive No. 07/06 - Senior Executives and Senior Officers – Employment Conditions and the Act.</w:t>
      </w:r>
    </w:p>
    <w:p w:rsidR="00741B3D" w:rsidRPr="00B35EEE" w:rsidRDefault="00741B3D" w:rsidP="00741B3D">
      <w:pPr>
        <w:ind w:left="360" w:hanging="360"/>
        <w:rPr>
          <w:b/>
          <w:sz w:val="32"/>
          <w:szCs w:val="32"/>
        </w:rPr>
      </w:pPr>
      <w:r w:rsidRPr="00B35EEE">
        <w:rPr>
          <w:b/>
          <w:sz w:val="32"/>
          <w:szCs w:val="32"/>
        </w:rPr>
        <w:t>4.</w:t>
      </w:r>
      <w:r w:rsidRPr="00B35EEE">
        <w:rPr>
          <w:b/>
          <w:sz w:val="32"/>
          <w:szCs w:val="32"/>
        </w:rPr>
        <w:tab/>
        <w:t>Application:</w:t>
      </w:r>
    </w:p>
    <w:p w:rsidR="00741B3D" w:rsidRPr="00B35EEE" w:rsidRDefault="00741B3D" w:rsidP="00741B3D">
      <w:pPr>
        <w:rPr>
          <w:b/>
          <w:sz w:val="28"/>
          <w:szCs w:val="28"/>
        </w:rPr>
      </w:pPr>
      <w:r w:rsidRPr="00B35EEE">
        <w:rPr>
          <w:b/>
          <w:sz w:val="28"/>
          <w:szCs w:val="28"/>
        </w:rPr>
        <w:t xml:space="preserve">SES </w:t>
      </w:r>
      <w:bookmarkStart w:id="0" w:name="_GoBack"/>
      <w:bookmarkEnd w:id="0"/>
      <w:r w:rsidRPr="00B35EEE">
        <w:rPr>
          <w:b/>
          <w:sz w:val="28"/>
          <w:szCs w:val="28"/>
        </w:rPr>
        <w:t>Appointments Framework</w:t>
      </w:r>
    </w:p>
    <w:p w:rsidR="00741B3D" w:rsidRPr="00AF5359" w:rsidRDefault="00741B3D" w:rsidP="00CA5FB7">
      <w:pPr>
        <w:numPr>
          <w:ilvl w:val="0"/>
          <w:numId w:val="21"/>
        </w:numPr>
        <w:tabs>
          <w:tab w:val="clear" w:pos="1180"/>
          <w:tab w:val="num" w:pos="805"/>
        </w:tabs>
        <w:spacing w:after="0" w:line="240" w:lineRule="auto"/>
        <w:ind w:left="805" w:hanging="345"/>
      </w:pPr>
      <w:r w:rsidRPr="00AF5359">
        <w:t>The Governor-in-Council fixes the SES profile for each agency and the Queensland public service. (s.109(1) of the Act)</w:t>
      </w:r>
    </w:p>
    <w:p w:rsidR="00741B3D" w:rsidRPr="00AF5359" w:rsidRDefault="00741B3D" w:rsidP="00CA5FB7">
      <w:pPr>
        <w:numPr>
          <w:ilvl w:val="0"/>
          <w:numId w:val="21"/>
        </w:numPr>
        <w:tabs>
          <w:tab w:val="clear" w:pos="1180"/>
          <w:tab w:val="num" w:pos="805"/>
        </w:tabs>
        <w:spacing w:after="0" w:line="240" w:lineRule="auto"/>
        <w:ind w:left="805" w:hanging="345"/>
      </w:pPr>
      <w:r w:rsidRPr="00AF5359">
        <w:t>The Public Service Commission Chief Executive may appoint senior executives. (s.110(1) of the Act)</w:t>
      </w:r>
    </w:p>
    <w:p w:rsidR="00741B3D" w:rsidRPr="00AF5359" w:rsidRDefault="00741B3D" w:rsidP="00CA5FB7">
      <w:pPr>
        <w:numPr>
          <w:ilvl w:val="0"/>
          <w:numId w:val="21"/>
        </w:numPr>
        <w:tabs>
          <w:tab w:val="clear" w:pos="1180"/>
          <w:tab w:val="num" w:pos="805"/>
        </w:tabs>
        <w:spacing w:after="0" w:line="240" w:lineRule="auto"/>
        <w:ind w:left="805" w:hanging="345"/>
      </w:pPr>
      <w:r w:rsidRPr="00AF5359">
        <w:t>Public notification of an appointment is mandatory. (s.110(2) of the Act)</w:t>
      </w:r>
    </w:p>
    <w:p w:rsidR="00741B3D" w:rsidRPr="00AF5359" w:rsidRDefault="00741B3D" w:rsidP="00CA5FB7">
      <w:pPr>
        <w:numPr>
          <w:ilvl w:val="0"/>
          <w:numId w:val="21"/>
        </w:numPr>
        <w:tabs>
          <w:tab w:val="clear" w:pos="1180"/>
          <w:tab w:val="num" w:pos="805"/>
        </w:tabs>
        <w:spacing w:after="0" w:line="240" w:lineRule="auto"/>
        <w:ind w:left="805" w:hanging="345"/>
      </w:pPr>
      <w:r w:rsidRPr="00AF5359">
        <w:t>Following approval of appointments and secondments, Chief Executives of agencies must confirm with the Public Service Commission Chief Executive, using standard documentation, that the change to the agency’s SES profile has been executed</w:t>
      </w:r>
      <w:r>
        <w:t>.</w:t>
      </w:r>
    </w:p>
    <w:p w:rsidR="00741B3D" w:rsidRPr="00AF5359" w:rsidRDefault="00741B3D" w:rsidP="00741B3D"/>
    <w:p w:rsidR="00741B3D" w:rsidRDefault="00741B3D" w:rsidP="00741B3D">
      <w:pPr>
        <w:ind w:left="460"/>
      </w:pPr>
      <w:r w:rsidRPr="00AF5359">
        <w:t>The following provides information about the new processes required before changes are made to agencies’ SES profiles.</w:t>
      </w:r>
    </w:p>
    <w:p w:rsidR="00741B3D" w:rsidRPr="00AF5359" w:rsidRDefault="00741B3D" w:rsidP="00741B3D">
      <w:pPr>
        <w:ind w:left="460"/>
      </w:pPr>
    </w:p>
    <w:p w:rsidR="00741B3D" w:rsidRPr="00B35EEE" w:rsidRDefault="00741B3D" w:rsidP="00741B3D">
      <w:pPr>
        <w:ind w:left="360" w:hanging="360"/>
        <w:rPr>
          <w:b/>
          <w:sz w:val="32"/>
          <w:szCs w:val="32"/>
        </w:rPr>
      </w:pPr>
      <w:r w:rsidRPr="00B35EEE">
        <w:rPr>
          <w:b/>
          <w:sz w:val="32"/>
          <w:szCs w:val="32"/>
        </w:rPr>
        <w:t>5.</w:t>
      </w:r>
      <w:r w:rsidRPr="00B35EEE">
        <w:rPr>
          <w:b/>
          <w:sz w:val="32"/>
          <w:szCs w:val="32"/>
        </w:rPr>
        <w:tab/>
        <w:t>Guidelines:</w:t>
      </w:r>
    </w:p>
    <w:p w:rsidR="00741B3D" w:rsidRPr="005B2308" w:rsidRDefault="00741B3D" w:rsidP="00741B3D">
      <w:pPr>
        <w:jc w:val="center"/>
        <w:rPr>
          <w:b/>
          <w:sz w:val="40"/>
          <w:szCs w:val="40"/>
          <w:u w:val="single"/>
        </w:rPr>
      </w:pPr>
      <w:r w:rsidRPr="005B2308">
        <w:rPr>
          <w:b/>
          <w:sz w:val="40"/>
          <w:szCs w:val="40"/>
          <w:u w:val="single"/>
        </w:rPr>
        <w:t>PART A</w:t>
      </w:r>
    </w:p>
    <w:p w:rsidR="00741B3D" w:rsidRDefault="00741B3D" w:rsidP="00741B3D">
      <w:pPr>
        <w:jc w:val="center"/>
        <w:rPr>
          <w:b/>
          <w:u w:val="single"/>
        </w:rPr>
      </w:pPr>
    </w:p>
    <w:p w:rsidR="00741B3D" w:rsidRPr="001D2EDF" w:rsidRDefault="00741B3D" w:rsidP="00741B3D">
      <w:pPr>
        <w:jc w:val="center"/>
        <w:rPr>
          <w:b/>
          <w:caps/>
          <w:u w:val="single"/>
        </w:rPr>
      </w:pPr>
      <w:r w:rsidRPr="001D2EDF">
        <w:rPr>
          <w:b/>
          <w:caps/>
          <w:u w:val="single"/>
        </w:rPr>
        <w:t xml:space="preserve">For appointments – promotion, transfer or external appointment </w:t>
      </w:r>
      <w:proofErr w:type="gramStart"/>
      <w:r w:rsidRPr="001D2EDF">
        <w:rPr>
          <w:b/>
          <w:caps/>
          <w:u w:val="single"/>
        </w:rPr>
        <w:t>-  to</w:t>
      </w:r>
      <w:proofErr w:type="gramEnd"/>
      <w:r w:rsidRPr="001D2EDF">
        <w:rPr>
          <w:b/>
          <w:caps/>
          <w:u w:val="single"/>
        </w:rPr>
        <w:t xml:space="preserve"> fill an advertised vacancy</w:t>
      </w:r>
    </w:p>
    <w:p w:rsidR="00741B3D" w:rsidRPr="001629B5" w:rsidRDefault="00741B3D" w:rsidP="00741B3D">
      <w:pPr>
        <w:jc w:val="center"/>
        <w:rPr>
          <w:i/>
          <w:sz w:val="20"/>
          <w:szCs w:val="20"/>
        </w:rPr>
      </w:pPr>
      <w:r>
        <w:rPr>
          <w:i/>
          <w:sz w:val="20"/>
          <w:szCs w:val="20"/>
        </w:rPr>
        <w:t>(Form A)</w:t>
      </w:r>
    </w:p>
    <w:p w:rsidR="00741B3D" w:rsidRDefault="00741B3D" w:rsidP="00741B3D">
      <w:pPr>
        <w:rPr>
          <w:b/>
          <w:u w:val="single"/>
        </w:rPr>
      </w:pPr>
    </w:p>
    <w:p w:rsidR="00741B3D" w:rsidRPr="0037408A" w:rsidRDefault="00741B3D" w:rsidP="00741B3D">
      <w:pPr>
        <w:rPr>
          <w:b/>
        </w:rPr>
      </w:pPr>
      <w:r w:rsidRPr="00461020">
        <w:rPr>
          <w:b/>
          <w:u w:val="single"/>
        </w:rPr>
        <w:t>Step 1</w:t>
      </w:r>
      <w:r w:rsidRPr="0037408A">
        <w:rPr>
          <w:b/>
        </w:rPr>
        <w:t xml:space="preserve">:  The </w:t>
      </w:r>
      <w:r>
        <w:rPr>
          <w:b/>
        </w:rPr>
        <w:t>chief executive of an</w:t>
      </w:r>
      <w:r w:rsidRPr="0037408A">
        <w:rPr>
          <w:b/>
        </w:rPr>
        <w:t xml:space="preserve"> agency is responsible for:</w:t>
      </w:r>
    </w:p>
    <w:p w:rsidR="00741B3D" w:rsidRPr="00AF5359" w:rsidRDefault="00741B3D" w:rsidP="00CA5FB7">
      <w:pPr>
        <w:numPr>
          <w:ilvl w:val="0"/>
          <w:numId w:val="25"/>
        </w:numPr>
        <w:spacing w:after="0" w:line="240" w:lineRule="auto"/>
      </w:pPr>
      <w:r w:rsidRPr="00AF5359">
        <w:t>managing the recruitment and merit selection process;</w:t>
      </w:r>
    </w:p>
    <w:p w:rsidR="00741B3D" w:rsidRPr="00AF5359" w:rsidRDefault="00741B3D" w:rsidP="00CA5FB7">
      <w:pPr>
        <w:numPr>
          <w:ilvl w:val="0"/>
          <w:numId w:val="25"/>
        </w:numPr>
        <w:spacing w:after="0" w:line="240" w:lineRule="auto"/>
      </w:pPr>
      <w:r w:rsidRPr="00AF5359">
        <w:t>recommending a person or an officer to fill the advertised vacancy;</w:t>
      </w:r>
    </w:p>
    <w:p w:rsidR="00741B3D" w:rsidRPr="00AF5359" w:rsidRDefault="00741B3D" w:rsidP="00CA5FB7">
      <w:pPr>
        <w:numPr>
          <w:ilvl w:val="0"/>
          <w:numId w:val="25"/>
        </w:numPr>
        <w:spacing w:after="0" w:line="240" w:lineRule="auto"/>
      </w:pPr>
      <w:proofErr w:type="gramStart"/>
      <w:r w:rsidRPr="00AF5359">
        <w:t>preparing</w:t>
      </w:r>
      <w:proofErr w:type="gramEnd"/>
      <w:r w:rsidRPr="00AF5359">
        <w:t xml:space="preserve"> and submitting signed and completed documentation to the CCE for consideration of the person recommended by the agency chief executive.</w:t>
      </w:r>
    </w:p>
    <w:p w:rsidR="00741B3D" w:rsidRPr="00AF5359" w:rsidRDefault="00741B3D" w:rsidP="00741B3D">
      <w:pPr>
        <w:ind w:left="360"/>
      </w:pPr>
    </w:p>
    <w:p w:rsidR="00741B3D" w:rsidRPr="00AF5359" w:rsidRDefault="00741B3D" w:rsidP="00CA5FB7">
      <w:pPr>
        <w:numPr>
          <w:ilvl w:val="0"/>
          <w:numId w:val="25"/>
        </w:numPr>
        <w:spacing w:after="0" w:line="240" w:lineRule="auto"/>
      </w:pPr>
      <w:r w:rsidRPr="00AF5359">
        <w:t>Documentation must include:</w:t>
      </w:r>
    </w:p>
    <w:p w:rsidR="00741B3D" w:rsidRPr="00AF5359" w:rsidRDefault="00741B3D" w:rsidP="00CA5FB7">
      <w:pPr>
        <w:numPr>
          <w:ilvl w:val="0"/>
          <w:numId w:val="22"/>
        </w:numPr>
        <w:tabs>
          <w:tab w:val="clear" w:pos="990"/>
        </w:tabs>
        <w:spacing w:after="0" w:line="240" w:lineRule="auto"/>
        <w:ind w:left="1150" w:hanging="460"/>
      </w:pPr>
      <w:r w:rsidRPr="00AF5359">
        <w:t>standard Nomination Form (Form A – Appointment to fill an advertised vacancy);</w:t>
      </w:r>
    </w:p>
    <w:p w:rsidR="00741B3D" w:rsidRPr="00AF5359" w:rsidRDefault="00741B3D" w:rsidP="00CA5FB7">
      <w:pPr>
        <w:numPr>
          <w:ilvl w:val="0"/>
          <w:numId w:val="22"/>
        </w:numPr>
        <w:tabs>
          <w:tab w:val="clear" w:pos="990"/>
        </w:tabs>
        <w:spacing w:after="0" w:line="240" w:lineRule="auto"/>
        <w:ind w:left="1150" w:hanging="460"/>
      </w:pPr>
      <w:r w:rsidRPr="00AF5359">
        <w:lastRenderedPageBreak/>
        <w:t>role description;</w:t>
      </w:r>
    </w:p>
    <w:p w:rsidR="00741B3D" w:rsidRPr="00AF5359" w:rsidRDefault="00741B3D" w:rsidP="00CA5FB7">
      <w:pPr>
        <w:numPr>
          <w:ilvl w:val="0"/>
          <w:numId w:val="22"/>
        </w:numPr>
        <w:tabs>
          <w:tab w:val="clear" w:pos="990"/>
        </w:tabs>
        <w:spacing w:after="0" w:line="240" w:lineRule="auto"/>
        <w:ind w:left="1150" w:hanging="460"/>
      </w:pPr>
      <w:r w:rsidRPr="00AF5359">
        <w:t>advertisement for the position;</w:t>
      </w:r>
    </w:p>
    <w:p w:rsidR="00741B3D" w:rsidRPr="00AF5359" w:rsidRDefault="00741B3D" w:rsidP="00CA5FB7">
      <w:pPr>
        <w:numPr>
          <w:ilvl w:val="0"/>
          <w:numId w:val="22"/>
        </w:numPr>
        <w:tabs>
          <w:tab w:val="clear" w:pos="990"/>
        </w:tabs>
        <w:spacing w:after="0" w:line="240" w:lineRule="auto"/>
        <w:ind w:left="1150" w:hanging="460"/>
      </w:pPr>
      <w:r w:rsidRPr="00AF5359">
        <w:t>recommended person’s resume and application;</w:t>
      </w:r>
    </w:p>
    <w:p w:rsidR="00741B3D" w:rsidRPr="00AF5359" w:rsidRDefault="00741B3D" w:rsidP="00CA5FB7">
      <w:pPr>
        <w:numPr>
          <w:ilvl w:val="0"/>
          <w:numId w:val="22"/>
        </w:numPr>
        <w:tabs>
          <w:tab w:val="clear" w:pos="990"/>
        </w:tabs>
        <w:spacing w:after="0" w:line="240" w:lineRule="auto"/>
        <w:ind w:left="1150" w:hanging="460"/>
      </w:pPr>
      <w:r w:rsidRPr="00AF5359">
        <w:t xml:space="preserve">Selection Report (attached as a </w:t>
      </w:r>
      <w:proofErr w:type="spellStart"/>
      <w:r w:rsidRPr="00AF5359">
        <w:t>proforma</w:t>
      </w:r>
      <w:proofErr w:type="spellEnd"/>
      <w:r w:rsidRPr="00AF5359">
        <w:t>), including:</w:t>
      </w:r>
    </w:p>
    <w:p w:rsidR="00741B3D" w:rsidRPr="00AF5359" w:rsidRDefault="00741B3D" w:rsidP="00CA5FB7">
      <w:pPr>
        <w:numPr>
          <w:ilvl w:val="1"/>
          <w:numId w:val="22"/>
        </w:numPr>
        <w:spacing w:after="0" w:line="240" w:lineRule="auto"/>
      </w:pPr>
      <w:r w:rsidRPr="00AF5359">
        <w:t>profile of applicant pool;</w:t>
      </w:r>
    </w:p>
    <w:p w:rsidR="00741B3D" w:rsidRPr="00AF5359" w:rsidRDefault="00741B3D" w:rsidP="00CA5FB7">
      <w:pPr>
        <w:numPr>
          <w:ilvl w:val="1"/>
          <w:numId w:val="22"/>
        </w:numPr>
        <w:spacing w:after="0" w:line="240" w:lineRule="auto"/>
      </w:pPr>
      <w:r w:rsidRPr="00AF5359">
        <w:t>panel members;</w:t>
      </w:r>
    </w:p>
    <w:p w:rsidR="00741B3D" w:rsidRPr="00AF5359" w:rsidRDefault="00741B3D" w:rsidP="00CA5FB7">
      <w:pPr>
        <w:numPr>
          <w:ilvl w:val="1"/>
          <w:numId w:val="22"/>
        </w:numPr>
        <w:spacing w:after="0" w:line="240" w:lineRule="auto"/>
      </w:pPr>
      <w:r w:rsidRPr="00AF5359">
        <w:t>selection techniques;</w:t>
      </w:r>
    </w:p>
    <w:p w:rsidR="00741B3D" w:rsidRPr="00AF5359" w:rsidRDefault="00741B3D" w:rsidP="00CA5FB7">
      <w:pPr>
        <w:numPr>
          <w:ilvl w:val="1"/>
          <w:numId w:val="22"/>
        </w:numPr>
        <w:spacing w:after="0" w:line="240" w:lineRule="auto"/>
      </w:pPr>
      <w:r w:rsidRPr="00AF5359">
        <w:t>shortlisting criteria;</w:t>
      </w:r>
    </w:p>
    <w:p w:rsidR="00741B3D" w:rsidRPr="00AF5359" w:rsidRDefault="00741B3D" w:rsidP="00CA5FB7">
      <w:pPr>
        <w:numPr>
          <w:ilvl w:val="1"/>
          <w:numId w:val="22"/>
        </w:numPr>
        <w:spacing w:after="0" w:line="240" w:lineRule="auto"/>
      </w:pPr>
      <w:r w:rsidRPr="00AF5359">
        <w:t>shortlisted applicants;</w:t>
      </w:r>
    </w:p>
    <w:p w:rsidR="00741B3D" w:rsidRPr="00AF5359" w:rsidRDefault="00741B3D" w:rsidP="00CA5FB7">
      <w:pPr>
        <w:numPr>
          <w:ilvl w:val="1"/>
          <w:numId w:val="22"/>
        </w:numPr>
        <w:spacing w:after="0" w:line="240" w:lineRule="auto"/>
      </w:pPr>
      <w:r w:rsidRPr="00AF5359">
        <w:t>interview questions and preferred responses;</w:t>
      </w:r>
    </w:p>
    <w:p w:rsidR="00741B3D" w:rsidRPr="00AF5359" w:rsidRDefault="00741B3D" w:rsidP="00CA5FB7">
      <w:pPr>
        <w:numPr>
          <w:ilvl w:val="1"/>
          <w:numId w:val="22"/>
        </w:numPr>
        <w:spacing w:after="0" w:line="240" w:lineRule="auto"/>
      </w:pPr>
      <w:r w:rsidRPr="00AF5359">
        <w:t>merit assessment;</w:t>
      </w:r>
    </w:p>
    <w:p w:rsidR="00741B3D" w:rsidRPr="00AF5359" w:rsidRDefault="00741B3D" w:rsidP="00CA5FB7">
      <w:pPr>
        <w:numPr>
          <w:ilvl w:val="1"/>
          <w:numId w:val="22"/>
        </w:numPr>
        <w:spacing w:after="0" w:line="240" w:lineRule="auto"/>
      </w:pPr>
      <w:r w:rsidRPr="00AF5359">
        <w:t>panel’s signed certification and nomination; and</w:t>
      </w:r>
    </w:p>
    <w:p w:rsidR="00741B3D" w:rsidRPr="00AF5359" w:rsidRDefault="00741B3D" w:rsidP="00CA5FB7">
      <w:pPr>
        <w:numPr>
          <w:ilvl w:val="1"/>
          <w:numId w:val="22"/>
        </w:numPr>
        <w:spacing w:after="0" w:line="240" w:lineRule="auto"/>
      </w:pPr>
      <w:r w:rsidRPr="00AF5359">
        <w:t>chief executive’s certification of compliance with:</w:t>
      </w:r>
    </w:p>
    <w:p w:rsidR="00741B3D" w:rsidRPr="00AF5359" w:rsidRDefault="00741B3D" w:rsidP="00CA5FB7">
      <w:pPr>
        <w:numPr>
          <w:ilvl w:val="2"/>
          <w:numId w:val="22"/>
        </w:numPr>
        <w:spacing w:after="0" w:line="240" w:lineRule="auto"/>
      </w:pPr>
      <w:r w:rsidRPr="00AF5359">
        <w:t>relevant Directives;</w:t>
      </w:r>
    </w:p>
    <w:p w:rsidR="00741B3D" w:rsidRPr="00AF5359" w:rsidRDefault="00741B3D" w:rsidP="00CA5FB7">
      <w:pPr>
        <w:numPr>
          <w:ilvl w:val="2"/>
          <w:numId w:val="22"/>
        </w:numPr>
        <w:spacing w:after="0" w:line="240" w:lineRule="auto"/>
      </w:pPr>
      <w:r w:rsidRPr="00AF5359">
        <w:t>provisions in relevant Act including equity considerations and manag</w:t>
      </w:r>
      <w:r>
        <w:t>ement and employment principles</w:t>
      </w:r>
    </w:p>
    <w:p w:rsidR="00741B3D" w:rsidRPr="00AF5359" w:rsidRDefault="00741B3D" w:rsidP="00741B3D"/>
    <w:p w:rsidR="00741B3D" w:rsidRPr="0037408A" w:rsidRDefault="00741B3D" w:rsidP="00741B3D">
      <w:pPr>
        <w:rPr>
          <w:b/>
        </w:rPr>
      </w:pPr>
      <w:r w:rsidRPr="00461020">
        <w:rPr>
          <w:b/>
          <w:u w:val="single"/>
        </w:rPr>
        <w:t>Step 2</w:t>
      </w:r>
      <w:r w:rsidRPr="0037408A">
        <w:rPr>
          <w:b/>
        </w:rPr>
        <w:t>:  The P</w:t>
      </w:r>
      <w:r>
        <w:rPr>
          <w:b/>
        </w:rPr>
        <w:t>ublic Service Commission Chief E</w:t>
      </w:r>
      <w:r w:rsidRPr="0037408A">
        <w:rPr>
          <w:b/>
        </w:rPr>
        <w:t>xecutive is responsible for:</w:t>
      </w:r>
    </w:p>
    <w:p w:rsidR="00741B3D" w:rsidRPr="00AF5359" w:rsidRDefault="00741B3D" w:rsidP="00CA5FB7">
      <w:pPr>
        <w:numPr>
          <w:ilvl w:val="0"/>
          <w:numId w:val="26"/>
        </w:numPr>
        <w:spacing w:after="0" w:line="240" w:lineRule="auto"/>
      </w:pPr>
      <w:r w:rsidRPr="00AF5359">
        <w:t xml:space="preserve">approving or not approving the recommendation for appointment </w:t>
      </w:r>
      <w:r w:rsidRPr="00AF5359">
        <w:rPr>
          <w:u w:val="single"/>
        </w:rPr>
        <w:t xml:space="preserve">within 5 working days </w:t>
      </w:r>
      <w:r w:rsidRPr="00AF5359">
        <w:t>of receipt of all required documentation:</w:t>
      </w:r>
    </w:p>
    <w:p w:rsidR="00741B3D" w:rsidRPr="00AF5359" w:rsidRDefault="00741B3D" w:rsidP="00CA5FB7">
      <w:pPr>
        <w:numPr>
          <w:ilvl w:val="0"/>
          <w:numId w:val="26"/>
        </w:numPr>
        <w:spacing w:after="0" w:line="240" w:lineRule="auto"/>
      </w:pPr>
      <w:r w:rsidRPr="00AF5359">
        <w:t xml:space="preserve">if the recommendation is </w:t>
      </w:r>
      <w:r w:rsidRPr="00AF5359">
        <w:rPr>
          <w:i/>
        </w:rPr>
        <w:t>approved</w:t>
      </w:r>
      <w:r w:rsidRPr="00AF5359">
        <w:t>, providing the chief executive of the agency with confirmation to proceed with –</w:t>
      </w:r>
    </w:p>
    <w:p w:rsidR="00741B3D" w:rsidRPr="00AF5359" w:rsidRDefault="00741B3D" w:rsidP="00CA5FB7">
      <w:pPr>
        <w:numPr>
          <w:ilvl w:val="0"/>
          <w:numId w:val="23"/>
        </w:numPr>
        <w:tabs>
          <w:tab w:val="clear" w:pos="720"/>
        </w:tabs>
        <w:spacing w:after="0" w:line="240" w:lineRule="auto"/>
        <w:ind w:left="1693" w:hanging="345"/>
      </w:pPr>
      <w:r w:rsidRPr="00AF5359">
        <w:t>preparation of an appropriate contract of employment;</w:t>
      </w:r>
    </w:p>
    <w:p w:rsidR="00741B3D" w:rsidRPr="00AF5359" w:rsidRDefault="00741B3D" w:rsidP="00CA5FB7">
      <w:pPr>
        <w:numPr>
          <w:ilvl w:val="0"/>
          <w:numId w:val="24"/>
        </w:numPr>
        <w:tabs>
          <w:tab w:val="clear" w:pos="720"/>
        </w:tabs>
        <w:spacing w:after="0" w:line="240" w:lineRule="auto"/>
        <w:ind w:left="1693" w:hanging="345"/>
      </w:pPr>
      <w:proofErr w:type="gramStart"/>
      <w:r w:rsidRPr="00AF5359">
        <w:t>a</w:t>
      </w:r>
      <w:proofErr w:type="gramEnd"/>
      <w:r w:rsidRPr="00AF5359">
        <w:t xml:space="preserve"> public notice (for promotions and external appointments only).</w:t>
      </w:r>
    </w:p>
    <w:p w:rsidR="00741B3D" w:rsidRPr="00AF5359" w:rsidRDefault="00741B3D" w:rsidP="00CA5FB7">
      <w:pPr>
        <w:numPr>
          <w:ilvl w:val="0"/>
          <w:numId w:val="26"/>
        </w:numPr>
        <w:spacing w:after="0" w:line="240" w:lineRule="auto"/>
      </w:pPr>
      <w:proofErr w:type="gramStart"/>
      <w:r w:rsidRPr="00AF5359">
        <w:t>if</w:t>
      </w:r>
      <w:proofErr w:type="gramEnd"/>
      <w:r w:rsidRPr="00AF5359">
        <w:t xml:space="preserve"> the recommendation is </w:t>
      </w:r>
      <w:r w:rsidRPr="00AF5359">
        <w:rPr>
          <w:i/>
        </w:rPr>
        <w:t>not approved</w:t>
      </w:r>
      <w:r w:rsidRPr="00AF5359">
        <w:t>, providing the chief executive of the agency with reasons for not approving the recommendation and, where appropriate initiate further consultation with the relevant chief executive.</w:t>
      </w:r>
    </w:p>
    <w:p w:rsidR="00741B3D" w:rsidRDefault="00741B3D" w:rsidP="00741B3D">
      <w:pPr>
        <w:ind w:left="360"/>
      </w:pPr>
    </w:p>
    <w:p w:rsidR="00741B3D" w:rsidRPr="006D32D6" w:rsidRDefault="00741B3D" w:rsidP="00741B3D">
      <w:pPr>
        <w:rPr>
          <w:b/>
        </w:rPr>
      </w:pPr>
      <w:r w:rsidRPr="00461020">
        <w:rPr>
          <w:b/>
          <w:u w:val="single"/>
        </w:rPr>
        <w:t>Step 3</w:t>
      </w:r>
      <w:r w:rsidRPr="006D32D6">
        <w:rPr>
          <w:b/>
        </w:rPr>
        <w:t>:  The chief executive of the agency is responsible for:</w:t>
      </w:r>
    </w:p>
    <w:p w:rsidR="00741B3D" w:rsidRPr="00AF5359" w:rsidRDefault="00741B3D" w:rsidP="00CA5FB7">
      <w:pPr>
        <w:numPr>
          <w:ilvl w:val="0"/>
          <w:numId w:val="27"/>
        </w:numPr>
        <w:spacing w:after="0" w:line="240" w:lineRule="auto"/>
      </w:pPr>
      <w:r w:rsidRPr="00AF5359">
        <w:t xml:space="preserve">preparation of, and, prior to commencing in the role or within </w:t>
      </w:r>
      <w:r w:rsidRPr="00AF5359">
        <w:rPr>
          <w:u w:val="single"/>
        </w:rPr>
        <w:t>5 working days</w:t>
      </w:r>
      <w:r w:rsidRPr="00AF5359">
        <w:t xml:space="preserve"> following approval by the CCE if already acting in the position, execution of the contract of employment between the recommended Senior Executive and the chief executive of the agency;</w:t>
      </w:r>
    </w:p>
    <w:p w:rsidR="00741B3D" w:rsidRPr="00AF5359" w:rsidRDefault="00741B3D" w:rsidP="00CA5FB7">
      <w:pPr>
        <w:numPr>
          <w:ilvl w:val="0"/>
          <w:numId w:val="27"/>
        </w:numPr>
        <w:spacing w:after="0" w:line="240" w:lineRule="auto"/>
      </w:pPr>
      <w:r w:rsidRPr="00AF5359">
        <w:t xml:space="preserve">provision of employment information on the senior executive as required by the Public Service Commission Chief Executive within </w:t>
      </w:r>
      <w:r w:rsidRPr="00AF5359">
        <w:rPr>
          <w:u w:val="single"/>
        </w:rPr>
        <w:t>15 working days</w:t>
      </w:r>
      <w:r w:rsidRPr="00AF5359">
        <w:t xml:space="preserve"> of the contract being executed;</w:t>
      </w:r>
    </w:p>
    <w:p w:rsidR="00741B3D" w:rsidRPr="00AF5359" w:rsidRDefault="00741B3D" w:rsidP="00CA5FB7">
      <w:pPr>
        <w:numPr>
          <w:ilvl w:val="0"/>
          <w:numId w:val="27"/>
        </w:numPr>
        <w:spacing w:after="0" w:line="240" w:lineRule="auto"/>
      </w:pPr>
      <w:proofErr w:type="gramStart"/>
      <w:r w:rsidRPr="00AF5359">
        <w:t>arranging</w:t>
      </w:r>
      <w:proofErr w:type="gramEnd"/>
      <w:r w:rsidRPr="00AF5359">
        <w:t xml:space="preserve"> public notification of the appointment within 21 days of appointment.</w:t>
      </w:r>
    </w:p>
    <w:p w:rsidR="00741B3D" w:rsidRDefault="00741B3D" w:rsidP="00741B3D"/>
    <w:p w:rsidR="00741B3D" w:rsidRPr="00C42141" w:rsidRDefault="00741B3D" w:rsidP="00741B3D">
      <w:pPr>
        <w:ind w:left="920" w:hanging="920"/>
        <w:rPr>
          <w:b/>
        </w:rPr>
      </w:pPr>
      <w:r w:rsidRPr="00461020">
        <w:rPr>
          <w:b/>
          <w:u w:val="single"/>
        </w:rPr>
        <w:t>Step 4</w:t>
      </w:r>
      <w:r w:rsidRPr="00C42141">
        <w:rPr>
          <w:b/>
        </w:rPr>
        <w:t xml:space="preserve">: </w:t>
      </w:r>
      <w:r>
        <w:rPr>
          <w:b/>
        </w:rPr>
        <w:t xml:space="preserve"> </w:t>
      </w:r>
      <w:r w:rsidRPr="00C42141">
        <w:rPr>
          <w:b/>
        </w:rPr>
        <w:t xml:space="preserve">The Public Service Commissioner </w:t>
      </w:r>
      <w:r>
        <w:rPr>
          <w:b/>
        </w:rPr>
        <w:t xml:space="preserve">Chief Executive </w:t>
      </w:r>
      <w:r w:rsidRPr="00C42141">
        <w:rPr>
          <w:b/>
        </w:rPr>
        <w:t>is responsible for:</w:t>
      </w:r>
    </w:p>
    <w:p w:rsidR="00741B3D" w:rsidRPr="00AF5359" w:rsidRDefault="00741B3D" w:rsidP="00741B3D">
      <w:pPr>
        <w:ind w:left="690" w:hanging="345"/>
      </w:pPr>
      <w:r w:rsidRPr="00AF5359">
        <w:t>a)</w:t>
      </w:r>
      <w:r w:rsidRPr="00AF5359">
        <w:tab/>
        <w:t xml:space="preserve">Updating and maintaining a current and accurate record of the Queensland public </w:t>
      </w:r>
      <w:proofErr w:type="gramStart"/>
      <w:r w:rsidRPr="00AF5359">
        <w:t>service  senior</w:t>
      </w:r>
      <w:proofErr w:type="gramEnd"/>
      <w:r w:rsidRPr="00AF5359">
        <w:t xml:space="preserve"> executive service profile through the Executive Management System from information provided by agencies, including new appointments filled from advertised vacancies.</w:t>
      </w:r>
    </w:p>
    <w:p w:rsidR="00741B3D" w:rsidRDefault="00741B3D" w:rsidP="00741B3D">
      <w:r>
        <w:br w:type="page"/>
      </w:r>
    </w:p>
    <w:p w:rsidR="00741B3D" w:rsidRPr="005B2308" w:rsidRDefault="00741B3D" w:rsidP="00741B3D">
      <w:pPr>
        <w:jc w:val="center"/>
        <w:rPr>
          <w:b/>
          <w:sz w:val="40"/>
          <w:szCs w:val="40"/>
          <w:u w:val="single"/>
        </w:rPr>
      </w:pPr>
      <w:r w:rsidRPr="005B2308">
        <w:rPr>
          <w:b/>
          <w:sz w:val="40"/>
          <w:szCs w:val="40"/>
          <w:u w:val="single"/>
        </w:rPr>
        <w:lastRenderedPageBreak/>
        <w:t>PART B</w:t>
      </w:r>
    </w:p>
    <w:p w:rsidR="00741B3D" w:rsidRPr="001629B5" w:rsidRDefault="00741B3D" w:rsidP="00741B3D">
      <w:pPr>
        <w:jc w:val="center"/>
        <w:rPr>
          <w:i/>
          <w:sz w:val="20"/>
          <w:szCs w:val="20"/>
        </w:rPr>
      </w:pPr>
    </w:p>
    <w:p w:rsidR="00741B3D" w:rsidRPr="00B056E9" w:rsidRDefault="00741B3D" w:rsidP="00741B3D">
      <w:pPr>
        <w:jc w:val="center"/>
        <w:rPr>
          <w:caps/>
          <w:u w:val="single"/>
        </w:rPr>
      </w:pPr>
      <w:r w:rsidRPr="00B056E9">
        <w:rPr>
          <w:b/>
          <w:caps/>
          <w:u w:val="single"/>
        </w:rPr>
        <w:t>For appointments (transfer and redeployment</w:t>
      </w:r>
      <w:proofErr w:type="gramStart"/>
      <w:r w:rsidRPr="00B056E9">
        <w:rPr>
          <w:b/>
          <w:caps/>
          <w:u w:val="single"/>
        </w:rPr>
        <w:t>)  and</w:t>
      </w:r>
      <w:proofErr w:type="gramEnd"/>
      <w:r w:rsidRPr="00B056E9">
        <w:rPr>
          <w:b/>
          <w:caps/>
          <w:u w:val="single"/>
        </w:rPr>
        <w:t xml:space="preserve"> secondments to fill a vacancy without advertising</w:t>
      </w:r>
    </w:p>
    <w:p w:rsidR="00741B3D" w:rsidRDefault="00741B3D" w:rsidP="00741B3D">
      <w:pPr>
        <w:jc w:val="center"/>
        <w:rPr>
          <w:i/>
          <w:sz w:val="20"/>
          <w:szCs w:val="20"/>
        </w:rPr>
      </w:pPr>
      <w:r>
        <w:rPr>
          <w:i/>
          <w:sz w:val="20"/>
          <w:szCs w:val="20"/>
        </w:rPr>
        <w:t>(Form B)</w:t>
      </w:r>
    </w:p>
    <w:p w:rsidR="00741B3D" w:rsidRDefault="00741B3D" w:rsidP="00741B3D"/>
    <w:p w:rsidR="00741B3D" w:rsidRPr="0037408A" w:rsidRDefault="00741B3D" w:rsidP="00741B3D">
      <w:pPr>
        <w:rPr>
          <w:b/>
        </w:rPr>
      </w:pPr>
      <w:r w:rsidRPr="00461020">
        <w:rPr>
          <w:b/>
          <w:u w:val="single"/>
        </w:rPr>
        <w:t>Step 1</w:t>
      </w:r>
      <w:r>
        <w:rPr>
          <w:b/>
        </w:rPr>
        <w:t xml:space="preserve">:  The </w:t>
      </w:r>
      <w:r w:rsidRPr="0037408A">
        <w:rPr>
          <w:b/>
        </w:rPr>
        <w:t>chief executive of an agency</w:t>
      </w:r>
      <w:r>
        <w:rPr>
          <w:b/>
        </w:rPr>
        <w:t xml:space="preserve"> is responsible for</w:t>
      </w:r>
    </w:p>
    <w:p w:rsidR="00741B3D" w:rsidRPr="00AF5359" w:rsidRDefault="00741B3D" w:rsidP="00CA5FB7">
      <w:pPr>
        <w:numPr>
          <w:ilvl w:val="0"/>
          <w:numId w:val="28"/>
        </w:numPr>
        <w:spacing w:after="0" w:line="240" w:lineRule="auto"/>
      </w:pPr>
      <w:proofErr w:type="gramStart"/>
      <w:r w:rsidRPr="00AF5359">
        <w:t>consulting</w:t>
      </w:r>
      <w:proofErr w:type="gramEnd"/>
      <w:r w:rsidRPr="00AF5359">
        <w:t xml:space="preserve"> with the relevant senior executive and if relevant, the other chief executive for transfer and secondments. For tenured senior executives being redeployed or for secondments to a lower level, the relevant chief executive must also gain the written consent of the senior executive; </w:t>
      </w:r>
    </w:p>
    <w:p w:rsidR="00741B3D" w:rsidRPr="00AF5359" w:rsidRDefault="00741B3D" w:rsidP="00CA5FB7">
      <w:pPr>
        <w:numPr>
          <w:ilvl w:val="0"/>
          <w:numId w:val="28"/>
        </w:numPr>
        <w:spacing w:after="0" w:line="240" w:lineRule="auto"/>
      </w:pPr>
      <w:proofErr w:type="gramStart"/>
      <w:r w:rsidRPr="00AF5359">
        <w:t>preparing</w:t>
      </w:r>
      <w:proofErr w:type="gramEnd"/>
      <w:r w:rsidRPr="00AF5359">
        <w:t xml:space="preserve"> and submitting signed and completed documentation to the CCE for consideration and approval for the transfer, redeployment or secondment of the candidate.</w:t>
      </w:r>
    </w:p>
    <w:p w:rsidR="00741B3D" w:rsidRPr="00AF5359" w:rsidRDefault="00741B3D" w:rsidP="00CA5FB7">
      <w:pPr>
        <w:numPr>
          <w:ilvl w:val="0"/>
          <w:numId w:val="28"/>
        </w:numPr>
        <w:spacing w:after="0" w:line="240" w:lineRule="auto"/>
      </w:pPr>
      <w:r w:rsidRPr="00AF5359">
        <w:t xml:space="preserve">Documentation must include:  </w:t>
      </w:r>
    </w:p>
    <w:p w:rsidR="00741B3D" w:rsidRPr="00AF5359" w:rsidRDefault="00741B3D" w:rsidP="00CA5FB7">
      <w:pPr>
        <w:numPr>
          <w:ilvl w:val="1"/>
          <w:numId w:val="22"/>
        </w:numPr>
        <w:spacing w:after="0" w:line="240" w:lineRule="auto"/>
      </w:pPr>
      <w:r w:rsidRPr="00AF5359">
        <w:t>standard Nomination Form (Form B – permanent appointments and secondments without advertising);</w:t>
      </w:r>
    </w:p>
    <w:p w:rsidR="00741B3D" w:rsidRPr="00AF5359" w:rsidRDefault="00741B3D" w:rsidP="00CA5FB7">
      <w:pPr>
        <w:numPr>
          <w:ilvl w:val="1"/>
          <w:numId w:val="22"/>
        </w:numPr>
        <w:spacing w:after="0" w:line="240" w:lineRule="auto"/>
      </w:pPr>
      <w:r w:rsidRPr="00AF5359">
        <w:t>role description;</w:t>
      </w:r>
    </w:p>
    <w:p w:rsidR="00741B3D" w:rsidRPr="00AF5359" w:rsidRDefault="00741B3D" w:rsidP="00CA5FB7">
      <w:pPr>
        <w:numPr>
          <w:ilvl w:val="1"/>
          <w:numId w:val="22"/>
        </w:numPr>
        <w:spacing w:after="0" w:line="240" w:lineRule="auto"/>
      </w:pPr>
      <w:r w:rsidRPr="00AF5359">
        <w:t>recommended person’s resume and application; and</w:t>
      </w:r>
    </w:p>
    <w:p w:rsidR="00741B3D" w:rsidRPr="00AF5359" w:rsidRDefault="00741B3D" w:rsidP="00CA5FB7">
      <w:pPr>
        <w:numPr>
          <w:ilvl w:val="1"/>
          <w:numId w:val="22"/>
        </w:numPr>
        <w:spacing w:after="0" w:line="240" w:lineRule="auto"/>
      </w:pPr>
      <w:r w:rsidRPr="00AF5359">
        <w:t>chief executive’s certification of compliance with:</w:t>
      </w:r>
    </w:p>
    <w:p w:rsidR="00741B3D" w:rsidRPr="00AF5359" w:rsidRDefault="00741B3D" w:rsidP="00CA5FB7">
      <w:pPr>
        <w:numPr>
          <w:ilvl w:val="2"/>
          <w:numId w:val="22"/>
        </w:numPr>
        <w:tabs>
          <w:tab w:val="clear" w:pos="2430"/>
        </w:tabs>
        <w:spacing w:after="0" w:line="240" w:lineRule="auto"/>
        <w:ind w:left="1955" w:hanging="230"/>
      </w:pPr>
      <w:r w:rsidRPr="00AF5359">
        <w:t>relevant Directives;</w:t>
      </w:r>
    </w:p>
    <w:p w:rsidR="00741B3D" w:rsidRPr="00AF5359" w:rsidRDefault="00741B3D" w:rsidP="00CA5FB7">
      <w:pPr>
        <w:numPr>
          <w:ilvl w:val="2"/>
          <w:numId w:val="22"/>
        </w:numPr>
        <w:tabs>
          <w:tab w:val="clear" w:pos="2430"/>
        </w:tabs>
        <w:spacing w:after="0" w:line="240" w:lineRule="auto"/>
        <w:ind w:left="1955" w:hanging="230"/>
      </w:pPr>
      <w:r w:rsidRPr="00AF5359">
        <w:t xml:space="preserve">provisions in relevant Act including equity considerations and management and employment principles </w:t>
      </w:r>
    </w:p>
    <w:p w:rsidR="00741B3D" w:rsidRDefault="00741B3D" w:rsidP="00741B3D"/>
    <w:p w:rsidR="00741B3D" w:rsidRPr="0037408A" w:rsidRDefault="00741B3D" w:rsidP="00741B3D">
      <w:pPr>
        <w:rPr>
          <w:b/>
        </w:rPr>
      </w:pPr>
      <w:r w:rsidRPr="00461020">
        <w:rPr>
          <w:b/>
          <w:u w:val="single"/>
        </w:rPr>
        <w:t>Step 2</w:t>
      </w:r>
      <w:r w:rsidRPr="0037408A">
        <w:rPr>
          <w:b/>
        </w:rPr>
        <w:t>:  The P</w:t>
      </w:r>
      <w:r>
        <w:rPr>
          <w:b/>
        </w:rPr>
        <w:t>ublic Service Commission Chief E</w:t>
      </w:r>
      <w:r w:rsidRPr="0037408A">
        <w:rPr>
          <w:b/>
        </w:rPr>
        <w:t>xecutive is responsible for:</w:t>
      </w:r>
    </w:p>
    <w:p w:rsidR="00741B3D" w:rsidRPr="00AF5359" w:rsidRDefault="00741B3D" w:rsidP="00CA5FB7">
      <w:pPr>
        <w:numPr>
          <w:ilvl w:val="0"/>
          <w:numId w:val="29"/>
        </w:numPr>
        <w:spacing w:after="0" w:line="240" w:lineRule="auto"/>
      </w:pPr>
      <w:proofErr w:type="gramStart"/>
      <w:r w:rsidRPr="00AF5359">
        <w:t>approving</w:t>
      </w:r>
      <w:proofErr w:type="gramEnd"/>
      <w:r w:rsidRPr="00AF5359">
        <w:t xml:space="preserve"> or not approving the recommendation for appointment or secondment </w:t>
      </w:r>
      <w:r w:rsidRPr="00AF5359">
        <w:rPr>
          <w:u w:val="single"/>
        </w:rPr>
        <w:t xml:space="preserve">within </w:t>
      </w:r>
      <w:r>
        <w:rPr>
          <w:u w:val="single"/>
        </w:rPr>
        <w:t>five (</w:t>
      </w:r>
      <w:r w:rsidRPr="00AF5359">
        <w:rPr>
          <w:u w:val="single"/>
        </w:rPr>
        <w:t>5</w:t>
      </w:r>
      <w:r>
        <w:rPr>
          <w:u w:val="single"/>
        </w:rPr>
        <w:t>)</w:t>
      </w:r>
      <w:r w:rsidRPr="00AF5359">
        <w:rPr>
          <w:u w:val="single"/>
        </w:rPr>
        <w:t xml:space="preserve"> working days</w:t>
      </w:r>
      <w:r w:rsidRPr="00AF5359">
        <w:t xml:space="preserve"> of receipt of all documentation</w:t>
      </w:r>
      <w:r>
        <w:t>.</w:t>
      </w:r>
    </w:p>
    <w:p w:rsidR="00741B3D" w:rsidRPr="00AF5359" w:rsidRDefault="00741B3D" w:rsidP="00CA5FB7">
      <w:pPr>
        <w:numPr>
          <w:ilvl w:val="0"/>
          <w:numId w:val="29"/>
        </w:numPr>
        <w:spacing w:after="0" w:line="240" w:lineRule="auto"/>
      </w:pPr>
      <w:proofErr w:type="gramStart"/>
      <w:r w:rsidRPr="00AF5359">
        <w:t>if</w:t>
      </w:r>
      <w:proofErr w:type="gramEnd"/>
      <w:r w:rsidRPr="00AF5359">
        <w:t xml:space="preserve"> the recommendation is </w:t>
      </w:r>
      <w:r w:rsidRPr="00AF5359">
        <w:rPr>
          <w:i/>
        </w:rPr>
        <w:t>approved</w:t>
      </w:r>
      <w:r w:rsidRPr="00AF5359">
        <w:t xml:space="preserve">, providing the chief executive of the agency with confirmation to proceed with the </w:t>
      </w:r>
      <w:r>
        <w:t>appointment or secondment.</w:t>
      </w:r>
    </w:p>
    <w:p w:rsidR="00741B3D" w:rsidRPr="00AF5359" w:rsidRDefault="00741B3D" w:rsidP="00CA5FB7">
      <w:pPr>
        <w:numPr>
          <w:ilvl w:val="0"/>
          <w:numId w:val="29"/>
        </w:numPr>
        <w:spacing w:after="0" w:line="240" w:lineRule="auto"/>
      </w:pPr>
      <w:proofErr w:type="gramStart"/>
      <w:r w:rsidRPr="00AF5359">
        <w:t>if</w:t>
      </w:r>
      <w:proofErr w:type="gramEnd"/>
      <w:r w:rsidRPr="00AF5359">
        <w:t xml:space="preserve"> the recommendation is </w:t>
      </w:r>
      <w:r w:rsidRPr="00AF5359">
        <w:rPr>
          <w:i/>
        </w:rPr>
        <w:t>not approved</w:t>
      </w:r>
      <w:r w:rsidRPr="00AF5359">
        <w:t>, providing the chief executive of the agency with reasons for not approving the recommendation and, where appropriate initiate further consultation with the relevant chief executive.</w:t>
      </w:r>
    </w:p>
    <w:p w:rsidR="00741B3D" w:rsidRDefault="00741B3D" w:rsidP="00741B3D"/>
    <w:p w:rsidR="00741B3D" w:rsidRPr="006D32D6" w:rsidRDefault="00741B3D" w:rsidP="00741B3D">
      <w:pPr>
        <w:rPr>
          <w:b/>
        </w:rPr>
      </w:pPr>
      <w:r w:rsidRPr="00461020">
        <w:rPr>
          <w:b/>
          <w:u w:val="single"/>
        </w:rPr>
        <w:t>Step 3</w:t>
      </w:r>
      <w:r w:rsidRPr="006D32D6">
        <w:rPr>
          <w:b/>
        </w:rPr>
        <w:t>:  The chief executive of the agency is responsible for:</w:t>
      </w:r>
    </w:p>
    <w:p w:rsidR="00741B3D" w:rsidRPr="00AF5359" w:rsidRDefault="00741B3D" w:rsidP="00CA5FB7">
      <w:pPr>
        <w:numPr>
          <w:ilvl w:val="0"/>
          <w:numId w:val="30"/>
        </w:numPr>
        <w:spacing w:after="0" w:line="240" w:lineRule="auto"/>
      </w:pPr>
      <w:r w:rsidRPr="00AF5359">
        <w:t xml:space="preserve">preparation of, and, prior to commencing in the role or </w:t>
      </w:r>
      <w:r w:rsidRPr="00AF5359">
        <w:rPr>
          <w:u w:val="single"/>
        </w:rPr>
        <w:t xml:space="preserve">within </w:t>
      </w:r>
      <w:r>
        <w:rPr>
          <w:u w:val="single"/>
        </w:rPr>
        <w:t>five (</w:t>
      </w:r>
      <w:r w:rsidRPr="00AF5359">
        <w:rPr>
          <w:u w:val="single"/>
        </w:rPr>
        <w:t>5</w:t>
      </w:r>
      <w:r>
        <w:rPr>
          <w:u w:val="single"/>
        </w:rPr>
        <w:t>)</w:t>
      </w:r>
      <w:r w:rsidRPr="00AF5359">
        <w:rPr>
          <w:u w:val="single"/>
        </w:rPr>
        <w:t xml:space="preserve"> working days</w:t>
      </w:r>
      <w:r w:rsidRPr="00AF5359">
        <w:t xml:space="preserve"> following approval by the CCE if already acting in the position, execution of the contract of employment or variation of a contract as appropriate, between the recommended Senior Executive and the chief executive of the agency;</w:t>
      </w:r>
    </w:p>
    <w:p w:rsidR="00741B3D" w:rsidRPr="00AF5359" w:rsidRDefault="00741B3D" w:rsidP="00CA5FB7">
      <w:pPr>
        <w:numPr>
          <w:ilvl w:val="0"/>
          <w:numId w:val="30"/>
        </w:numPr>
        <w:spacing w:after="0" w:line="240" w:lineRule="auto"/>
      </w:pPr>
      <w:proofErr w:type="gramStart"/>
      <w:r w:rsidRPr="00AF5359">
        <w:t>provision</w:t>
      </w:r>
      <w:proofErr w:type="gramEnd"/>
      <w:r w:rsidRPr="00AF5359">
        <w:t xml:space="preserve"> of employment information on the Senior Executive as required by the Public Service Commission Chief Executive </w:t>
      </w:r>
      <w:r w:rsidRPr="00AF5359">
        <w:rPr>
          <w:u w:val="single"/>
        </w:rPr>
        <w:t>within 15 working days</w:t>
      </w:r>
      <w:r w:rsidRPr="00AF5359">
        <w:t xml:space="preserve"> of the contract being executed.</w:t>
      </w:r>
    </w:p>
    <w:p w:rsidR="00741B3D" w:rsidRDefault="00741B3D" w:rsidP="00741B3D"/>
    <w:p w:rsidR="00741B3D" w:rsidRPr="009C7BD9" w:rsidRDefault="00741B3D" w:rsidP="00741B3D">
      <w:pPr>
        <w:rPr>
          <w:b/>
        </w:rPr>
      </w:pPr>
      <w:r w:rsidRPr="00461020">
        <w:rPr>
          <w:b/>
          <w:u w:val="single"/>
        </w:rPr>
        <w:t>Step 4</w:t>
      </w:r>
      <w:r w:rsidRPr="009C7BD9">
        <w:rPr>
          <w:b/>
        </w:rPr>
        <w:t>: The Public Service Commission Chief executive is responsible for:</w:t>
      </w:r>
    </w:p>
    <w:p w:rsidR="00741B3D" w:rsidRPr="00AF5359" w:rsidRDefault="00741B3D" w:rsidP="00CA5FB7">
      <w:pPr>
        <w:numPr>
          <w:ilvl w:val="0"/>
          <w:numId w:val="31"/>
        </w:numPr>
        <w:spacing w:after="0" w:line="240" w:lineRule="auto"/>
      </w:pPr>
      <w:r w:rsidRPr="00AF5359">
        <w:t>Updating and maintaining a current and accurate record of</w:t>
      </w:r>
      <w:r>
        <w:t xml:space="preserve"> the Queensland public service </w:t>
      </w:r>
      <w:r w:rsidRPr="00AF5359">
        <w:t>senior executive service profile through the Executive Management System from information provided by agencies, including new appointments and secondments without advertising vacancies.</w:t>
      </w:r>
    </w:p>
    <w:p w:rsidR="00741B3D" w:rsidRPr="005B2308" w:rsidRDefault="00741B3D" w:rsidP="00741B3D">
      <w:pPr>
        <w:jc w:val="center"/>
        <w:rPr>
          <w:b/>
          <w:sz w:val="40"/>
          <w:szCs w:val="40"/>
          <w:u w:val="single"/>
        </w:rPr>
      </w:pPr>
      <w:r>
        <w:br w:type="page"/>
      </w:r>
      <w:r w:rsidRPr="005B2308">
        <w:rPr>
          <w:b/>
          <w:sz w:val="40"/>
          <w:szCs w:val="40"/>
          <w:u w:val="single"/>
        </w:rPr>
        <w:lastRenderedPageBreak/>
        <w:t>PART C</w:t>
      </w:r>
    </w:p>
    <w:p w:rsidR="00741B3D" w:rsidRPr="001629B5" w:rsidRDefault="00741B3D" w:rsidP="00741B3D">
      <w:pPr>
        <w:jc w:val="center"/>
        <w:rPr>
          <w:i/>
          <w:sz w:val="20"/>
          <w:szCs w:val="20"/>
        </w:rPr>
      </w:pPr>
    </w:p>
    <w:p w:rsidR="00741B3D" w:rsidRPr="004413B5" w:rsidRDefault="00741B3D" w:rsidP="00741B3D">
      <w:pPr>
        <w:jc w:val="center"/>
        <w:rPr>
          <w:caps/>
          <w:u w:val="single"/>
        </w:rPr>
      </w:pPr>
      <w:r w:rsidRPr="004413B5">
        <w:rPr>
          <w:b/>
          <w:caps/>
          <w:u w:val="single"/>
        </w:rPr>
        <w:t>For interchange arrangements</w:t>
      </w:r>
    </w:p>
    <w:p w:rsidR="00741B3D" w:rsidRDefault="00741B3D" w:rsidP="00741B3D">
      <w:pPr>
        <w:jc w:val="center"/>
        <w:rPr>
          <w:i/>
          <w:sz w:val="20"/>
          <w:szCs w:val="20"/>
        </w:rPr>
      </w:pPr>
      <w:r>
        <w:rPr>
          <w:i/>
          <w:sz w:val="20"/>
          <w:szCs w:val="20"/>
        </w:rPr>
        <w:t>(Form C)</w:t>
      </w:r>
    </w:p>
    <w:p w:rsidR="00741B3D" w:rsidRDefault="00741B3D" w:rsidP="00741B3D"/>
    <w:p w:rsidR="00741B3D" w:rsidRPr="00AF5359" w:rsidRDefault="00741B3D" w:rsidP="00741B3D">
      <w:pPr>
        <w:ind w:left="690" w:hanging="345"/>
      </w:pPr>
      <w:r w:rsidRPr="00AF5359">
        <w:t>a)</w:t>
      </w:r>
      <w:r w:rsidRPr="00AF5359">
        <w:tab/>
        <w:t>The implementation of this arrangement does not require approval from the Public Servi</w:t>
      </w:r>
      <w:r>
        <w:t>ce Commission Chief Executive.</w:t>
      </w:r>
    </w:p>
    <w:p w:rsidR="00741B3D" w:rsidRPr="00AF5359" w:rsidRDefault="00741B3D" w:rsidP="00741B3D"/>
    <w:p w:rsidR="00741B3D" w:rsidRPr="00AF5359" w:rsidRDefault="00741B3D" w:rsidP="00CA5FB7">
      <w:pPr>
        <w:numPr>
          <w:ilvl w:val="0"/>
          <w:numId w:val="31"/>
        </w:numPr>
        <w:spacing w:after="0" w:line="240" w:lineRule="auto"/>
      </w:pPr>
      <w:r w:rsidRPr="00AF5359">
        <w:t xml:space="preserve">However, the chief executive of the host agency must prepare and submit signed and completed documentation to the Public Service Commission Chief Executive for noting, </w:t>
      </w:r>
      <w:r w:rsidRPr="00AF5359">
        <w:rPr>
          <w:u w:val="single"/>
        </w:rPr>
        <w:t xml:space="preserve">within </w:t>
      </w:r>
      <w:r>
        <w:rPr>
          <w:u w:val="single"/>
        </w:rPr>
        <w:t>five (</w:t>
      </w:r>
      <w:r w:rsidRPr="00AF5359">
        <w:rPr>
          <w:u w:val="single"/>
        </w:rPr>
        <w:t>5</w:t>
      </w:r>
      <w:r>
        <w:rPr>
          <w:u w:val="single"/>
        </w:rPr>
        <w:t>)</w:t>
      </w:r>
      <w:r w:rsidRPr="00AF5359">
        <w:rPr>
          <w:u w:val="single"/>
        </w:rPr>
        <w:t xml:space="preserve"> working days</w:t>
      </w:r>
      <w:r w:rsidRPr="00AF5359">
        <w:t xml:space="preserve"> of the commencement of the officer/s interchange arrangement.</w:t>
      </w:r>
    </w:p>
    <w:p w:rsidR="00741B3D" w:rsidRPr="00AF5359" w:rsidRDefault="00741B3D" w:rsidP="00741B3D"/>
    <w:p w:rsidR="00741B3D" w:rsidRPr="00AF5359" w:rsidRDefault="00741B3D" w:rsidP="00CA5FB7">
      <w:pPr>
        <w:numPr>
          <w:ilvl w:val="0"/>
          <w:numId w:val="31"/>
        </w:numPr>
        <w:spacing w:after="0" w:line="240" w:lineRule="auto"/>
      </w:pPr>
      <w:r w:rsidRPr="00AF5359">
        <w:t>Documentation must include:</w:t>
      </w:r>
    </w:p>
    <w:p w:rsidR="00741B3D" w:rsidRPr="00AF5359" w:rsidRDefault="00741B3D" w:rsidP="00CA5FB7">
      <w:pPr>
        <w:numPr>
          <w:ilvl w:val="0"/>
          <w:numId w:val="22"/>
        </w:numPr>
        <w:tabs>
          <w:tab w:val="clear" w:pos="990"/>
        </w:tabs>
        <w:spacing w:after="0" w:line="240" w:lineRule="auto"/>
        <w:ind w:left="1495" w:hanging="315"/>
      </w:pPr>
      <w:r w:rsidRPr="00AF5359">
        <w:t>standard Interchange Arrangement Form (Form C – Interchange Arrangements);</w:t>
      </w:r>
    </w:p>
    <w:p w:rsidR="00741B3D" w:rsidRPr="00AF5359" w:rsidRDefault="00741B3D" w:rsidP="00CA5FB7">
      <w:pPr>
        <w:numPr>
          <w:ilvl w:val="0"/>
          <w:numId w:val="22"/>
        </w:numPr>
        <w:tabs>
          <w:tab w:val="clear" w:pos="990"/>
        </w:tabs>
        <w:spacing w:after="0" w:line="240" w:lineRule="auto"/>
        <w:ind w:left="1640" w:hanging="460"/>
      </w:pPr>
      <w:r w:rsidRPr="00AF5359">
        <w:t>role description/s;</w:t>
      </w:r>
    </w:p>
    <w:p w:rsidR="00741B3D" w:rsidRPr="00AF5359" w:rsidRDefault="00741B3D" w:rsidP="00CA5FB7">
      <w:pPr>
        <w:numPr>
          <w:ilvl w:val="0"/>
          <w:numId w:val="22"/>
        </w:numPr>
        <w:tabs>
          <w:tab w:val="clear" w:pos="990"/>
        </w:tabs>
        <w:spacing w:after="0" w:line="240" w:lineRule="auto"/>
        <w:ind w:left="1640" w:hanging="460"/>
      </w:pPr>
      <w:r w:rsidRPr="00AF5359">
        <w:t>recommended person’s resume and application; and</w:t>
      </w:r>
    </w:p>
    <w:p w:rsidR="00741B3D" w:rsidRPr="00AF5359" w:rsidRDefault="00741B3D" w:rsidP="00CA5FB7">
      <w:pPr>
        <w:numPr>
          <w:ilvl w:val="0"/>
          <w:numId w:val="22"/>
        </w:numPr>
        <w:tabs>
          <w:tab w:val="clear" w:pos="990"/>
        </w:tabs>
        <w:spacing w:after="0" w:line="240" w:lineRule="auto"/>
        <w:ind w:left="1640" w:hanging="460"/>
      </w:pPr>
      <w:r w:rsidRPr="00AF5359">
        <w:t>chief executive’s certification of compliance with:</w:t>
      </w:r>
    </w:p>
    <w:p w:rsidR="00741B3D" w:rsidRPr="00AF5359" w:rsidRDefault="00741B3D" w:rsidP="00CA5FB7">
      <w:pPr>
        <w:numPr>
          <w:ilvl w:val="2"/>
          <w:numId w:val="22"/>
        </w:numPr>
        <w:tabs>
          <w:tab w:val="clear" w:pos="2430"/>
        </w:tabs>
        <w:spacing w:after="0" w:line="240" w:lineRule="auto"/>
        <w:ind w:left="1840" w:hanging="345"/>
      </w:pPr>
      <w:r w:rsidRPr="00AF5359">
        <w:t>relevant Directives;</w:t>
      </w:r>
    </w:p>
    <w:p w:rsidR="00741B3D" w:rsidRPr="00AF5359" w:rsidRDefault="00741B3D" w:rsidP="00CA5FB7">
      <w:pPr>
        <w:numPr>
          <w:ilvl w:val="2"/>
          <w:numId w:val="22"/>
        </w:numPr>
        <w:tabs>
          <w:tab w:val="clear" w:pos="2430"/>
        </w:tabs>
        <w:spacing w:after="0" w:line="240" w:lineRule="auto"/>
        <w:ind w:left="1840" w:hanging="345"/>
      </w:pPr>
      <w:proofErr w:type="gramStart"/>
      <w:r w:rsidRPr="00AF5359">
        <w:t>provisions</w:t>
      </w:r>
      <w:proofErr w:type="gramEnd"/>
      <w:r w:rsidRPr="00AF5359">
        <w:t xml:space="preserve"> in relevant Act including equity considerations and manag</w:t>
      </w:r>
      <w:r>
        <w:t>ement and employment principles.</w:t>
      </w:r>
    </w:p>
    <w:p w:rsidR="00741B3D" w:rsidRDefault="00741B3D" w:rsidP="00741B3D">
      <w:pPr>
        <w:ind w:left="1135"/>
      </w:pPr>
    </w:p>
    <w:p w:rsidR="00741B3D" w:rsidRDefault="00741B3D" w:rsidP="00741B3D">
      <w:pPr>
        <w:ind w:left="1135"/>
      </w:pPr>
    </w:p>
    <w:p w:rsidR="00741B3D" w:rsidRPr="005B2308" w:rsidRDefault="00741B3D" w:rsidP="00741B3D">
      <w:pPr>
        <w:jc w:val="center"/>
        <w:rPr>
          <w:b/>
          <w:sz w:val="40"/>
          <w:szCs w:val="40"/>
          <w:u w:val="single"/>
        </w:rPr>
      </w:pPr>
      <w:r>
        <w:rPr>
          <w:b/>
          <w:sz w:val="40"/>
          <w:szCs w:val="40"/>
          <w:u w:val="single"/>
        </w:rPr>
        <w:t>PART D</w:t>
      </w:r>
    </w:p>
    <w:p w:rsidR="00741B3D" w:rsidRPr="001629B5" w:rsidRDefault="00741B3D" w:rsidP="00741B3D">
      <w:pPr>
        <w:jc w:val="center"/>
        <w:rPr>
          <w:i/>
          <w:sz w:val="20"/>
          <w:szCs w:val="20"/>
        </w:rPr>
      </w:pPr>
    </w:p>
    <w:p w:rsidR="00741B3D" w:rsidRPr="004413B5" w:rsidRDefault="00741B3D" w:rsidP="00741B3D">
      <w:pPr>
        <w:jc w:val="center"/>
        <w:rPr>
          <w:caps/>
          <w:u w:val="single"/>
        </w:rPr>
      </w:pPr>
      <w:r>
        <w:rPr>
          <w:b/>
          <w:caps/>
          <w:u w:val="single"/>
        </w:rPr>
        <w:t>FOR SENIOR EXECUTIVE OFFICER PROFILE CONFIRMATION TO THE PUBLIC SERVICE COMMISSION</w:t>
      </w:r>
    </w:p>
    <w:p w:rsidR="00741B3D" w:rsidRDefault="00741B3D" w:rsidP="00741B3D">
      <w:pPr>
        <w:jc w:val="center"/>
        <w:rPr>
          <w:i/>
          <w:sz w:val="20"/>
          <w:szCs w:val="20"/>
        </w:rPr>
      </w:pPr>
      <w:r>
        <w:rPr>
          <w:i/>
          <w:sz w:val="20"/>
          <w:szCs w:val="20"/>
        </w:rPr>
        <w:t>(Form D)</w:t>
      </w:r>
    </w:p>
    <w:p w:rsidR="00741B3D" w:rsidRDefault="00741B3D" w:rsidP="00741B3D"/>
    <w:p w:rsidR="00741B3D" w:rsidRDefault="00741B3D" w:rsidP="00741B3D">
      <w:pPr>
        <w:ind w:left="690" w:hanging="345"/>
        <w:rPr>
          <w:b/>
        </w:rPr>
      </w:pPr>
      <w:r>
        <w:rPr>
          <w:b/>
        </w:rPr>
        <w:t>The HR Director or equivalent</w:t>
      </w:r>
      <w:r w:rsidRPr="006D32D6">
        <w:rPr>
          <w:b/>
        </w:rPr>
        <w:t xml:space="preserve"> of the agency is responsible for:</w:t>
      </w:r>
    </w:p>
    <w:p w:rsidR="00741B3D" w:rsidRDefault="00741B3D" w:rsidP="00741B3D">
      <w:pPr>
        <w:ind w:left="690" w:hanging="345"/>
        <w:rPr>
          <w:b/>
        </w:rPr>
      </w:pPr>
    </w:p>
    <w:p w:rsidR="00741B3D" w:rsidRPr="00AF5359" w:rsidRDefault="00741B3D" w:rsidP="00CA5FB7">
      <w:pPr>
        <w:numPr>
          <w:ilvl w:val="0"/>
          <w:numId w:val="32"/>
        </w:numPr>
        <w:spacing w:after="0" w:line="240" w:lineRule="auto"/>
      </w:pPr>
      <w:r w:rsidRPr="00AF5359">
        <w:t xml:space="preserve">preparing and submitting signed and completed documentation (Form D – SES Officer Profile Confirmation) to the Public Service Commission </w:t>
      </w:r>
      <w:r w:rsidRPr="00AF5359">
        <w:rPr>
          <w:u w:val="single"/>
        </w:rPr>
        <w:t>within 15 working days</w:t>
      </w:r>
      <w:r w:rsidRPr="00AF5359">
        <w:t xml:space="preserve"> of the senior executive officer taking up duties;</w:t>
      </w:r>
    </w:p>
    <w:p w:rsidR="00741B3D" w:rsidRPr="00AF5359" w:rsidRDefault="00741B3D" w:rsidP="00741B3D">
      <w:pPr>
        <w:ind w:left="345"/>
      </w:pPr>
    </w:p>
    <w:p w:rsidR="00741B3D" w:rsidRPr="00AF5359" w:rsidRDefault="00741B3D" w:rsidP="00CA5FB7">
      <w:pPr>
        <w:numPr>
          <w:ilvl w:val="0"/>
          <w:numId w:val="32"/>
        </w:numPr>
        <w:spacing w:after="0" w:line="240" w:lineRule="auto"/>
      </w:pPr>
      <w:proofErr w:type="gramStart"/>
      <w:r w:rsidRPr="00AF5359">
        <w:t>providing</w:t>
      </w:r>
      <w:proofErr w:type="gramEnd"/>
      <w:r w:rsidRPr="00AF5359">
        <w:t xml:space="preserve"> prompt advice periodically to the Public Service Commission of any profile changes applicable to the SES Officer (e.g. position title/designation change; contract variation; pay point; exited role).</w:t>
      </w:r>
    </w:p>
    <w:p w:rsidR="00741B3D" w:rsidRDefault="00741B3D" w:rsidP="00741B3D"/>
    <w:p w:rsidR="009F7472" w:rsidRPr="00F027C2" w:rsidRDefault="00877994" w:rsidP="00EB08D3">
      <w:r>
        <w:rPr>
          <w:rFonts w:ascii="Calibri" w:eastAsia="Calibri" w:hAnsi="Calibri" w:cs="Calibri"/>
          <w:noProof/>
        </w:rPr>
        <mc:AlternateContent>
          <mc:Choice Requires="wpg">
            <w:drawing>
              <wp:anchor distT="0" distB="0" distL="114300" distR="114300" simplePos="0" relativeHeight="251662336" behindDoc="0" locked="0" layoutInCell="1" allowOverlap="1" wp14:anchorId="77860B48" wp14:editId="6C6BD32C">
                <wp:simplePos x="0" y="0"/>
                <wp:positionH relativeFrom="page">
                  <wp:posOffset>719455</wp:posOffset>
                </wp:positionH>
                <wp:positionV relativeFrom="page">
                  <wp:posOffset>10160635</wp:posOffset>
                </wp:positionV>
                <wp:extent cx="7519670" cy="318770"/>
                <wp:effectExtent l="0" t="0" r="0" b="0"/>
                <wp:wrapTopAndBottom/>
                <wp:docPr id="1315" name="Group 1315"/>
                <wp:cNvGraphicFramePr/>
                <a:graphic xmlns:a="http://schemas.openxmlformats.org/drawingml/2006/main">
                  <a:graphicData uri="http://schemas.microsoft.com/office/word/2010/wordprocessingGroup">
                    <wpg:wgp>
                      <wpg:cNvGrpSpPr/>
                      <wpg:grpSpPr>
                        <a:xfrm>
                          <a:off x="0" y="0"/>
                          <a:ext cx="7519670" cy="318770"/>
                          <a:chOff x="720088" y="407098"/>
                          <a:chExt cx="7520208" cy="319033"/>
                        </a:xfrm>
                      </wpg:grpSpPr>
                      <wps:wsp>
                        <wps:cNvPr id="324" name="Rectangle 324"/>
                        <wps:cNvSpPr/>
                        <wps:spPr>
                          <a:xfrm>
                            <a:off x="720090" y="407098"/>
                            <a:ext cx="7520206" cy="169653"/>
                          </a:xfrm>
                          <a:prstGeom prst="rect">
                            <a:avLst/>
                          </a:prstGeom>
                          <a:ln>
                            <a:noFill/>
                          </a:ln>
                        </wps:spPr>
                        <wps:txbx>
                          <w:txbxContent>
                            <w:p w:rsidR="00EB08D3" w:rsidRDefault="00EB08D3" w:rsidP="00EB08D3">
                              <w:pPr>
                                <w:spacing w:after="160" w:line="259" w:lineRule="auto"/>
                                <w:ind w:left="0" w:firstLine="0"/>
                                <w:jc w:val="left"/>
                              </w:pPr>
                              <w:r>
                                <w:rPr>
                                  <w:color w:val="FFFFFF"/>
                                  <w:sz w:val="18"/>
                                </w:rPr>
                                <w:t>D</w:t>
                              </w:r>
                              <w:r w:rsidR="00877994">
                                <w:rPr>
                                  <w:color w:val="FFFFFF"/>
                                  <w:sz w:val="18"/>
                                </w:rPr>
                                <w:t xml:space="preserve">irective 3/10 – </w:t>
                              </w:r>
                              <w:proofErr w:type="spellStart"/>
                              <w:r w:rsidR="00877994">
                                <w:rPr>
                                  <w:color w:val="FFFFFF"/>
                                  <w:sz w:val="18"/>
                                </w:rPr>
                                <w:t>Declar</w:t>
                              </w:r>
                              <w:r>
                                <w:rPr>
                                  <w:color w:val="FFFFFF"/>
                                  <w:sz w:val="18"/>
                                </w:rPr>
                                <w:t>tion</w:t>
                              </w:r>
                              <w:proofErr w:type="spellEnd"/>
                              <w:r>
                                <w:rPr>
                                  <w:color w:val="FFFFFF"/>
                                  <w:sz w:val="18"/>
                                </w:rPr>
                                <w:t xml:space="preserve"> of Interests: Public Service Employees (other than departmental Chief Executives)  </w:t>
                              </w:r>
                            </w:p>
                          </w:txbxContent>
                        </wps:txbx>
                        <wps:bodyPr horzOverflow="overflow" vert="horz" lIns="0" tIns="0" rIns="0" bIns="0" rtlCol="0">
                          <a:noAutofit/>
                        </wps:bodyPr>
                      </wps:wsp>
                      <wps:wsp>
                        <wps:cNvPr id="326" name="Rectangle 326"/>
                        <wps:cNvSpPr/>
                        <wps:spPr>
                          <a:xfrm>
                            <a:off x="6892756" y="407098"/>
                            <a:ext cx="42233" cy="169653"/>
                          </a:xfrm>
                          <a:prstGeom prst="rect">
                            <a:avLst/>
                          </a:prstGeom>
                          <a:ln>
                            <a:noFill/>
                          </a:ln>
                        </wps:spPr>
                        <wps:txbx>
                          <w:txbxContent>
                            <w:p w:rsidR="00EB08D3" w:rsidRDefault="00EB08D3" w:rsidP="00EB08D3">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328" name="Rectangle 328"/>
                        <wps:cNvSpPr/>
                        <wps:spPr>
                          <a:xfrm>
                            <a:off x="7121345" y="407098"/>
                            <a:ext cx="84541" cy="169653"/>
                          </a:xfrm>
                          <a:prstGeom prst="rect">
                            <a:avLst/>
                          </a:prstGeom>
                          <a:ln>
                            <a:noFill/>
                          </a:ln>
                        </wps:spPr>
                        <wps:txbx>
                          <w:txbxContent>
                            <w:p w:rsidR="00EB08D3" w:rsidRDefault="00EB08D3" w:rsidP="00EB08D3">
                              <w:pPr>
                                <w:spacing w:after="160" w:line="259" w:lineRule="auto"/>
                                <w:ind w:left="0" w:firstLine="0"/>
                                <w:jc w:val="left"/>
                              </w:pPr>
                              <w:r>
                                <w:rPr>
                                  <w:color w:val="FFFFFF"/>
                                  <w:sz w:val="18"/>
                                </w:rPr>
                                <w:t>3</w:t>
                              </w:r>
                            </w:p>
                          </w:txbxContent>
                        </wps:txbx>
                        <wps:bodyPr horzOverflow="overflow" vert="horz" lIns="0" tIns="0" rIns="0" bIns="0" rtlCol="0">
                          <a:noAutofit/>
                        </wps:bodyPr>
                      </wps:wsp>
                      <wps:wsp>
                        <wps:cNvPr id="189" name="Rectangle 189"/>
                        <wps:cNvSpPr/>
                        <wps:spPr>
                          <a:xfrm>
                            <a:off x="7184135" y="441579"/>
                            <a:ext cx="28157" cy="113102"/>
                          </a:xfrm>
                          <a:prstGeom prst="rect">
                            <a:avLst/>
                          </a:prstGeom>
                          <a:ln>
                            <a:noFill/>
                          </a:ln>
                        </wps:spPr>
                        <wps:txbx>
                          <w:txbxContent>
                            <w:p w:rsidR="00EB08D3" w:rsidRDefault="00EB08D3" w:rsidP="00EB08D3">
                              <w:pPr>
                                <w:spacing w:after="160" w:line="259" w:lineRule="auto"/>
                                <w:ind w:left="0" w:firstLine="0"/>
                                <w:jc w:val="left"/>
                              </w:pPr>
                              <w:r>
                                <w:rPr>
                                  <w:color w:val="FFFFFF"/>
                                  <w:sz w:val="12"/>
                                </w:rPr>
                                <w:t xml:space="preserve"> </w:t>
                              </w:r>
                            </w:p>
                          </w:txbxContent>
                        </wps:txbx>
                        <wps:bodyPr horzOverflow="overflow" vert="horz" lIns="0" tIns="0" rIns="0" bIns="0" rtlCol="0">
                          <a:noAutofit/>
                        </wps:bodyPr>
                      </wps:wsp>
                      <wps:wsp>
                        <wps:cNvPr id="190" name="Rectangle 190"/>
                        <wps:cNvSpPr/>
                        <wps:spPr>
                          <a:xfrm>
                            <a:off x="720088" y="613029"/>
                            <a:ext cx="28157" cy="113102"/>
                          </a:xfrm>
                          <a:prstGeom prst="rect">
                            <a:avLst/>
                          </a:prstGeom>
                          <a:ln>
                            <a:noFill/>
                          </a:ln>
                        </wps:spPr>
                        <wps:txbx>
                          <w:txbxContent>
                            <w:p w:rsidR="00EB08D3" w:rsidRDefault="00EB08D3" w:rsidP="00EB08D3">
                              <w:pPr>
                                <w:spacing w:after="160" w:line="259" w:lineRule="auto"/>
                                <w:ind w:left="0" w:firstLine="0"/>
                                <w:jc w:val="left"/>
                              </w:pPr>
                              <w:r>
                                <w:rPr>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7860B48" id="Group 1315" o:spid="_x0000_s1026" style="position:absolute;left:0;text-align:left;margin-left:56.65pt;margin-top:800.05pt;width:592.1pt;height:25.1pt;z-index:251662336;mso-position-horizontal-relative:page;mso-position-vertical-relative:page;mso-width-relative:margin;mso-height-relative:margin" coordorigin="7200,4070" coordsize="7520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">
                <v:rect id="Rectangle 324" o:spid="_x0000_s1027" style="position:absolute;left:7200;top:4070;width:7520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EB08D3" w:rsidRDefault="00EB08D3" w:rsidP="00EB08D3">
                        <w:pPr>
                          <w:spacing w:after="160" w:line="259" w:lineRule="auto"/>
                          <w:ind w:left="0" w:firstLine="0"/>
                          <w:jc w:val="left"/>
                        </w:pPr>
                        <w:r>
                          <w:rPr>
                            <w:color w:val="FFFFFF"/>
                            <w:sz w:val="18"/>
                          </w:rPr>
                          <w:t>D</w:t>
                        </w:r>
                        <w:r w:rsidR="00877994">
                          <w:rPr>
                            <w:color w:val="FFFFFF"/>
                            <w:sz w:val="18"/>
                          </w:rPr>
                          <w:t xml:space="preserve">irective 3/10 – </w:t>
                        </w:r>
                        <w:proofErr w:type="spellStart"/>
                        <w:r w:rsidR="00877994">
                          <w:rPr>
                            <w:color w:val="FFFFFF"/>
                            <w:sz w:val="18"/>
                          </w:rPr>
                          <w:t>Declar</w:t>
                        </w:r>
                        <w:r>
                          <w:rPr>
                            <w:color w:val="FFFFFF"/>
                            <w:sz w:val="18"/>
                          </w:rPr>
                          <w:t>tion</w:t>
                        </w:r>
                        <w:proofErr w:type="spellEnd"/>
                        <w:r>
                          <w:rPr>
                            <w:color w:val="FFFFFF"/>
                            <w:sz w:val="18"/>
                          </w:rPr>
                          <w:t xml:space="preserve"> of Interests: Public Service Employees (other than departmental Chief Executives)  </w:t>
                        </w:r>
                      </w:p>
                    </w:txbxContent>
                  </v:textbox>
                </v:rect>
                <v:rect id="Rectangle 326" o:spid="_x0000_s1028" style="position:absolute;left:68927;top:4070;width:42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EB08D3" w:rsidRDefault="00EB08D3" w:rsidP="00EB08D3">
                        <w:pPr>
                          <w:spacing w:after="160" w:line="259" w:lineRule="auto"/>
                          <w:ind w:left="0" w:firstLine="0"/>
                          <w:jc w:val="left"/>
                        </w:pPr>
                        <w:r>
                          <w:rPr>
                            <w:color w:val="FFFFFF"/>
                            <w:sz w:val="18"/>
                          </w:rPr>
                          <w:t xml:space="preserve"> </w:t>
                        </w:r>
                      </w:p>
                    </w:txbxContent>
                  </v:textbox>
                </v:rect>
                <v:rect id="Rectangle 328" o:spid="_x0000_s1029" style="position:absolute;left:71213;top:4070;width:84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EB08D3" w:rsidRDefault="00EB08D3" w:rsidP="00EB08D3">
                        <w:pPr>
                          <w:spacing w:after="160" w:line="259" w:lineRule="auto"/>
                          <w:ind w:left="0" w:firstLine="0"/>
                          <w:jc w:val="left"/>
                        </w:pPr>
                        <w:r>
                          <w:rPr>
                            <w:color w:val="FFFFFF"/>
                            <w:sz w:val="18"/>
                          </w:rPr>
                          <w:t>3</w:t>
                        </w:r>
                      </w:p>
                    </w:txbxContent>
                  </v:textbox>
                </v:rect>
                <v:rect id="Rectangle 189" o:spid="_x0000_s1030" style="position:absolute;left:71841;top:4415;width:28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EB08D3" w:rsidRDefault="00EB08D3" w:rsidP="00EB08D3">
                        <w:pPr>
                          <w:spacing w:after="160" w:line="259" w:lineRule="auto"/>
                          <w:ind w:left="0" w:firstLine="0"/>
                          <w:jc w:val="left"/>
                        </w:pPr>
                        <w:r>
                          <w:rPr>
                            <w:color w:val="FFFFFF"/>
                            <w:sz w:val="12"/>
                          </w:rPr>
                          <w:t xml:space="preserve"> </w:t>
                        </w:r>
                      </w:p>
                    </w:txbxContent>
                  </v:textbox>
                </v:rect>
                <v:rect id="Rectangle 190" o:spid="_x0000_s1031" style="position:absolute;left:7200;top:6130;width:282;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EB08D3" w:rsidRDefault="00EB08D3" w:rsidP="00EB08D3">
                        <w:pPr>
                          <w:spacing w:after="160" w:line="259" w:lineRule="auto"/>
                          <w:ind w:left="0" w:firstLine="0"/>
                          <w:jc w:val="left"/>
                        </w:pPr>
                        <w:r>
                          <w:rPr>
                            <w:sz w:val="12"/>
                          </w:rPr>
                          <w:t xml:space="preserve"> </w:t>
                        </w:r>
                      </w:p>
                    </w:txbxContent>
                  </v:textbox>
                </v:rect>
                <w10:wrap type="topAndBottom" anchorx="page" anchory="page"/>
              </v:group>
            </w:pict>
          </mc:Fallback>
        </mc:AlternateContent>
      </w:r>
    </w:p>
    <w:sectPr w:rsidR="009F7472" w:rsidRPr="00F027C2" w:rsidSect="00C54449">
      <w:headerReference w:type="default" r:id="rId10"/>
      <w:footerReference w:type="default" r:id="rId11"/>
      <w:headerReference w:type="first" r:id="rId12"/>
      <w:footerReference w:type="first" r:id="rId13"/>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B7" w:rsidRDefault="00CA5FB7" w:rsidP="002C39DD">
      <w:r>
        <w:separator/>
      </w:r>
    </w:p>
    <w:p w:rsidR="00CA5FB7" w:rsidRDefault="00CA5FB7" w:rsidP="002C39DD"/>
    <w:p w:rsidR="00CA5FB7" w:rsidRDefault="00CA5FB7" w:rsidP="002C39DD"/>
    <w:p w:rsidR="00CA5FB7" w:rsidRDefault="00CA5FB7" w:rsidP="002C39DD"/>
    <w:p w:rsidR="00CA5FB7" w:rsidRDefault="00CA5FB7"/>
    <w:p w:rsidR="00CA5FB7" w:rsidRDefault="00CA5FB7"/>
  </w:endnote>
  <w:endnote w:type="continuationSeparator" w:id="0">
    <w:p w:rsidR="00CA5FB7" w:rsidRDefault="00CA5FB7" w:rsidP="002C39DD">
      <w:r>
        <w:continuationSeparator/>
      </w:r>
    </w:p>
    <w:p w:rsidR="00CA5FB7" w:rsidRDefault="00CA5FB7" w:rsidP="002C39DD"/>
    <w:p w:rsidR="00CA5FB7" w:rsidRDefault="00CA5FB7" w:rsidP="002C39DD"/>
    <w:p w:rsidR="00CA5FB7" w:rsidRDefault="00CA5FB7" w:rsidP="002C39DD"/>
    <w:p w:rsidR="00CA5FB7" w:rsidRDefault="00CA5FB7"/>
    <w:p w:rsidR="00CA5FB7" w:rsidRDefault="00CA5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6"/>
      <w:gridCol w:w="1297"/>
    </w:tblGrid>
    <w:tr w:rsidR="003B707D" w:rsidRPr="00933F6B" w:rsidTr="005C4352">
      <w:tc>
        <w:tcPr>
          <w:tcW w:w="9348" w:type="dxa"/>
          <w:vAlign w:val="bottom"/>
        </w:tcPr>
        <w:p w:rsidR="003B707D" w:rsidRPr="00933F6B" w:rsidRDefault="00800E4E" w:rsidP="005C4352">
          <w:pPr>
            <w:pStyle w:val="Footer"/>
          </w:pPr>
          <w:r>
            <w:fldChar w:fldCharType="begin"/>
          </w:r>
          <w:r>
            <w:instrText xml:space="preserve"> STYLEREF  Title  \* MERGEFORMAT </w:instrText>
          </w:r>
          <w:r>
            <w:fldChar w:fldCharType="separate"/>
          </w:r>
          <w:r w:rsidR="008F3260">
            <w:rPr>
              <w:b w:val="0"/>
              <w:bCs/>
              <w:noProof/>
              <w:lang w:val="en-US"/>
            </w:rPr>
            <w:t>Error! No text of specified style in document.</w:t>
          </w:r>
          <w:r>
            <w:rPr>
              <w:noProof/>
            </w:rPr>
            <w:fldChar w:fldCharType="end"/>
          </w:r>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8F3260">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9F7472">
    <w:pPr>
      <w:pStyle w:val="Footer"/>
    </w:pPr>
    <w:r>
      <w:rPr>
        <w:noProof/>
      </w:rPr>
      <w:drawing>
        <wp:anchor distT="0" distB="0" distL="114300" distR="114300" simplePos="0" relativeHeight="251663360" behindDoc="1" locked="0" layoutInCell="1" allowOverlap="1" wp14:anchorId="505C1718" wp14:editId="2ED0357B">
          <wp:simplePos x="0" y="0"/>
          <wp:positionH relativeFrom="page">
            <wp:posOffset>13970</wp:posOffset>
          </wp:positionH>
          <wp:positionV relativeFrom="page">
            <wp:posOffset>9547860</wp:posOffset>
          </wp:positionV>
          <wp:extent cx="7560310" cy="1144905"/>
          <wp:effectExtent l="0" t="0" r="2540" b="0"/>
          <wp:wrapNone/>
          <wp:docPr id="1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B7" w:rsidRDefault="00CA5FB7" w:rsidP="002C39DD">
      <w:r>
        <w:separator/>
      </w:r>
    </w:p>
    <w:p w:rsidR="00CA5FB7" w:rsidRDefault="00CA5FB7"/>
  </w:footnote>
  <w:footnote w:type="continuationSeparator" w:id="0">
    <w:p w:rsidR="00CA5FB7" w:rsidRDefault="00CA5FB7" w:rsidP="002C39DD">
      <w:r>
        <w:continuationSeparator/>
      </w:r>
    </w:p>
    <w:p w:rsidR="00CA5FB7" w:rsidRDefault="00CA5FB7" w:rsidP="002C39DD"/>
    <w:p w:rsidR="00CA5FB7" w:rsidRDefault="00CA5FB7" w:rsidP="002C39DD"/>
    <w:p w:rsidR="00CA5FB7" w:rsidRDefault="00CA5FB7" w:rsidP="002C39DD"/>
    <w:p w:rsidR="00CA5FB7" w:rsidRDefault="00CA5FB7"/>
    <w:p w:rsidR="00CA5FB7" w:rsidRDefault="00CA5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9F7472" w:rsidP="00D91BE3">
    <w:pPr>
      <w:pStyle w:val="Header"/>
      <w:rPr>
        <w:sz w:val="2"/>
        <w:szCs w:val="2"/>
      </w:rPr>
    </w:pPr>
    <w:r>
      <w:rPr>
        <w:noProof/>
      </w:rPr>
      <w:drawing>
        <wp:anchor distT="0" distB="0" distL="114300" distR="114300" simplePos="0" relativeHeight="251661312" behindDoc="1" locked="0" layoutInCell="1" allowOverlap="1" wp14:anchorId="638F4B2F" wp14:editId="174182CC">
          <wp:simplePos x="0" y="0"/>
          <wp:positionH relativeFrom="page">
            <wp:posOffset>-653415</wp:posOffset>
          </wp:positionH>
          <wp:positionV relativeFrom="page">
            <wp:posOffset>10795</wp:posOffset>
          </wp:positionV>
          <wp:extent cx="8229600" cy="783590"/>
          <wp:effectExtent l="0" t="0" r="0" b="0"/>
          <wp:wrapNone/>
          <wp:docPr id="1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9F7472">
    <w:pPr>
      <w:pStyle w:val="Header"/>
    </w:pPr>
    <w:r>
      <w:rPr>
        <w:noProof/>
      </w:rPr>
      <w:drawing>
        <wp:anchor distT="0" distB="0" distL="114300" distR="114300" simplePos="0" relativeHeight="251659264" behindDoc="1" locked="0" layoutInCell="1" allowOverlap="1" wp14:anchorId="0B44256A" wp14:editId="0BE7FC3E">
          <wp:simplePos x="0" y="0"/>
          <wp:positionH relativeFrom="page">
            <wp:posOffset>15240</wp:posOffset>
          </wp:positionH>
          <wp:positionV relativeFrom="page">
            <wp:posOffset>5715</wp:posOffset>
          </wp:positionV>
          <wp:extent cx="7559675" cy="1079500"/>
          <wp:effectExtent l="0" t="0" r="3175" b="6350"/>
          <wp:wrapNone/>
          <wp:docPr id="1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02A40DA"/>
    <w:multiLevelType w:val="hybridMultilevel"/>
    <w:tmpl w:val="76E49F6E"/>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DE3DE3"/>
    <w:multiLevelType w:val="hybridMultilevel"/>
    <w:tmpl w:val="D9D4155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36B64"/>
    <w:multiLevelType w:val="hybridMultilevel"/>
    <w:tmpl w:val="62FCFD0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5E8A"/>
    <w:multiLevelType w:val="hybridMultilevel"/>
    <w:tmpl w:val="63B8DEB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07A6C1A"/>
    <w:multiLevelType w:val="hybridMultilevel"/>
    <w:tmpl w:val="E230FBE6"/>
    <w:lvl w:ilvl="0" w:tplc="0C090001">
      <w:start w:val="1"/>
      <w:numFmt w:val="bullet"/>
      <w:lvlText w:val=""/>
      <w:lvlJc w:val="left"/>
      <w:pPr>
        <w:tabs>
          <w:tab w:val="num" w:pos="990"/>
        </w:tabs>
        <w:ind w:left="990" w:hanging="360"/>
      </w:pPr>
      <w:rPr>
        <w:rFonts w:ascii="Symbol" w:hAnsi="Symbol" w:hint="default"/>
      </w:rPr>
    </w:lvl>
    <w:lvl w:ilvl="1" w:tplc="0C090003">
      <w:start w:val="1"/>
      <w:numFmt w:val="bullet"/>
      <w:lvlText w:val="o"/>
      <w:lvlJc w:val="left"/>
      <w:pPr>
        <w:tabs>
          <w:tab w:val="num" w:pos="1710"/>
        </w:tabs>
        <w:ind w:left="1710" w:hanging="360"/>
      </w:pPr>
      <w:rPr>
        <w:rFonts w:ascii="Courier New" w:hAnsi="Courier New" w:cs="Courier New" w:hint="default"/>
      </w:rPr>
    </w:lvl>
    <w:lvl w:ilvl="2" w:tplc="0C090005">
      <w:start w:val="1"/>
      <w:numFmt w:val="bullet"/>
      <w:lvlText w:val=""/>
      <w:lvlJc w:val="left"/>
      <w:pPr>
        <w:tabs>
          <w:tab w:val="num" w:pos="2430"/>
        </w:tabs>
        <w:ind w:left="2430" w:hanging="360"/>
      </w:pPr>
      <w:rPr>
        <w:rFonts w:ascii="Wingdings" w:hAnsi="Wingdings" w:hint="default"/>
      </w:rPr>
    </w:lvl>
    <w:lvl w:ilvl="3" w:tplc="0C090001" w:tentative="1">
      <w:start w:val="1"/>
      <w:numFmt w:val="bullet"/>
      <w:lvlText w:val=""/>
      <w:lvlJc w:val="left"/>
      <w:pPr>
        <w:tabs>
          <w:tab w:val="num" w:pos="3150"/>
        </w:tabs>
        <w:ind w:left="3150" w:hanging="360"/>
      </w:pPr>
      <w:rPr>
        <w:rFonts w:ascii="Symbol" w:hAnsi="Symbol" w:hint="default"/>
      </w:rPr>
    </w:lvl>
    <w:lvl w:ilvl="4" w:tplc="0C090003" w:tentative="1">
      <w:start w:val="1"/>
      <w:numFmt w:val="bullet"/>
      <w:lvlText w:val="o"/>
      <w:lvlJc w:val="left"/>
      <w:pPr>
        <w:tabs>
          <w:tab w:val="num" w:pos="3870"/>
        </w:tabs>
        <w:ind w:left="3870" w:hanging="360"/>
      </w:pPr>
      <w:rPr>
        <w:rFonts w:ascii="Courier New" w:hAnsi="Courier New" w:cs="Courier New" w:hint="default"/>
      </w:rPr>
    </w:lvl>
    <w:lvl w:ilvl="5" w:tplc="0C090005" w:tentative="1">
      <w:start w:val="1"/>
      <w:numFmt w:val="bullet"/>
      <w:lvlText w:val=""/>
      <w:lvlJc w:val="left"/>
      <w:pPr>
        <w:tabs>
          <w:tab w:val="num" w:pos="4590"/>
        </w:tabs>
        <w:ind w:left="4590" w:hanging="360"/>
      </w:pPr>
      <w:rPr>
        <w:rFonts w:ascii="Wingdings" w:hAnsi="Wingdings" w:hint="default"/>
      </w:rPr>
    </w:lvl>
    <w:lvl w:ilvl="6" w:tplc="0C090001" w:tentative="1">
      <w:start w:val="1"/>
      <w:numFmt w:val="bullet"/>
      <w:lvlText w:val=""/>
      <w:lvlJc w:val="left"/>
      <w:pPr>
        <w:tabs>
          <w:tab w:val="num" w:pos="5310"/>
        </w:tabs>
        <w:ind w:left="5310" w:hanging="360"/>
      </w:pPr>
      <w:rPr>
        <w:rFonts w:ascii="Symbol" w:hAnsi="Symbol" w:hint="default"/>
      </w:rPr>
    </w:lvl>
    <w:lvl w:ilvl="7" w:tplc="0C090003" w:tentative="1">
      <w:start w:val="1"/>
      <w:numFmt w:val="bullet"/>
      <w:lvlText w:val="o"/>
      <w:lvlJc w:val="left"/>
      <w:pPr>
        <w:tabs>
          <w:tab w:val="num" w:pos="6030"/>
        </w:tabs>
        <w:ind w:left="6030" w:hanging="360"/>
      </w:pPr>
      <w:rPr>
        <w:rFonts w:ascii="Courier New" w:hAnsi="Courier New" w:cs="Courier New" w:hint="default"/>
      </w:rPr>
    </w:lvl>
    <w:lvl w:ilvl="8" w:tplc="0C09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6" w15:restartNumberingAfterBreak="0">
    <w:nsid w:val="36646BD4"/>
    <w:multiLevelType w:val="hybridMultilevel"/>
    <w:tmpl w:val="26D05E4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9204D9C"/>
    <w:multiLevelType w:val="hybridMultilevel"/>
    <w:tmpl w:val="2E886474"/>
    <w:lvl w:ilvl="0" w:tplc="9D347990">
      <w:start w:val="1"/>
      <w:numFmt w:val="lowerLetter"/>
      <w:lvlText w:val="%1)"/>
      <w:lvlJc w:val="left"/>
      <w:pPr>
        <w:tabs>
          <w:tab w:val="num" w:pos="705"/>
        </w:tabs>
        <w:ind w:left="705" w:hanging="360"/>
      </w:pPr>
      <w:rPr>
        <w:rFonts w:hint="default"/>
      </w:rPr>
    </w:lvl>
    <w:lvl w:ilvl="1" w:tplc="0C090019" w:tentative="1">
      <w:start w:val="1"/>
      <w:numFmt w:val="lowerLetter"/>
      <w:lvlText w:val="%2."/>
      <w:lvlJc w:val="left"/>
      <w:pPr>
        <w:tabs>
          <w:tab w:val="num" w:pos="1425"/>
        </w:tabs>
        <w:ind w:left="1425" w:hanging="360"/>
      </w:pPr>
    </w:lvl>
    <w:lvl w:ilvl="2" w:tplc="0C09001B" w:tentative="1">
      <w:start w:val="1"/>
      <w:numFmt w:val="lowerRoman"/>
      <w:lvlText w:val="%3."/>
      <w:lvlJc w:val="right"/>
      <w:pPr>
        <w:tabs>
          <w:tab w:val="num" w:pos="2145"/>
        </w:tabs>
        <w:ind w:left="2145" w:hanging="180"/>
      </w:pPr>
    </w:lvl>
    <w:lvl w:ilvl="3" w:tplc="0C09000F" w:tentative="1">
      <w:start w:val="1"/>
      <w:numFmt w:val="decimal"/>
      <w:lvlText w:val="%4."/>
      <w:lvlJc w:val="left"/>
      <w:pPr>
        <w:tabs>
          <w:tab w:val="num" w:pos="2865"/>
        </w:tabs>
        <w:ind w:left="2865" w:hanging="360"/>
      </w:pPr>
    </w:lvl>
    <w:lvl w:ilvl="4" w:tplc="0C090019" w:tentative="1">
      <w:start w:val="1"/>
      <w:numFmt w:val="lowerLetter"/>
      <w:lvlText w:val="%5."/>
      <w:lvlJc w:val="left"/>
      <w:pPr>
        <w:tabs>
          <w:tab w:val="num" w:pos="3585"/>
        </w:tabs>
        <w:ind w:left="3585" w:hanging="360"/>
      </w:pPr>
    </w:lvl>
    <w:lvl w:ilvl="5" w:tplc="0C09001B" w:tentative="1">
      <w:start w:val="1"/>
      <w:numFmt w:val="lowerRoman"/>
      <w:lvlText w:val="%6."/>
      <w:lvlJc w:val="right"/>
      <w:pPr>
        <w:tabs>
          <w:tab w:val="num" w:pos="4305"/>
        </w:tabs>
        <w:ind w:left="4305" w:hanging="180"/>
      </w:pPr>
    </w:lvl>
    <w:lvl w:ilvl="6" w:tplc="0C09000F" w:tentative="1">
      <w:start w:val="1"/>
      <w:numFmt w:val="decimal"/>
      <w:lvlText w:val="%7."/>
      <w:lvlJc w:val="left"/>
      <w:pPr>
        <w:tabs>
          <w:tab w:val="num" w:pos="5025"/>
        </w:tabs>
        <w:ind w:left="5025" w:hanging="360"/>
      </w:pPr>
    </w:lvl>
    <w:lvl w:ilvl="7" w:tplc="0C090019" w:tentative="1">
      <w:start w:val="1"/>
      <w:numFmt w:val="lowerLetter"/>
      <w:lvlText w:val="%8."/>
      <w:lvlJc w:val="left"/>
      <w:pPr>
        <w:tabs>
          <w:tab w:val="num" w:pos="5745"/>
        </w:tabs>
        <w:ind w:left="5745" w:hanging="360"/>
      </w:pPr>
    </w:lvl>
    <w:lvl w:ilvl="8" w:tplc="0C09001B" w:tentative="1">
      <w:start w:val="1"/>
      <w:numFmt w:val="lowerRoman"/>
      <w:lvlText w:val="%9."/>
      <w:lvlJc w:val="right"/>
      <w:pPr>
        <w:tabs>
          <w:tab w:val="num" w:pos="6465"/>
        </w:tabs>
        <w:ind w:left="6465" w:hanging="180"/>
      </w:pPr>
    </w:lvl>
  </w:abstractNum>
  <w:abstractNum w:abstractNumId="19"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AD05ABE"/>
    <w:multiLevelType w:val="hybridMultilevel"/>
    <w:tmpl w:val="368E6814"/>
    <w:lvl w:ilvl="0" w:tplc="3EDE4590">
      <w:start w:val="1"/>
      <w:numFmt w:val="lowerLetter"/>
      <w:lvlText w:val="%1)"/>
      <w:lvlJc w:val="left"/>
      <w:pPr>
        <w:tabs>
          <w:tab w:val="num" w:pos="705"/>
        </w:tabs>
        <w:ind w:left="705" w:hanging="360"/>
      </w:pPr>
      <w:rPr>
        <w:rFonts w:hint="default"/>
      </w:rPr>
    </w:lvl>
    <w:lvl w:ilvl="1" w:tplc="0C090019" w:tentative="1">
      <w:start w:val="1"/>
      <w:numFmt w:val="lowerLetter"/>
      <w:lvlText w:val="%2."/>
      <w:lvlJc w:val="left"/>
      <w:pPr>
        <w:tabs>
          <w:tab w:val="num" w:pos="1425"/>
        </w:tabs>
        <w:ind w:left="1425" w:hanging="360"/>
      </w:pPr>
    </w:lvl>
    <w:lvl w:ilvl="2" w:tplc="0C09001B" w:tentative="1">
      <w:start w:val="1"/>
      <w:numFmt w:val="lowerRoman"/>
      <w:lvlText w:val="%3."/>
      <w:lvlJc w:val="right"/>
      <w:pPr>
        <w:tabs>
          <w:tab w:val="num" w:pos="2145"/>
        </w:tabs>
        <w:ind w:left="2145" w:hanging="180"/>
      </w:pPr>
    </w:lvl>
    <w:lvl w:ilvl="3" w:tplc="0C09000F" w:tentative="1">
      <w:start w:val="1"/>
      <w:numFmt w:val="decimal"/>
      <w:lvlText w:val="%4."/>
      <w:lvlJc w:val="left"/>
      <w:pPr>
        <w:tabs>
          <w:tab w:val="num" w:pos="2865"/>
        </w:tabs>
        <w:ind w:left="2865" w:hanging="360"/>
      </w:pPr>
    </w:lvl>
    <w:lvl w:ilvl="4" w:tplc="0C090019" w:tentative="1">
      <w:start w:val="1"/>
      <w:numFmt w:val="lowerLetter"/>
      <w:lvlText w:val="%5."/>
      <w:lvlJc w:val="left"/>
      <w:pPr>
        <w:tabs>
          <w:tab w:val="num" w:pos="3585"/>
        </w:tabs>
        <w:ind w:left="3585" w:hanging="360"/>
      </w:pPr>
    </w:lvl>
    <w:lvl w:ilvl="5" w:tplc="0C09001B" w:tentative="1">
      <w:start w:val="1"/>
      <w:numFmt w:val="lowerRoman"/>
      <w:lvlText w:val="%6."/>
      <w:lvlJc w:val="right"/>
      <w:pPr>
        <w:tabs>
          <w:tab w:val="num" w:pos="4305"/>
        </w:tabs>
        <w:ind w:left="4305" w:hanging="180"/>
      </w:pPr>
    </w:lvl>
    <w:lvl w:ilvl="6" w:tplc="0C09000F" w:tentative="1">
      <w:start w:val="1"/>
      <w:numFmt w:val="decimal"/>
      <w:lvlText w:val="%7."/>
      <w:lvlJc w:val="left"/>
      <w:pPr>
        <w:tabs>
          <w:tab w:val="num" w:pos="5025"/>
        </w:tabs>
        <w:ind w:left="5025" w:hanging="360"/>
      </w:pPr>
    </w:lvl>
    <w:lvl w:ilvl="7" w:tplc="0C090019" w:tentative="1">
      <w:start w:val="1"/>
      <w:numFmt w:val="lowerLetter"/>
      <w:lvlText w:val="%8."/>
      <w:lvlJc w:val="left"/>
      <w:pPr>
        <w:tabs>
          <w:tab w:val="num" w:pos="5745"/>
        </w:tabs>
        <w:ind w:left="5745" w:hanging="360"/>
      </w:pPr>
    </w:lvl>
    <w:lvl w:ilvl="8" w:tplc="0C09001B" w:tentative="1">
      <w:start w:val="1"/>
      <w:numFmt w:val="lowerRoman"/>
      <w:lvlText w:val="%9."/>
      <w:lvlJc w:val="right"/>
      <w:pPr>
        <w:tabs>
          <w:tab w:val="num" w:pos="6465"/>
        </w:tabs>
        <w:ind w:left="6465" w:hanging="180"/>
      </w:pPr>
    </w:lvl>
  </w:abstractNum>
  <w:abstractNum w:abstractNumId="22"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5" w15:restartNumberingAfterBreak="0">
    <w:nsid w:val="629C579B"/>
    <w:multiLevelType w:val="hybridMultilevel"/>
    <w:tmpl w:val="766EF73A"/>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C153E58"/>
    <w:multiLevelType w:val="hybridMultilevel"/>
    <w:tmpl w:val="D99CAF6A"/>
    <w:lvl w:ilvl="0" w:tplc="0C090001">
      <w:start w:val="1"/>
      <w:numFmt w:val="bullet"/>
      <w:lvlText w:val=""/>
      <w:lvlJc w:val="left"/>
      <w:pPr>
        <w:tabs>
          <w:tab w:val="num" w:pos="1180"/>
        </w:tabs>
        <w:ind w:left="1180" w:hanging="360"/>
      </w:pPr>
      <w:rPr>
        <w:rFonts w:ascii="Symbol" w:hAnsi="Symbol" w:hint="default"/>
      </w:rPr>
    </w:lvl>
    <w:lvl w:ilvl="1" w:tplc="0C090003" w:tentative="1">
      <w:start w:val="1"/>
      <w:numFmt w:val="bullet"/>
      <w:lvlText w:val="o"/>
      <w:lvlJc w:val="left"/>
      <w:pPr>
        <w:tabs>
          <w:tab w:val="num" w:pos="1900"/>
        </w:tabs>
        <w:ind w:left="1900" w:hanging="360"/>
      </w:pPr>
      <w:rPr>
        <w:rFonts w:ascii="Courier New" w:hAnsi="Courier New" w:cs="Courier New" w:hint="default"/>
      </w:rPr>
    </w:lvl>
    <w:lvl w:ilvl="2" w:tplc="0C090005" w:tentative="1">
      <w:start w:val="1"/>
      <w:numFmt w:val="bullet"/>
      <w:lvlText w:val=""/>
      <w:lvlJc w:val="left"/>
      <w:pPr>
        <w:tabs>
          <w:tab w:val="num" w:pos="2620"/>
        </w:tabs>
        <w:ind w:left="2620" w:hanging="360"/>
      </w:pPr>
      <w:rPr>
        <w:rFonts w:ascii="Wingdings" w:hAnsi="Wingdings" w:hint="default"/>
      </w:rPr>
    </w:lvl>
    <w:lvl w:ilvl="3" w:tplc="0C090001" w:tentative="1">
      <w:start w:val="1"/>
      <w:numFmt w:val="bullet"/>
      <w:lvlText w:val=""/>
      <w:lvlJc w:val="left"/>
      <w:pPr>
        <w:tabs>
          <w:tab w:val="num" w:pos="3340"/>
        </w:tabs>
        <w:ind w:left="3340" w:hanging="360"/>
      </w:pPr>
      <w:rPr>
        <w:rFonts w:ascii="Symbol" w:hAnsi="Symbol" w:hint="default"/>
      </w:rPr>
    </w:lvl>
    <w:lvl w:ilvl="4" w:tplc="0C090003" w:tentative="1">
      <w:start w:val="1"/>
      <w:numFmt w:val="bullet"/>
      <w:lvlText w:val="o"/>
      <w:lvlJc w:val="left"/>
      <w:pPr>
        <w:tabs>
          <w:tab w:val="num" w:pos="4060"/>
        </w:tabs>
        <w:ind w:left="4060" w:hanging="360"/>
      </w:pPr>
      <w:rPr>
        <w:rFonts w:ascii="Courier New" w:hAnsi="Courier New" w:cs="Courier New" w:hint="default"/>
      </w:rPr>
    </w:lvl>
    <w:lvl w:ilvl="5" w:tplc="0C090005" w:tentative="1">
      <w:start w:val="1"/>
      <w:numFmt w:val="bullet"/>
      <w:lvlText w:val=""/>
      <w:lvlJc w:val="left"/>
      <w:pPr>
        <w:tabs>
          <w:tab w:val="num" w:pos="4780"/>
        </w:tabs>
        <w:ind w:left="4780" w:hanging="360"/>
      </w:pPr>
      <w:rPr>
        <w:rFonts w:ascii="Wingdings" w:hAnsi="Wingdings" w:hint="default"/>
      </w:rPr>
    </w:lvl>
    <w:lvl w:ilvl="6" w:tplc="0C090001" w:tentative="1">
      <w:start w:val="1"/>
      <w:numFmt w:val="bullet"/>
      <w:lvlText w:val=""/>
      <w:lvlJc w:val="left"/>
      <w:pPr>
        <w:tabs>
          <w:tab w:val="num" w:pos="5500"/>
        </w:tabs>
        <w:ind w:left="5500" w:hanging="360"/>
      </w:pPr>
      <w:rPr>
        <w:rFonts w:ascii="Symbol" w:hAnsi="Symbol" w:hint="default"/>
      </w:rPr>
    </w:lvl>
    <w:lvl w:ilvl="7" w:tplc="0C090003" w:tentative="1">
      <w:start w:val="1"/>
      <w:numFmt w:val="bullet"/>
      <w:lvlText w:val="o"/>
      <w:lvlJc w:val="left"/>
      <w:pPr>
        <w:tabs>
          <w:tab w:val="num" w:pos="6220"/>
        </w:tabs>
        <w:ind w:left="6220" w:hanging="360"/>
      </w:pPr>
      <w:rPr>
        <w:rFonts w:ascii="Courier New" w:hAnsi="Courier New" w:cs="Courier New" w:hint="default"/>
      </w:rPr>
    </w:lvl>
    <w:lvl w:ilvl="8" w:tplc="0C090005" w:tentative="1">
      <w:start w:val="1"/>
      <w:numFmt w:val="bullet"/>
      <w:lvlText w:val=""/>
      <w:lvlJc w:val="left"/>
      <w:pPr>
        <w:tabs>
          <w:tab w:val="num" w:pos="6940"/>
        </w:tabs>
        <w:ind w:left="6940" w:hanging="360"/>
      </w:pPr>
      <w:rPr>
        <w:rFonts w:ascii="Wingdings" w:hAnsi="Wingdings" w:hint="default"/>
      </w:rPr>
    </w:lvl>
  </w:abstractNum>
  <w:abstractNum w:abstractNumId="29" w15:restartNumberingAfterBreak="0">
    <w:nsid w:val="6D73182E"/>
    <w:multiLevelType w:val="hybridMultilevel"/>
    <w:tmpl w:val="5C26790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983661"/>
    <w:multiLevelType w:val="hybridMultilevel"/>
    <w:tmpl w:val="E9A2A63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30"/>
  </w:num>
  <w:num w:numId="4">
    <w:abstractNumId w:val="8"/>
  </w:num>
  <w:num w:numId="5">
    <w:abstractNumId w:val="27"/>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24"/>
  </w:num>
  <w:num w:numId="17">
    <w:abstractNumId w:val="26"/>
  </w:num>
  <w:num w:numId="18">
    <w:abstractNumId w:val="20"/>
  </w:num>
  <w:num w:numId="19">
    <w:abstractNumId w:val="23"/>
  </w:num>
  <w:num w:numId="20">
    <w:abstractNumId w:val="17"/>
  </w:num>
  <w:num w:numId="21">
    <w:abstractNumId w:val="28"/>
  </w:num>
  <w:num w:numId="22">
    <w:abstractNumId w:val="14"/>
  </w:num>
  <w:num w:numId="23">
    <w:abstractNumId w:val="12"/>
  </w:num>
  <w:num w:numId="24">
    <w:abstractNumId w:val="11"/>
  </w:num>
  <w:num w:numId="25">
    <w:abstractNumId w:val="10"/>
  </w:num>
  <w:num w:numId="26">
    <w:abstractNumId w:val="29"/>
  </w:num>
  <w:num w:numId="27">
    <w:abstractNumId w:val="21"/>
  </w:num>
  <w:num w:numId="28">
    <w:abstractNumId w:val="13"/>
  </w:num>
  <w:num w:numId="29">
    <w:abstractNumId w:val="25"/>
  </w:num>
  <w:num w:numId="30">
    <w:abstractNumId w:val="31"/>
  </w:num>
  <w:num w:numId="31">
    <w:abstractNumId w:val="16"/>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D3"/>
    <w:rsid w:val="00002875"/>
    <w:rsid w:val="00003033"/>
    <w:rsid w:val="0000348F"/>
    <w:rsid w:val="000064FE"/>
    <w:rsid w:val="000140C9"/>
    <w:rsid w:val="00015349"/>
    <w:rsid w:val="000169CF"/>
    <w:rsid w:val="00020076"/>
    <w:rsid w:val="000219A1"/>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1B3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0E4E"/>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2D08"/>
    <w:rsid w:val="00875DCA"/>
    <w:rsid w:val="00877994"/>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3260"/>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55EA"/>
    <w:rsid w:val="00A573C9"/>
    <w:rsid w:val="00A611E3"/>
    <w:rsid w:val="00A624D7"/>
    <w:rsid w:val="00A62998"/>
    <w:rsid w:val="00A63268"/>
    <w:rsid w:val="00A64AE3"/>
    <w:rsid w:val="00A657D2"/>
    <w:rsid w:val="00A7070F"/>
    <w:rsid w:val="00A75695"/>
    <w:rsid w:val="00A7597B"/>
    <w:rsid w:val="00A75ADF"/>
    <w:rsid w:val="00A76630"/>
    <w:rsid w:val="00A77515"/>
    <w:rsid w:val="00A77AFA"/>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5EE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131"/>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A5FB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692A"/>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C6AE9"/>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8D3"/>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7C2"/>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1EB"/>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213F4594-B162-4EF0-B2AE-4D7A832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D3"/>
    <w:pPr>
      <w:spacing w:after="110" w:line="249" w:lineRule="auto"/>
      <w:ind w:left="10" w:hanging="10"/>
      <w:jc w:val="both"/>
    </w:pPr>
    <w:rPr>
      <w:rFonts w:ascii="Arial" w:eastAsia="Arial" w:hAnsi="Arial" w:cs="Arial"/>
      <w:color w:val="000000"/>
      <w:sz w:val="22"/>
      <w:szCs w:val="22"/>
    </w:rPr>
  </w:style>
  <w:style w:type="paragraph" w:styleId="Heading1">
    <w:name w:val="heading 1"/>
    <w:next w:val="BodyText"/>
    <w:link w:val="Heading1Char"/>
    <w:uiPriority w:val="9"/>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uiPriority w:val="9"/>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A555EA"/>
    <w:pPr>
      <w:keepNext/>
      <w:spacing w:before="12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5"/>
      </w:numPr>
      <w:spacing w:before="60" w:after="60" w:line="276" w:lineRule="auto"/>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after="200"/>
    </w:pPr>
    <w:rPr>
      <w:b/>
      <w:color w:val="B80B4D"/>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sz w:val="24"/>
    </w:rPr>
  </w:style>
  <w:style w:type="paragraph" w:styleId="EnvelopeReturn">
    <w:name w:val="envelope return"/>
    <w:basedOn w:val="Normal"/>
    <w:semiHidden/>
    <w:rsid w:val="00931A24"/>
    <w:rPr>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styleId="BalloonText">
    <w:name w:val="Balloon Text"/>
    <w:basedOn w:val="Normal"/>
    <w:link w:val="BalloonTextChar"/>
    <w:rsid w:val="00FE71EB"/>
    <w:rPr>
      <w:rFonts w:ascii="Segoe UI" w:hAnsi="Segoe UI" w:cs="Segoe UI"/>
      <w:sz w:val="18"/>
      <w:szCs w:val="18"/>
    </w:rPr>
  </w:style>
  <w:style w:type="character" w:customStyle="1" w:styleId="BalloonTextChar">
    <w:name w:val="Balloon Text Char"/>
    <w:basedOn w:val="DefaultParagraphFont"/>
    <w:link w:val="BalloonText"/>
    <w:rsid w:val="00FE7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neyb\Dropbox%20(DPC)\Desktop\for%20Comms\lobbyist-disclosur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118A7-CE98-4C8E-83D1-623AAE1C527B}">
  <ds:schemaRefs>
    <ds:schemaRef ds:uri="http://schemas.microsoft.com/sharepoint/v3/contenttype/forms"/>
  </ds:schemaRefs>
</ds:datastoreItem>
</file>

<file path=customXml/itemProps2.xml><?xml version="1.0" encoding="utf-8"?>
<ds:datastoreItem xmlns:ds="http://schemas.openxmlformats.org/officeDocument/2006/customXml" ds:itemID="{3790C5A4-55CF-4028-8704-2F3C7BAA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2915-6782-4977-AE63-1FF65139CBC6}">
  <ds:schemaRefs>
    <ds:schemaRef ds:uri="http://schemas.microsoft.com/office/2006/documentManagement/types"/>
    <ds:schemaRef ds:uri="0303becd-d999-4b18-bd4d-d2e9f8940f02"/>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9303455-0690-4fc8-a6f1-b969d4549f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lobbyist-disclosure-policy.dotx</Template>
  <TotalTime>103</TotalTime>
  <Pages>4</Pages>
  <Words>1160</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Guideline: Appointment, Secondment and Interchange Arrangements Senior Executive Service</vt:lpstr>
    </vt:vector>
  </TitlesOfParts>
  <Manager/>
  <Company>Public Service Commission, Queensland Government</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Appointment, Secondment and Interchange Arrangements Senior Executive Service</dc:title>
  <dc:subject>Guideline: Appointment, Secondment and Interchange Arrangements Senior Executive Service</dc:subject>
  <dc:creator>Public Service Commission;Queensland Government</dc:creator>
  <cp:keywords>Guideline: Appointment, Secondment and Interchange Arrangements Senior Executive Service</cp:keywords>
  <dc:description>Guideline: Appointment, Secondment and Interchange Arrangements Senior Executive Service</dc:description>
  <cp:lastModifiedBy>Ben Toussaint</cp:lastModifiedBy>
  <cp:revision>3</cp:revision>
  <cp:lastPrinted>2017-04-11T05:02:00Z</cp:lastPrinted>
  <dcterms:created xsi:type="dcterms:W3CDTF">2017-04-26T02:55:00Z</dcterms:created>
  <dcterms:modified xsi:type="dcterms:W3CDTF">2017-04-26T04:37:00Z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