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6A67" w14:textId="7625CAC7" w:rsidR="00694DBA" w:rsidRPr="00EE4D16" w:rsidRDefault="006158DA" w:rsidP="00694DBA">
      <w:pPr>
        <w:pStyle w:val="PSC-Titleofdocument"/>
        <w:rPr>
          <w:sz w:val="60"/>
          <w:szCs w:val="60"/>
        </w:rPr>
      </w:pPr>
      <w:r>
        <w:rPr>
          <w:sz w:val="60"/>
          <w:szCs w:val="60"/>
        </w:rPr>
        <w:t>Employees</w:t>
      </w:r>
      <w:r w:rsidR="00796DA9">
        <w:rPr>
          <w:sz w:val="60"/>
          <w:szCs w:val="60"/>
        </w:rPr>
        <w:t xml:space="preserve"> guide to </w:t>
      </w:r>
      <w:r>
        <w:rPr>
          <w:sz w:val="60"/>
          <w:szCs w:val="60"/>
        </w:rPr>
        <w:t>negotiating</w:t>
      </w:r>
      <w:r w:rsidR="00796DA9">
        <w:rPr>
          <w:sz w:val="60"/>
          <w:szCs w:val="60"/>
        </w:rPr>
        <w:t xml:space="preserve"> flexible work</w:t>
      </w:r>
    </w:p>
    <w:p w14:paraId="2D168FC9" w14:textId="77777777" w:rsidR="00875901" w:rsidRDefault="00875901" w:rsidP="00875901"/>
    <w:p w14:paraId="5596EF9B" w14:textId="12C1AC16" w:rsidR="00875901" w:rsidRPr="00236654" w:rsidRDefault="00EE4D16" w:rsidP="0042232B">
      <w:pPr>
        <w:pStyle w:val="PSC-Heading1"/>
      </w:pPr>
      <w:r>
        <w:t xml:space="preserve">Flexible by </w:t>
      </w:r>
      <w:r w:rsidR="00D85BA6">
        <w:t>D</w:t>
      </w:r>
      <w:r>
        <w:t>esign</w:t>
      </w:r>
    </w:p>
    <w:p w14:paraId="1A72E221" w14:textId="77777777" w:rsidR="00875901" w:rsidRPr="008406E0" w:rsidRDefault="00875901" w:rsidP="00875901">
      <w:pPr>
        <w:rPr>
          <w:rFonts w:ascii="Arial" w:hAnsi="Arial" w:cs="Arial"/>
        </w:rPr>
      </w:pPr>
    </w:p>
    <w:p w14:paraId="4436C5BA" w14:textId="3AA673F5" w:rsidR="006158DA" w:rsidRPr="00CD2C66" w:rsidRDefault="00D85BA6" w:rsidP="006158DA">
      <w:pPr>
        <w:pStyle w:val="PSC-bodycopy"/>
      </w:pPr>
      <w:r w:rsidRPr="00D85BA6">
        <w:t xml:space="preserve">Under the </w:t>
      </w:r>
      <w:hyperlink r:id="rId8" w:history="1">
        <w:r w:rsidR="006158DA" w:rsidRPr="00D85BA6">
          <w:rPr>
            <w:rStyle w:val="Hyperlink"/>
            <w:i/>
            <w:sz w:val="21"/>
            <w:szCs w:val="21"/>
          </w:rPr>
          <w:t>Industrial Relations Act 2016</w:t>
        </w:r>
      </w:hyperlink>
      <w:r w:rsidRPr="00D85BA6">
        <w:t>, any employee can request flexible work.</w:t>
      </w:r>
    </w:p>
    <w:p w14:paraId="044C5487" w14:textId="77777777" w:rsidR="006158DA" w:rsidRPr="00CD2C66" w:rsidRDefault="006158DA" w:rsidP="006158DA">
      <w:pPr>
        <w:pStyle w:val="PSC-bodycopy"/>
      </w:pPr>
    </w:p>
    <w:p w14:paraId="7F537E5B" w14:textId="6C1D3004" w:rsidR="006158DA" w:rsidRDefault="006158DA" w:rsidP="006158DA">
      <w:pPr>
        <w:pStyle w:val="PSC-bodycopy"/>
      </w:pPr>
      <w:r w:rsidRPr="00CD2C66">
        <w:t xml:space="preserve">The </w:t>
      </w:r>
      <w:hyperlink r:id="rId9" w:history="1">
        <w:r w:rsidRPr="00340A33">
          <w:rPr>
            <w:rStyle w:val="Hyperlink"/>
            <w:sz w:val="21"/>
            <w:szCs w:val="21"/>
          </w:rPr>
          <w:t>Flexible by Design framework</w:t>
        </w:r>
      </w:hyperlink>
      <w:r w:rsidRPr="00CD2C66">
        <w:t xml:space="preserve"> outlines that flexibility </w:t>
      </w:r>
      <w:r w:rsidR="00533940">
        <w:t>can have benefits for organisations, teams and employees.</w:t>
      </w:r>
      <w:r w:rsidRPr="00CD2C66">
        <w:t xml:space="preserve"> </w:t>
      </w:r>
      <w:r w:rsidR="00533940">
        <w:t>When implemented well:</w:t>
      </w:r>
    </w:p>
    <w:p w14:paraId="1F646660" w14:textId="77E9ADBB" w:rsidR="00533940" w:rsidRPr="00CD2C66" w:rsidRDefault="00533940" w:rsidP="006158DA">
      <w:pPr>
        <w:pStyle w:val="PSC-bodycopy"/>
      </w:pPr>
    </w:p>
    <w:p w14:paraId="4123558E" w14:textId="77777777" w:rsidR="006158DA" w:rsidRPr="006158DA" w:rsidRDefault="006158DA" w:rsidP="006158DA">
      <w:pPr>
        <w:pStyle w:val="PSC-Bullets2"/>
        <w:ind w:left="714" w:hanging="357"/>
      </w:pPr>
      <w:r w:rsidRPr="006158DA">
        <w:t>flexible work approaches are less about rules, process and structure and more about culture, outcomes, ways of thinking and wellbeing</w:t>
      </w:r>
    </w:p>
    <w:p w14:paraId="03960307" w14:textId="77777777" w:rsidR="006158DA" w:rsidRPr="006158DA" w:rsidRDefault="006158DA" w:rsidP="006158DA">
      <w:pPr>
        <w:pStyle w:val="PSC-Bullets2"/>
        <w:ind w:left="714" w:hanging="357"/>
      </w:pPr>
      <w:r w:rsidRPr="006158DA">
        <w:t>solutions demonstrate give and take, trust, open communication, cooperation, negotiation and ethics</w:t>
      </w:r>
    </w:p>
    <w:p w14:paraId="2CFEE03D" w14:textId="77777777" w:rsidR="006158DA" w:rsidRPr="006158DA" w:rsidRDefault="006158DA" w:rsidP="006158DA">
      <w:pPr>
        <w:pStyle w:val="PSC-Bullets2"/>
        <w:ind w:left="714" w:hanging="357"/>
      </w:pPr>
      <w:r w:rsidRPr="006158DA">
        <w:t xml:space="preserve">employees should proudly share and promote flexible work stories. </w:t>
      </w:r>
    </w:p>
    <w:p w14:paraId="591E820E" w14:textId="77777777" w:rsidR="006158DA" w:rsidRDefault="006158DA" w:rsidP="006158DA">
      <w:pPr>
        <w:pStyle w:val="PSC-bodycopy"/>
      </w:pPr>
    </w:p>
    <w:p w14:paraId="48ED3C95" w14:textId="42D0A388" w:rsidR="006158DA" w:rsidRPr="00CD2C66" w:rsidRDefault="006158DA" w:rsidP="006158DA">
      <w:pPr>
        <w:pStyle w:val="PSC-bodycopy"/>
      </w:pPr>
      <w:r w:rsidRPr="00CD2C66">
        <w:t xml:space="preserve">In the context of the Queensland public sector, an </w:t>
      </w:r>
      <w:hyperlink r:id="rId10" w:history="1">
        <w:r w:rsidRPr="00340A33">
          <w:rPr>
            <w:rStyle w:val="Hyperlink"/>
            <w:sz w:val="21"/>
            <w:szCs w:val="21"/>
          </w:rPr>
          <w:t>evaluation of flexible work practices</w:t>
        </w:r>
      </w:hyperlink>
      <w:r w:rsidRPr="00CD2C66">
        <w:t xml:space="preserve"> in three agencies found: </w:t>
      </w:r>
    </w:p>
    <w:p w14:paraId="5039F15A" w14:textId="77777777" w:rsidR="006158DA" w:rsidRPr="00CD2C66" w:rsidRDefault="006158DA" w:rsidP="006158DA">
      <w:pPr>
        <w:pStyle w:val="PSC-Bullets2"/>
      </w:pPr>
      <w:r w:rsidRPr="00CD2C66">
        <w:t xml:space="preserve">a direct correlation between flexibility and employee wellbeing  </w:t>
      </w:r>
    </w:p>
    <w:p w14:paraId="59ECDFA3" w14:textId="77777777" w:rsidR="006158DA" w:rsidRPr="00CD2C66" w:rsidRDefault="006158DA" w:rsidP="006158DA">
      <w:pPr>
        <w:pStyle w:val="PSC-Bullets2"/>
      </w:pPr>
      <w:r w:rsidRPr="00CD2C66">
        <w:t>part-time workers have less opportunity</w:t>
      </w:r>
    </w:p>
    <w:p w14:paraId="6F4C572A" w14:textId="77777777" w:rsidR="006158DA" w:rsidRPr="00CD2C66" w:rsidRDefault="006158DA" w:rsidP="006158DA">
      <w:pPr>
        <w:pStyle w:val="PSC-Bullets2"/>
      </w:pPr>
      <w:r w:rsidRPr="00CD2C66">
        <w:t xml:space="preserve">combinations of traditional and contemporary flexible work approaches are more responsive to employee and business needs </w:t>
      </w:r>
    </w:p>
    <w:p w14:paraId="7943E3AC" w14:textId="5C9D5C31" w:rsidR="006158DA" w:rsidRPr="006158DA" w:rsidRDefault="006158DA" w:rsidP="006158DA">
      <w:pPr>
        <w:pStyle w:val="PSC-bodycopy"/>
      </w:pPr>
      <w:r w:rsidRPr="006158DA">
        <w:t>There are three steps for employees to successfully negotiate flexible work:</w:t>
      </w:r>
    </w:p>
    <w:p w14:paraId="00893CA0" w14:textId="77777777" w:rsidR="00796DA9" w:rsidRDefault="00796DA9" w:rsidP="00796DA9">
      <w:pPr>
        <w:pStyle w:val="PSC-bodycopy"/>
      </w:pPr>
    </w:p>
    <w:p w14:paraId="283C6065" w14:textId="38121FAB" w:rsidR="00796DA9" w:rsidRPr="00796DA9" w:rsidRDefault="00796DA9" w:rsidP="005A7FAE">
      <w:pPr>
        <w:pStyle w:val="PSC-Heading1"/>
        <w:spacing w:after="240"/>
      </w:pPr>
      <w:bookmarkStart w:id="0" w:name="_Hlk70080138"/>
      <w:r w:rsidRPr="00796DA9">
        <w:t xml:space="preserve">1. </w:t>
      </w:r>
      <w:r w:rsidR="006158DA">
        <w:t>Research</w:t>
      </w:r>
    </w:p>
    <w:bookmarkEnd w:id="0"/>
    <w:p w14:paraId="2FFB7898" w14:textId="77777777" w:rsidR="006158DA" w:rsidRPr="00CD2C66" w:rsidRDefault="006158DA" w:rsidP="006158DA">
      <w:pPr>
        <w:pStyle w:val="PSC-bodycopy"/>
      </w:pPr>
      <w:r w:rsidRPr="00CD2C66">
        <w:t>It is good to know the context first – here are a few things to consider:</w:t>
      </w:r>
    </w:p>
    <w:p w14:paraId="6F14A492" w14:textId="4DE63373" w:rsidR="00D85BA6" w:rsidRDefault="00D85BA6" w:rsidP="006158DA">
      <w:pPr>
        <w:pStyle w:val="PSC-Bullets2"/>
      </w:pPr>
      <w:r>
        <w:t xml:space="preserve">take the time to understand </w:t>
      </w:r>
      <w:hyperlink r:id="rId11" w:history="1">
        <w:r w:rsidRPr="00D85BA6">
          <w:rPr>
            <w:rStyle w:val="Hyperlink"/>
          </w:rPr>
          <w:t>Flexible by Design</w:t>
        </w:r>
      </w:hyperlink>
      <w:r>
        <w:t xml:space="preserve"> within the sector</w:t>
      </w:r>
    </w:p>
    <w:p w14:paraId="5D4E238D" w14:textId="24952D1B" w:rsidR="006158DA" w:rsidRPr="006158DA" w:rsidRDefault="006158DA" w:rsidP="006158DA">
      <w:pPr>
        <w:pStyle w:val="PSC-Bullets2"/>
      </w:pPr>
      <w:r w:rsidRPr="006158DA">
        <w:t xml:space="preserve">the </w:t>
      </w:r>
      <w:hyperlink r:id="rId12" w:history="1">
        <w:r w:rsidRPr="00DF72E0">
          <w:rPr>
            <w:rStyle w:val="Hyperlink"/>
          </w:rPr>
          <w:t>flexible work possibilities</w:t>
        </w:r>
      </w:hyperlink>
      <w:r w:rsidRPr="006158DA">
        <w:t xml:space="preserve"> and combinations </w:t>
      </w:r>
      <w:r w:rsidR="00D85BA6">
        <w:t>that might work for you and your team</w:t>
      </w:r>
    </w:p>
    <w:p w14:paraId="19B6CB3E" w14:textId="722B0BF5" w:rsidR="006158DA" w:rsidRPr="006158DA" w:rsidRDefault="003E6E0B" w:rsidP="00DF72E0">
      <w:pPr>
        <w:pStyle w:val="PSC-Bullets2"/>
      </w:pPr>
      <w:hyperlink r:id="rId13" w:history="1">
        <w:r w:rsidR="006158DA" w:rsidRPr="00DF72E0">
          <w:rPr>
            <w:rStyle w:val="Hyperlink"/>
          </w:rPr>
          <w:t>flexible work myths</w:t>
        </w:r>
      </w:hyperlink>
      <w:r w:rsidR="006158DA" w:rsidRPr="00DF72E0">
        <w:t xml:space="preserve"> </w:t>
      </w:r>
    </w:p>
    <w:p w14:paraId="49F7C281" w14:textId="37060310" w:rsidR="00D85BA6" w:rsidRDefault="00D85BA6" w:rsidP="006158DA">
      <w:pPr>
        <w:pStyle w:val="PSC-Bullets2"/>
        <w:spacing w:after="0"/>
      </w:pPr>
      <w:r>
        <w:t xml:space="preserve">how to have </w:t>
      </w:r>
      <w:hyperlink r:id="rId14" w:history="1">
        <w:r w:rsidRPr="00D85BA6">
          <w:rPr>
            <w:rStyle w:val="Hyperlink"/>
          </w:rPr>
          <w:t>flexible work conversations</w:t>
        </w:r>
      </w:hyperlink>
      <w:r>
        <w:t>.</w:t>
      </w:r>
    </w:p>
    <w:p w14:paraId="54B86B42" w14:textId="172AD0BB" w:rsidR="005A7FAE" w:rsidRDefault="005A7FAE" w:rsidP="006158DA">
      <w:pPr>
        <w:pStyle w:val="PSC-bodycopy"/>
        <w:rPr>
          <w:b/>
          <w:bCs/>
        </w:rPr>
      </w:pPr>
    </w:p>
    <w:p w14:paraId="609654DF" w14:textId="77777777" w:rsidR="006158DA" w:rsidRDefault="006158DA" w:rsidP="006158DA">
      <w:pPr>
        <w:pStyle w:val="PSC-bodycopy"/>
        <w:rPr>
          <w:b/>
          <w:bCs/>
        </w:rPr>
      </w:pPr>
    </w:p>
    <w:p w14:paraId="38F4D700" w14:textId="77777777" w:rsidR="00260186" w:rsidRDefault="00260186" w:rsidP="005A7FAE">
      <w:pPr>
        <w:pStyle w:val="PSC-Heading1"/>
        <w:spacing w:after="240"/>
      </w:pPr>
      <w:bookmarkStart w:id="1" w:name="_Hlk70080175"/>
      <w:bookmarkStart w:id="2" w:name="_Hlk70080883"/>
    </w:p>
    <w:p w14:paraId="39174406" w14:textId="77777777" w:rsidR="00260186" w:rsidRDefault="00260186" w:rsidP="005A7FAE">
      <w:pPr>
        <w:pStyle w:val="PSC-Heading1"/>
        <w:spacing w:after="240"/>
      </w:pPr>
    </w:p>
    <w:p w14:paraId="32F118ED" w14:textId="77777777" w:rsidR="00260186" w:rsidRDefault="00260186" w:rsidP="005A7FAE">
      <w:pPr>
        <w:pStyle w:val="PSC-Heading1"/>
        <w:spacing w:after="240"/>
      </w:pPr>
    </w:p>
    <w:p w14:paraId="44D86152" w14:textId="4C995F7D" w:rsidR="005A7FAE" w:rsidRPr="005A7FAE" w:rsidRDefault="005A7FAE" w:rsidP="005A7FAE">
      <w:pPr>
        <w:pStyle w:val="PSC-Heading1"/>
        <w:spacing w:after="240"/>
      </w:pPr>
      <w:r w:rsidRPr="005A7FAE">
        <w:lastRenderedPageBreak/>
        <w:t xml:space="preserve">2. </w:t>
      </w:r>
      <w:r w:rsidR="006158DA">
        <w:t>Plan</w:t>
      </w:r>
    </w:p>
    <w:bookmarkEnd w:id="1"/>
    <w:p w14:paraId="517539F4" w14:textId="77777777" w:rsidR="006158DA" w:rsidRPr="006158DA" w:rsidRDefault="006158DA" w:rsidP="006158DA">
      <w:pPr>
        <w:pStyle w:val="PSC-bodycopy"/>
      </w:pPr>
      <w:r w:rsidRPr="006158DA">
        <w:t xml:space="preserve">Once you have identified a preferred way to work flexibly, review the </w:t>
      </w:r>
      <w:hyperlink r:id="rId15" w:history="1">
        <w:r w:rsidRPr="00DF72E0">
          <w:rPr>
            <w:rStyle w:val="Hyperlink"/>
          </w:rPr>
          <w:t>flexible work checklist</w:t>
        </w:r>
      </w:hyperlink>
      <w:r w:rsidRPr="006158DA">
        <w:t xml:space="preserve"> to understand the assessment and implementation process. Consider the following questions:</w:t>
      </w:r>
    </w:p>
    <w:p w14:paraId="193D2327" w14:textId="77777777" w:rsidR="006158DA" w:rsidRPr="006158DA" w:rsidRDefault="006158DA" w:rsidP="006158DA">
      <w:pPr>
        <w:pStyle w:val="PSC-Bullets2"/>
      </w:pPr>
      <w:r w:rsidRPr="006158DA">
        <w:t xml:space="preserve">How is it going to work for the organisation?  </w:t>
      </w:r>
    </w:p>
    <w:p w14:paraId="597A5D04" w14:textId="77777777" w:rsidR="006158DA" w:rsidRPr="006158DA" w:rsidRDefault="006158DA" w:rsidP="006158DA">
      <w:pPr>
        <w:pStyle w:val="PSC-Bullets2"/>
      </w:pPr>
      <w:r w:rsidRPr="006158DA">
        <w:t>How is it going to work for your clients?</w:t>
      </w:r>
    </w:p>
    <w:p w14:paraId="464F5817" w14:textId="77777777" w:rsidR="006158DA" w:rsidRPr="006158DA" w:rsidRDefault="006158DA" w:rsidP="006158DA">
      <w:pPr>
        <w:pStyle w:val="PSC-Bullets2"/>
      </w:pPr>
      <w:r w:rsidRPr="006158DA">
        <w:t>How is it going to work for your team?</w:t>
      </w:r>
    </w:p>
    <w:p w14:paraId="6CF34AF0" w14:textId="77777777" w:rsidR="006158DA" w:rsidRPr="006158DA" w:rsidRDefault="006158DA" w:rsidP="006158DA">
      <w:pPr>
        <w:pStyle w:val="PSC-Bullets2"/>
        <w:spacing w:after="0"/>
        <w:ind w:left="714" w:hanging="357"/>
      </w:pPr>
      <w:r w:rsidRPr="006158DA">
        <w:t>How is it going to work for you?</w:t>
      </w:r>
    </w:p>
    <w:p w14:paraId="4C8EB832" w14:textId="2DF8234B" w:rsidR="006158DA" w:rsidRDefault="006158DA" w:rsidP="006158DA">
      <w:pPr>
        <w:pStyle w:val="PSC-bodycopy"/>
      </w:pPr>
      <w:r>
        <w:br/>
      </w:r>
      <w:r w:rsidRPr="006158DA">
        <w:t xml:space="preserve">In preparation for meeting with your manager, complete the </w:t>
      </w:r>
      <w:hyperlink r:id="rId16" w:history="1">
        <w:r w:rsidRPr="00DF72E0">
          <w:rPr>
            <w:rStyle w:val="Hyperlink"/>
          </w:rPr>
          <w:t>flexible work agreement template</w:t>
        </w:r>
      </w:hyperlink>
      <w:r w:rsidRPr="006158DA">
        <w:t xml:space="preserve"> as a first draft. </w:t>
      </w:r>
    </w:p>
    <w:p w14:paraId="1EB38762" w14:textId="77777777" w:rsidR="006158DA" w:rsidRDefault="006158DA" w:rsidP="006158DA">
      <w:pPr>
        <w:pStyle w:val="PSC-bodycopy"/>
      </w:pPr>
    </w:p>
    <w:p w14:paraId="132CB90B" w14:textId="6209DAB4" w:rsidR="006158DA" w:rsidRDefault="006158DA" w:rsidP="006158DA">
      <w:pPr>
        <w:pStyle w:val="PSC-bodycopy"/>
      </w:pPr>
    </w:p>
    <w:p w14:paraId="4B7558B4" w14:textId="5F3E7618" w:rsidR="006158DA" w:rsidRPr="005A7FAE" w:rsidRDefault="006158DA" w:rsidP="006158DA">
      <w:pPr>
        <w:pStyle w:val="PSC-Heading1"/>
        <w:spacing w:after="240"/>
      </w:pPr>
      <w:bookmarkStart w:id="3" w:name="_Hlk70080952"/>
      <w:r w:rsidRPr="005A7FAE">
        <w:t xml:space="preserve">2. </w:t>
      </w:r>
      <w:r>
        <w:t>Chat</w:t>
      </w:r>
    </w:p>
    <w:p w14:paraId="3F626FFC" w14:textId="77777777" w:rsidR="006158DA" w:rsidRPr="00CD2C66" w:rsidRDefault="006158DA" w:rsidP="006158DA">
      <w:pPr>
        <w:pStyle w:val="PSC-bodycopy"/>
      </w:pPr>
      <w:r w:rsidRPr="00CD2C66">
        <w:t>Now the preparation is done, it is time to chat to your manager. Here are some tips:</w:t>
      </w:r>
    </w:p>
    <w:p w14:paraId="3E6EF302" w14:textId="77777777" w:rsidR="006158DA" w:rsidRPr="00CD2C66" w:rsidRDefault="006158DA" w:rsidP="006158DA">
      <w:pPr>
        <w:pStyle w:val="PSC-Bullets2"/>
      </w:pPr>
      <w:r w:rsidRPr="00CD2C66">
        <w:t>Book a meeting – it is important and requires both your time and attention</w:t>
      </w:r>
    </w:p>
    <w:p w14:paraId="2ED6329B" w14:textId="74ED2032" w:rsidR="00D85BA6" w:rsidRDefault="006158DA" w:rsidP="006158DA">
      <w:pPr>
        <w:pStyle w:val="PSC-Bullets2"/>
        <w:spacing w:after="0"/>
        <w:ind w:left="714" w:hanging="357"/>
      </w:pPr>
      <w:r w:rsidRPr="00CD2C66">
        <w:t xml:space="preserve">Be prepared </w:t>
      </w:r>
      <w:r w:rsidR="00D85BA6" w:rsidRPr="00CD2C66">
        <w:t>–</w:t>
      </w:r>
      <w:r w:rsidRPr="00CD2C66">
        <w:t xml:space="preserve">to negotiate your agreement with an open mind </w:t>
      </w:r>
    </w:p>
    <w:p w14:paraId="1EE5DBC8" w14:textId="7874C765" w:rsidR="006158DA" w:rsidRPr="00D85BA6" w:rsidRDefault="006158DA" w:rsidP="006158DA">
      <w:pPr>
        <w:pStyle w:val="PSC-Bullets2"/>
        <w:spacing w:after="0"/>
        <w:ind w:left="714" w:hanging="357"/>
      </w:pPr>
      <w:r w:rsidRPr="00CD2C66">
        <w:t xml:space="preserve">Be </w:t>
      </w:r>
      <w:r w:rsidR="00D85BA6" w:rsidRPr="00CD2C66">
        <w:t>confident</w:t>
      </w:r>
      <w:r w:rsidR="00D85BA6">
        <w:t xml:space="preserve"> </w:t>
      </w:r>
      <w:r w:rsidR="00D85BA6" w:rsidRPr="00CD2C66">
        <w:t>–</w:t>
      </w:r>
      <w:r w:rsidR="00D85BA6">
        <w:t xml:space="preserve"> r</w:t>
      </w:r>
      <w:r w:rsidR="00D85BA6" w:rsidRPr="00CD2C66">
        <w:t>esearch</w:t>
      </w:r>
      <w:r w:rsidRPr="00CD2C66">
        <w:t xml:space="preserve"> shows employees with flexible work arrangements are some of the most productive in the workforce. </w:t>
      </w:r>
    </w:p>
    <w:bookmarkEnd w:id="3"/>
    <w:p w14:paraId="2F180947" w14:textId="77777777" w:rsidR="006158DA" w:rsidRPr="006158DA" w:rsidRDefault="006158DA" w:rsidP="006158DA">
      <w:pPr>
        <w:pStyle w:val="PSC-bodycopy"/>
      </w:pPr>
    </w:p>
    <w:bookmarkEnd w:id="2"/>
    <w:p w14:paraId="466D1391" w14:textId="77777777" w:rsidR="006158DA" w:rsidRDefault="006158DA" w:rsidP="006158DA">
      <w:pPr>
        <w:pStyle w:val="PSC-bodycopy"/>
      </w:pPr>
    </w:p>
    <w:p w14:paraId="61947824" w14:textId="251BE86F" w:rsidR="006158DA" w:rsidRPr="005A7FAE" w:rsidRDefault="006158DA" w:rsidP="006158DA">
      <w:pPr>
        <w:pStyle w:val="PSC-Heading1"/>
        <w:spacing w:after="240"/>
      </w:pPr>
      <w:r>
        <w:t>More information</w:t>
      </w:r>
    </w:p>
    <w:p w14:paraId="7B1311A8" w14:textId="77777777" w:rsidR="006158DA" w:rsidRPr="00871078" w:rsidRDefault="006158DA" w:rsidP="006158DA">
      <w:pPr>
        <w:pStyle w:val="PSC-bodycopy"/>
        <w:rPr>
          <w:sz w:val="21"/>
          <w:szCs w:val="21"/>
        </w:rPr>
      </w:pPr>
      <w:r>
        <w:rPr>
          <w:sz w:val="21"/>
          <w:szCs w:val="21"/>
        </w:rPr>
        <w:t xml:space="preserve">Visit </w:t>
      </w:r>
      <w:hyperlink r:id="rId17" w:history="1">
        <w:r w:rsidRPr="00DF6A8B">
          <w:rPr>
            <w:rStyle w:val="Hyperlink"/>
            <w:sz w:val="21"/>
            <w:szCs w:val="21"/>
          </w:rPr>
          <w:t>Flexible by Design</w:t>
        </w:r>
      </w:hyperlink>
      <w:r>
        <w:rPr>
          <w:sz w:val="21"/>
          <w:szCs w:val="21"/>
        </w:rPr>
        <w:t xml:space="preserve"> for more information.</w:t>
      </w:r>
    </w:p>
    <w:p w14:paraId="16A943B2" w14:textId="77777777" w:rsidR="006158DA" w:rsidRDefault="006158DA" w:rsidP="006158DA">
      <w:pPr>
        <w:pStyle w:val="PSC-bodycopy"/>
      </w:pPr>
    </w:p>
    <w:p w14:paraId="12160E0F" w14:textId="77777777" w:rsidR="006158DA" w:rsidRDefault="006158DA" w:rsidP="006158DA">
      <w:pPr>
        <w:pStyle w:val="PSC-bodycopy"/>
      </w:pPr>
    </w:p>
    <w:p w14:paraId="185C2B23" w14:textId="3B0C9545" w:rsidR="00F34B3C" w:rsidRDefault="006158DA" w:rsidP="006158DA">
      <w:pPr>
        <w:pStyle w:val="PSC-bodycopy"/>
      </w:pPr>
      <w:r>
        <w:rPr>
          <w:noProof/>
        </w:rPr>
        <w:drawing>
          <wp:inline distT="0" distB="0" distL="0" distR="0" wp14:anchorId="6CC74158" wp14:editId="6B3F63EA">
            <wp:extent cx="3094893" cy="1083075"/>
            <wp:effectExtent l="0" t="0" r="444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877" cy="109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B3C" w:rsidSect="00A818A0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ADA9" w14:textId="77777777" w:rsidR="003E6E0B" w:rsidRDefault="003E6E0B">
      <w:r>
        <w:separator/>
      </w:r>
    </w:p>
  </w:endnote>
  <w:endnote w:type="continuationSeparator" w:id="0">
    <w:p w14:paraId="2628A971" w14:textId="77777777" w:rsidR="003E6E0B" w:rsidRDefault="003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7898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91FD2" w14:textId="77777777" w:rsidR="00007EFA" w:rsidRDefault="00875901" w:rsidP="00E202A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39979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69EDF" w14:textId="77777777" w:rsidR="00007EFA" w:rsidRDefault="00875901" w:rsidP="00007EFA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993D9" w14:textId="77777777" w:rsidR="00007EFA" w:rsidRDefault="003E6E0B" w:rsidP="00007E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007A6D"/>
        <w:sz w:val="22"/>
        <w:szCs w:val="22"/>
      </w:rPr>
      <w:id w:val="-1431586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E3A79B" w14:textId="43998623" w:rsidR="00007EFA" w:rsidRPr="00007EFA" w:rsidRDefault="00875901" w:rsidP="00007EFA">
        <w:pPr>
          <w:pStyle w:val="Footer"/>
          <w:framePr w:wrap="none" w:vAnchor="text" w:hAnchor="page" w:x="1141" w:y="15"/>
          <w:rPr>
            <w:rStyle w:val="PageNumber"/>
            <w:rFonts w:ascii="Arial" w:hAnsi="Arial" w:cs="Arial"/>
            <w:color w:val="007A6D"/>
            <w:sz w:val="22"/>
            <w:szCs w:val="22"/>
          </w:rPr>
        </w:pP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begin"/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instrText xml:space="preserve"> PAGE </w:instrTex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separate"/>
        </w:r>
        <w:r w:rsidRPr="00EC07EB">
          <w:rPr>
            <w:rStyle w:val="PageNumber"/>
            <w:rFonts w:ascii="Arial" w:hAnsi="Arial" w:cs="Arial"/>
            <w:b/>
            <w:bCs/>
            <w:noProof/>
            <w:color w:val="007A6D"/>
            <w:sz w:val="22"/>
            <w:szCs w:val="22"/>
          </w:rPr>
          <w:t>2</w: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end"/>
        </w:r>
        <w:r w:rsidR="0042232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t xml:space="preserve"> </w:t>
        </w:r>
      </w:p>
    </w:sdtContent>
  </w:sdt>
  <w:p w14:paraId="63A1B3C2" w14:textId="768B6206" w:rsidR="00007EFA" w:rsidRPr="00877C9C" w:rsidRDefault="0042232B" w:rsidP="00EC07EB">
    <w:pPr>
      <w:pStyle w:val="Footer"/>
      <w:ind w:left="-284" w:right="360"/>
      <w:rPr>
        <w:rFonts w:ascii="Arial" w:hAnsi="Arial" w:cs="Arial"/>
        <w:b/>
        <w:bCs/>
        <w:color w:val="007A6D"/>
        <w:sz w:val="22"/>
        <w:szCs w:val="22"/>
      </w:rPr>
    </w:pPr>
    <w:r>
      <w:rPr>
        <w:rFonts w:ascii="Arial" w:hAnsi="Arial" w:cs="Arial"/>
        <w:b/>
        <w:bCs/>
        <w:color w:val="007A6D"/>
        <w:sz w:val="22"/>
      </w:rPr>
      <w:t xml:space="preserve">     </w:t>
    </w:r>
    <w:r w:rsidR="00875901" w:rsidRPr="00877C9C">
      <w:rPr>
        <w:rFonts w:ascii="Arial" w:hAnsi="Arial" w:cs="Arial"/>
        <w:b/>
        <w:bCs/>
        <w:color w:val="007A6D"/>
        <w:sz w:val="22"/>
      </w:rPr>
      <w:t xml:space="preserve">| </w:t>
    </w:r>
    <w:r>
      <w:rPr>
        <w:rFonts w:ascii="Arial" w:hAnsi="Arial" w:cs="Arial"/>
        <w:b/>
        <w:bCs/>
        <w:color w:val="007A6D"/>
        <w:sz w:val="22"/>
      </w:rPr>
      <w:t xml:space="preserve">  </w:t>
    </w:r>
    <w:r w:rsidR="00DF72E0">
      <w:rPr>
        <w:rFonts w:ascii="Arial" w:hAnsi="Arial" w:cs="Arial"/>
        <w:b/>
        <w:bCs/>
        <w:color w:val="007A6D"/>
        <w:sz w:val="22"/>
        <w:szCs w:val="22"/>
      </w:rPr>
      <w:t>Employees guide to negotiating flexible 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C6A3" w14:textId="77777777" w:rsidR="00007EFA" w:rsidRPr="00EC07EB" w:rsidRDefault="00875901" w:rsidP="006B312D">
    <w:pPr>
      <w:pStyle w:val="Footer"/>
      <w:framePr w:wrap="none" w:vAnchor="text" w:hAnchor="page" w:x="869" w:y="15"/>
      <w:rPr>
        <w:rStyle w:val="PageNumber"/>
        <w:rFonts w:ascii="Arial" w:hAnsi="Arial" w:cs="Arial"/>
        <w:b/>
        <w:bCs/>
        <w:color w:val="007A6D"/>
        <w:sz w:val="22"/>
        <w:szCs w:val="22"/>
      </w:rPr>
    </w:pP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begin"/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instrText xml:space="preserve"> PAGE </w:instrTex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separate"/>
    </w:r>
    <w:r w:rsidRPr="00EC07EB">
      <w:rPr>
        <w:rStyle w:val="PageNumber"/>
        <w:rFonts w:ascii="Arial" w:hAnsi="Arial" w:cs="Arial"/>
        <w:b/>
        <w:bCs/>
        <w:noProof/>
        <w:color w:val="007A6D"/>
        <w:sz w:val="22"/>
        <w:szCs w:val="22"/>
      </w:rPr>
      <w:t>1</w: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end"/>
    </w:r>
  </w:p>
  <w:p w14:paraId="77961967" w14:textId="212FE3B4" w:rsidR="00007EFA" w:rsidRPr="00007EFA" w:rsidRDefault="0042232B" w:rsidP="006B312D">
    <w:pPr>
      <w:pStyle w:val="Footer"/>
      <w:ind w:left="-567"/>
      <w:rPr>
        <w:rFonts w:ascii="Arial" w:hAnsi="Arial" w:cs="Arial"/>
        <w:color w:val="007A6D"/>
        <w:sz w:val="22"/>
        <w:szCs w:val="22"/>
      </w:rPr>
    </w:pPr>
    <w:r>
      <w:rPr>
        <w:rFonts w:ascii="Arial" w:hAnsi="Arial" w:cs="Arial"/>
        <w:b/>
        <w:bCs/>
        <w:color w:val="007A6D"/>
        <w:sz w:val="22"/>
        <w:szCs w:val="22"/>
      </w:rPr>
      <w:t xml:space="preserve">     </w:t>
    </w:r>
    <w:r w:rsidR="00875901" w:rsidRPr="00007EFA">
      <w:rPr>
        <w:rFonts w:ascii="Arial" w:hAnsi="Arial" w:cs="Arial"/>
        <w:b/>
        <w:bCs/>
        <w:color w:val="007A6D"/>
        <w:sz w:val="22"/>
        <w:szCs w:val="22"/>
      </w:rPr>
      <w:t xml:space="preserve">|  </w:t>
    </w:r>
    <w:r>
      <w:rPr>
        <w:rFonts w:ascii="Arial" w:hAnsi="Arial" w:cs="Arial"/>
        <w:b/>
        <w:bCs/>
        <w:color w:val="007A6D"/>
        <w:sz w:val="22"/>
        <w:szCs w:val="22"/>
      </w:rPr>
      <w:t xml:space="preserve"> </w:t>
    </w:r>
    <w:bookmarkStart w:id="4" w:name="_Hlk70080479"/>
    <w:r w:rsidR="00DF72E0">
      <w:rPr>
        <w:rFonts w:ascii="Arial" w:hAnsi="Arial" w:cs="Arial"/>
        <w:b/>
        <w:bCs/>
        <w:color w:val="007A6D"/>
        <w:sz w:val="22"/>
        <w:szCs w:val="22"/>
      </w:rPr>
      <w:t>Employees</w:t>
    </w:r>
    <w:r w:rsidR="005A7FAE">
      <w:rPr>
        <w:rFonts w:ascii="Arial" w:hAnsi="Arial" w:cs="Arial"/>
        <w:b/>
        <w:bCs/>
        <w:color w:val="007A6D"/>
        <w:sz w:val="22"/>
        <w:szCs w:val="22"/>
      </w:rPr>
      <w:t xml:space="preserve"> guide to </w:t>
    </w:r>
    <w:r w:rsidR="00DF72E0">
      <w:rPr>
        <w:rFonts w:ascii="Arial" w:hAnsi="Arial" w:cs="Arial"/>
        <w:b/>
        <w:bCs/>
        <w:color w:val="007A6D"/>
        <w:sz w:val="22"/>
        <w:szCs w:val="22"/>
      </w:rPr>
      <w:t>negotiating</w:t>
    </w:r>
    <w:r w:rsidR="005A7FAE">
      <w:rPr>
        <w:rFonts w:ascii="Arial" w:hAnsi="Arial" w:cs="Arial"/>
        <w:b/>
        <w:bCs/>
        <w:color w:val="007A6D"/>
        <w:sz w:val="22"/>
        <w:szCs w:val="22"/>
      </w:rPr>
      <w:t xml:space="preserve"> flexible work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C8201" w14:textId="77777777" w:rsidR="003E6E0B" w:rsidRDefault="003E6E0B">
      <w:r>
        <w:separator/>
      </w:r>
    </w:p>
  </w:footnote>
  <w:footnote w:type="continuationSeparator" w:id="0">
    <w:p w14:paraId="0FF49090" w14:textId="77777777" w:rsidR="003E6E0B" w:rsidRDefault="003E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0904" w14:textId="77777777" w:rsidR="008442F7" w:rsidRDefault="0087590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7E2E94A" wp14:editId="271C79E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0---PSC-Position-Description-Word-Template-Alteration---V0-05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D054" w14:textId="77777777" w:rsidR="008442F7" w:rsidRDefault="00875901" w:rsidP="006B31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A7E3BDD" wp14:editId="5AED535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20---PSC-Position-Description-Word-Template-Alteration---V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018C"/>
    <w:multiLevelType w:val="hybridMultilevel"/>
    <w:tmpl w:val="EEE2D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B68"/>
    <w:multiLevelType w:val="multilevel"/>
    <w:tmpl w:val="3208D262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2" w15:restartNumberingAfterBreak="0">
    <w:nsid w:val="191D1FF5"/>
    <w:multiLevelType w:val="hybridMultilevel"/>
    <w:tmpl w:val="76E00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C7A"/>
    <w:multiLevelType w:val="hybridMultilevel"/>
    <w:tmpl w:val="CEC291B0"/>
    <w:lvl w:ilvl="0" w:tplc="7518835C">
      <w:start w:val="1"/>
      <w:numFmt w:val="bullet"/>
      <w:pStyle w:val="PSC-Bullets2"/>
      <w:lvlText w:val="·"/>
      <w:lvlJc w:val="left"/>
      <w:pPr>
        <w:ind w:left="720" w:hanging="360"/>
      </w:pPr>
      <w:rPr>
        <w:rFonts w:ascii="Symbol" w:hAnsi="Symbol" w:cs="Symbol" w:hint="default"/>
        <w:b/>
        <w:i w:val="0"/>
        <w:color w:val="60C3A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55611"/>
    <w:multiLevelType w:val="hybridMultilevel"/>
    <w:tmpl w:val="4150F934"/>
    <w:lvl w:ilvl="0" w:tplc="EF043388">
      <w:start w:val="1"/>
      <w:numFmt w:val="bullet"/>
      <w:pStyle w:val="PSC-Bullets3"/>
      <w:lvlText w:val="–"/>
      <w:lvlJc w:val="left"/>
      <w:pPr>
        <w:tabs>
          <w:tab w:val="num" w:pos="1418"/>
        </w:tabs>
        <w:ind w:left="1077" w:hanging="35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B5E19"/>
    <w:multiLevelType w:val="hybridMultilevel"/>
    <w:tmpl w:val="5A82C36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9983122"/>
    <w:multiLevelType w:val="hybridMultilevel"/>
    <w:tmpl w:val="5CA4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1CC4"/>
    <w:multiLevelType w:val="hybridMultilevel"/>
    <w:tmpl w:val="3A02AF5C"/>
    <w:lvl w:ilvl="0" w:tplc="D66C7820">
      <w:start w:val="1"/>
      <w:numFmt w:val="decimal"/>
      <w:pStyle w:val="PSC-Bullets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01"/>
    <w:rsid w:val="0002790C"/>
    <w:rsid w:val="000C46FE"/>
    <w:rsid w:val="000E674B"/>
    <w:rsid w:val="000F4FD2"/>
    <w:rsid w:val="00100FA6"/>
    <w:rsid w:val="00104112"/>
    <w:rsid w:val="00226CFE"/>
    <w:rsid w:val="00236654"/>
    <w:rsid w:val="00251C98"/>
    <w:rsid w:val="00260186"/>
    <w:rsid w:val="002E0984"/>
    <w:rsid w:val="0037658C"/>
    <w:rsid w:val="003927F1"/>
    <w:rsid w:val="003E6E0B"/>
    <w:rsid w:val="0042232B"/>
    <w:rsid w:val="00462197"/>
    <w:rsid w:val="00495945"/>
    <w:rsid w:val="004C5B2E"/>
    <w:rsid w:val="004D6C62"/>
    <w:rsid w:val="005260BF"/>
    <w:rsid w:val="00533940"/>
    <w:rsid w:val="00563F65"/>
    <w:rsid w:val="005A7FAE"/>
    <w:rsid w:val="006158DA"/>
    <w:rsid w:val="0067656F"/>
    <w:rsid w:val="00694DBA"/>
    <w:rsid w:val="006B39AE"/>
    <w:rsid w:val="00795625"/>
    <w:rsid w:val="00796DA9"/>
    <w:rsid w:val="007E6DCE"/>
    <w:rsid w:val="00875901"/>
    <w:rsid w:val="008763DD"/>
    <w:rsid w:val="008B5996"/>
    <w:rsid w:val="008E2524"/>
    <w:rsid w:val="00942EFD"/>
    <w:rsid w:val="00A64BDB"/>
    <w:rsid w:val="00A818A0"/>
    <w:rsid w:val="00AD6AC4"/>
    <w:rsid w:val="00B938F2"/>
    <w:rsid w:val="00BD4A42"/>
    <w:rsid w:val="00C13A7C"/>
    <w:rsid w:val="00C722D1"/>
    <w:rsid w:val="00CE525B"/>
    <w:rsid w:val="00CF794E"/>
    <w:rsid w:val="00D67627"/>
    <w:rsid w:val="00D85BA6"/>
    <w:rsid w:val="00D921DB"/>
    <w:rsid w:val="00DC358B"/>
    <w:rsid w:val="00DF72E0"/>
    <w:rsid w:val="00E07530"/>
    <w:rsid w:val="00E44D3A"/>
    <w:rsid w:val="00E8430D"/>
    <w:rsid w:val="00EE4D16"/>
    <w:rsid w:val="00F02D7B"/>
    <w:rsid w:val="00F23ECB"/>
    <w:rsid w:val="00F34B3C"/>
    <w:rsid w:val="00F966AB"/>
    <w:rsid w:val="00FC5DD9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D9AD"/>
  <w15:chartTrackingRefBased/>
  <w15:docId w15:val="{50D0217A-9E99-D949-9A07-02A04B4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6F"/>
  </w:style>
  <w:style w:type="paragraph" w:styleId="Heading2">
    <w:name w:val="heading 2"/>
    <w:next w:val="BodyText"/>
    <w:link w:val="Heading2Char"/>
    <w:qFormat/>
    <w:rsid w:val="007E6DCE"/>
    <w:pPr>
      <w:keepNext/>
      <w:spacing w:before="240" w:after="120"/>
      <w:outlineLvl w:val="1"/>
    </w:pPr>
    <w:rPr>
      <w:rFonts w:ascii="Arial" w:eastAsia="Times New Roman" w:hAnsi="Arial" w:cs="Times New Roman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D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1"/>
  </w:style>
  <w:style w:type="paragraph" w:styleId="Footer">
    <w:name w:val="footer"/>
    <w:basedOn w:val="Normal"/>
    <w:link w:val="Foot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01"/>
  </w:style>
  <w:style w:type="paragraph" w:customStyle="1" w:styleId="PSC-Titleofdocument">
    <w:name w:val="PSC - Title of document"/>
    <w:basedOn w:val="Normal"/>
    <w:qFormat/>
    <w:rsid w:val="00875901"/>
    <w:pPr>
      <w:pBdr>
        <w:bottom w:val="single" w:sz="36" w:space="1" w:color="60C3AD"/>
      </w:pBdr>
    </w:pPr>
    <w:rPr>
      <w:rFonts w:ascii="Arial" w:hAnsi="Arial" w:cs="Arial"/>
      <w:b/>
      <w:bCs/>
      <w:sz w:val="64"/>
      <w:szCs w:val="64"/>
    </w:rPr>
  </w:style>
  <w:style w:type="character" w:styleId="PageNumber">
    <w:name w:val="page number"/>
    <w:basedOn w:val="DefaultParagraphFont"/>
    <w:uiPriority w:val="99"/>
    <w:semiHidden/>
    <w:unhideWhenUsed/>
    <w:rsid w:val="00875901"/>
  </w:style>
  <w:style w:type="paragraph" w:customStyle="1" w:styleId="PSCSubtitle">
    <w:name w:val="PSC Subtitle"/>
    <w:basedOn w:val="Normal"/>
    <w:qFormat/>
    <w:rsid w:val="00875901"/>
    <w:rPr>
      <w:rFonts w:ascii="Arial" w:hAnsi="Arial" w:cs="Arial"/>
      <w:sz w:val="36"/>
      <w:szCs w:val="32"/>
    </w:rPr>
  </w:style>
  <w:style w:type="paragraph" w:customStyle="1" w:styleId="PSC-Heading1">
    <w:name w:val="PSC - Heading 1"/>
    <w:basedOn w:val="Normal"/>
    <w:qFormat/>
    <w:rsid w:val="00875901"/>
    <w:rPr>
      <w:rFonts w:ascii="Arial" w:hAnsi="Arial" w:cs="Arial"/>
      <w:color w:val="007A6D"/>
      <w:sz w:val="36"/>
      <w:szCs w:val="32"/>
    </w:rPr>
  </w:style>
  <w:style w:type="paragraph" w:customStyle="1" w:styleId="PSC-Heading2">
    <w:name w:val="PSC - Heading 2"/>
    <w:basedOn w:val="Normal"/>
    <w:qFormat/>
    <w:rsid w:val="00875901"/>
    <w:rPr>
      <w:rFonts w:ascii="Arial" w:hAnsi="Arial" w:cs="Arial"/>
      <w:sz w:val="32"/>
      <w:szCs w:val="28"/>
    </w:rPr>
  </w:style>
  <w:style w:type="paragraph" w:customStyle="1" w:styleId="PSC-bodycopy">
    <w:name w:val="PSC - body copy"/>
    <w:basedOn w:val="Normal"/>
    <w:qFormat/>
    <w:rsid w:val="00875901"/>
    <w:rPr>
      <w:rFonts w:ascii="Arial" w:hAnsi="Arial" w:cs="Arial"/>
      <w:sz w:val="22"/>
    </w:rPr>
  </w:style>
  <w:style w:type="paragraph" w:customStyle="1" w:styleId="PSC-Heading3">
    <w:name w:val="PSC - Heading 3"/>
    <w:basedOn w:val="Normal"/>
    <w:qFormat/>
    <w:rsid w:val="00875901"/>
    <w:rPr>
      <w:rFonts w:ascii="Arial" w:hAnsi="Arial" w:cs="Arial"/>
      <w:sz w:val="28"/>
    </w:rPr>
  </w:style>
  <w:style w:type="paragraph" w:customStyle="1" w:styleId="PSC-Bullets1">
    <w:name w:val="PSC - Bullets #1"/>
    <w:basedOn w:val="ListParagraph"/>
    <w:qFormat/>
    <w:rsid w:val="004C5B2E"/>
    <w:pPr>
      <w:numPr>
        <w:numId w:val="1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2">
    <w:name w:val="PSC - Bullets #2"/>
    <w:basedOn w:val="ListParagraph"/>
    <w:qFormat/>
    <w:rsid w:val="006158DA"/>
    <w:pPr>
      <w:numPr>
        <w:numId w:val="2"/>
      </w:numPr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PSC-Bullets3">
    <w:name w:val="PSC - Bullets #3"/>
    <w:basedOn w:val="ListParagraph"/>
    <w:qFormat/>
    <w:rsid w:val="004C5B2E"/>
    <w:pPr>
      <w:numPr>
        <w:numId w:val="3"/>
      </w:numPr>
    </w:pPr>
    <w:rPr>
      <w:rFonts w:ascii="Arial" w:hAnsi="Arial" w:cs="Arial"/>
      <w:sz w:val="22"/>
    </w:rPr>
  </w:style>
  <w:style w:type="paragraph" w:customStyle="1" w:styleId="PSC-Primaryquote">
    <w:name w:val="PSC - Primary quote"/>
    <w:basedOn w:val="Normal"/>
    <w:qFormat/>
    <w:rsid w:val="00875901"/>
    <w:pPr>
      <w:pBdr>
        <w:top w:val="single" w:sz="12" w:space="5" w:color="007A6D"/>
        <w:bottom w:val="single" w:sz="12" w:space="5" w:color="007A6D"/>
      </w:pBdr>
      <w:spacing w:before="120" w:after="120"/>
    </w:pPr>
    <w:rPr>
      <w:rFonts w:ascii="Times New Roman" w:hAnsi="Times New Roman" w:cs="Arial"/>
      <w:b/>
      <w:bCs/>
      <w:i/>
      <w:iCs/>
      <w:color w:val="007A6D"/>
      <w:sz w:val="28"/>
      <w:szCs w:val="32"/>
    </w:rPr>
  </w:style>
  <w:style w:type="table" w:styleId="GridTable4-Accent1">
    <w:name w:val="Grid Table 4 Accent 1"/>
    <w:aliases w:val="PSC Table Template V0-02"/>
    <w:basedOn w:val="TableNormal"/>
    <w:uiPriority w:val="49"/>
    <w:rsid w:val="00226CFE"/>
    <w:pPr>
      <w:jc w:val="center"/>
    </w:pPr>
    <w:rPr>
      <w:rFonts w:ascii="Arial" w:eastAsiaTheme="minorEastAsia" w:hAnsi="Arial"/>
      <w:sz w:val="22"/>
      <w:szCs w:val="21"/>
    </w:rPr>
    <w:tblPr>
      <w:tblStyleRowBandSize w:val="1"/>
      <w:tblStyleColBandSize w:val="1"/>
      <w:tblBorders>
        <w:top w:val="single" w:sz="4" w:space="0" w:color="CBE8E2"/>
        <w:bottom w:val="single" w:sz="4" w:space="0" w:color="CBE8E2"/>
        <w:insideH w:val="single" w:sz="4" w:space="0" w:color="CBE8E2"/>
        <w:insideV w:val="single" w:sz="4" w:space="0" w:color="CBE8E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shd w:val="clear" w:color="auto" w:fill="60C3AD"/>
      </w:tcPr>
    </w:tblStylePr>
    <w:tblStylePr w:type="lastRow">
      <w:rPr>
        <w:rFonts w:ascii="Arial" w:hAnsi="Arial"/>
        <w:b w:val="0"/>
        <w:bCs/>
        <w:color w:val="000000" w:themeColor="text1"/>
        <w:sz w:val="22"/>
      </w:rPr>
    </w:tblStylePr>
    <w:tblStylePr w:type="firstCol">
      <w:rPr>
        <w:rFonts w:ascii="Arial" w:hAnsi="Arial"/>
        <w:b w:val="0"/>
        <w:bCs/>
        <w:sz w:val="22"/>
      </w:rPr>
      <w:tblPr/>
      <w:tcPr>
        <w:tcBorders>
          <w:bottom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Horz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2"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875901"/>
    <w:pPr>
      <w:ind w:left="720"/>
      <w:contextualSpacing/>
    </w:pPr>
  </w:style>
  <w:style w:type="table" w:styleId="TableGrid">
    <w:name w:val="Table Grid"/>
    <w:basedOn w:val="TableNormal"/>
    <w:uiPriority w:val="39"/>
    <w:rsid w:val="0022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C-Secondaryquote">
    <w:name w:val="PSC - Secondary quote"/>
    <w:basedOn w:val="Normal"/>
    <w:qFormat/>
    <w:rsid w:val="002E0984"/>
    <w:pPr>
      <w:ind w:left="720"/>
    </w:pPr>
    <w:rPr>
      <w:rFonts w:ascii="Arial" w:hAnsi="Arial" w:cs="Arial"/>
      <w:i/>
      <w:iCs/>
      <w:color w:val="007A6D"/>
    </w:rPr>
  </w:style>
  <w:style w:type="table" w:styleId="GridTable6ColourfulAccent2">
    <w:name w:val="Grid Table 6 Colorful Accent 2"/>
    <w:basedOn w:val="TableNormal"/>
    <w:uiPriority w:val="51"/>
    <w:rsid w:val="00942EF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SCTableStyleV0-01">
    <w:name w:val="PSC Table Style V0-01"/>
    <w:basedOn w:val="TableNormal"/>
    <w:next w:val="TableGrid"/>
    <w:uiPriority w:val="39"/>
    <w:rsid w:val="00F02D7B"/>
    <w:rPr>
      <w:rFonts w:ascii="Arial" w:hAnsi="Arial"/>
      <w:sz w:val="20"/>
    </w:rPr>
    <w:tblPr>
      <w:tblBorders>
        <w:top w:val="single" w:sz="4" w:space="0" w:color="C0E5DE"/>
        <w:bottom w:val="single" w:sz="4" w:space="0" w:color="C0E5DE"/>
        <w:insideH w:val="single" w:sz="4" w:space="0" w:color="C0E5DE"/>
        <w:insideV w:val="single" w:sz="4" w:space="0" w:color="C0E5DE"/>
      </w:tblBorders>
    </w:tblPr>
    <w:tcPr>
      <w:tcMar>
        <w:top w:w="108" w:type="dxa"/>
        <w:bottom w:w="108" w:type="dxa"/>
      </w:tcMar>
    </w:tcPr>
    <w:tblStylePr w:type="firstRow">
      <w:rPr>
        <w:rFonts w:ascii="Arial" w:hAnsi="Arial"/>
        <w:b/>
        <w:sz w:val="20"/>
      </w:rPr>
      <w:tblPr/>
      <w:tcPr>
        <w:tcBorders>
          <w:top w:val="nil"/>
          <w:bottom w:val="single" w:sz="18" w:space="0" w:color="C0E5DE"/>
        </w:tcBorders>
      </w:tcPr>
    </w:tblStylePr>
  </w:style>
  <w:style w:type="character" w:styleId="Hyperlink">
    <w:name w:val="Hyperlink"/>
    <w:uiPriority w:val="99"/>
    <w:rsid w:val="000F4FD2"/>
    <w:rPr>
      <w:color w:val="auto"/>
      <w:u w:val="single"/>
    </w:rPr>
  </w:style>
  <w:style w:type="paragraph" w:customStyle="1" w:styleId="Bodycopy">
    <w:name w:val="Body copy"/>
    <w:basedOn w:val="Normal"/>
    <w:link w:val="BodycopyChar"/>
    <w:qFormat/>
    <w:rsid w:val="00694DBA"/>
    <w:rPr>
      <w:rFonts w:ascii="Arial" w:eastAsia="Times New Roman" w:hAnsi="Arial" w:cs="Times New Roman"/>
      <w:sz w:val="22"/>
      <w:lang w:eastAsia="en-AU"/>
    </w:rPr>
  </w:style>
  <w:style w:type="character" w:customStyle="1" w:styleId="BodycopyChar">
    <w:name w:val="Body copy Char"/>
    <w:link w:val="Bodycopy"/>
    <w:rsid w:val="00694DBA"/>
    <w:rPr>
      <w:rFonts w:ascii="Arial" w:eastAsia="Times New Roman" w:hAnsi="Arial" w:cs="Times New Roman"/>
      <w:sz w:val="2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94DB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7E6DCE"/>
    <w:pPr>
      <w:spacing w:before="120" w:after="120" w:line="276" w:lineRule="auto"/>
    </w:pPr>
    <w:rPr>
      <w:rFonts w:ascii="Arial" w:eastAsia="Times New Roman" w:hAnsi="Arial" w:cs="Times New Roman"/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E6DCE"/>
    <w:rPr>
      <w:rFonts w:ascii="Arial" w:eastAsia="Times New Roman" w:hAnsi="Arial" w:cs="Times New Roman"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rsid w:val="007E6DCE"/>
    <w:rPr>
      <w:rFonts w:ascii="Arial" w:eastAsia="Times New Roman" w:hAnsi="Arial" w:cs="Times New Roman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7E6DCE"/>
  </w:style>
  <w:style w:type="character" w:styleId="UnresolvedMention">
    <w:name w:val="Unresolved Mention"/>
    <w:basedOn w:val="DefaultParagraphFont"/>
    <w:uiPriority w:val="99"/>
    <w:semiHidden/>
    <w:unhideWhenUsed/>
    <w:rsid w:val="007E6DC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7656F"/>
    <w:pPr>
      <w:widowControl w:val="0"/>
    </w:pPr>
    <w:rPr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D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A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LEGISLTN/CURRENT/I/IndustRelA16.pdf" TargetMode="External"/><Relationship Id="rId13" Type="http://schemas.openxmlformats.org/officeDocument/2006/relationships/hyperlink" Target="https://www.forgov.qld.gov.au/flexible-working-myths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orgov.qld.gov.au/flexible-work-possibilities" TargetMode="External"/><Relationship Id="rId17" Type="http://schemas.openxmlformats.org/officeDocument/2006/relationships/hyperlink" Target="https://www.forgov.qld.gov.au/flexible-by-desig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orgov.qld.gov.au/file/31726/download?token=O2fXA1l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gov.qld.gov.au/flexible-by-desig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orgov.qld.gov.au/file/31721/download?token=hpoQfhOI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orgov.qld.gov.au/case-studies-pilo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flexible-by-design" TargetMode="External"/><Relationship Id="rId14" Type="http://schemas.openxmlformats.org/officeDocument/2006/relationships/hyperlink" Target="https://www.forgov.qld.gov.au/encourage-flexible-work-conversations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1CD77-37CE-8349-9541-D1147045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Public Service Commission | Queensland Government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 guide to negotiating flexible work</dc:title>
  <dc:subject>Employees guide to negotiating flexible work</dc:subject>
  <dc:creator>Public Service Commission | Queensland Government</dc:creator>
  <cp:keywords>Employees guide to negotiating flexible work</cp:keywords>
  <dc:description/>
  <cp:lastModifiedBy>Jeff Cheadle</cp:lastModifiedBy>
  <cp:revision>3</cp:revision>
  <dcterms:created xsi:type="dcterms:W3CDTF">2021-04-23T06:07:00Z</dcterms:created>
  <dcterms:modified xsi:type="dcterms:W3CDTF">2021-05-17T22:57:00Z</dcterms:modified>
</cp:coreProperties>
</file>