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6A67" w14:textId="5DF7E6C8" w:rsidR="00694DBA" w:rsidRPr="00EE4D16" w:rsidRDefault="00502D99" w:rsidP="00694DBA">
      <w:pPr>
        <w:pStyle w:val="PSC-Titleofdocument"/>
        <w:rPr>
          <w:sz w:val="60"/>
          <w:szCs w:val="60"/>
        </w:rPr>
      </w:pPr>
      <w:r>
        <w:rPr>
          <w:sz w:val="60"/>
          <w:szCs w:val="60"/>
        </w:rPr>
        <w:t>Management by outcomes</w:t>
      </w:r>
    </w:p>
    <w:p w14:paraId="2D168FC9" w14:textId="77777777" w:rsidR="00875901" w:rsidRDefault="00875901" w:rsidP="00875901"/>
    <w:p w14:paraId="5596EF9B" w14:textId="741DBA60" w:rsidR="00875901" w:rsidRPr="00236654" w:rsidRDefault="00EE4D16" w:rsidP="0042232B">
      <w:pPr>
        <w:pStyle w:val="PSC-Heading1"/>
      </w:pPr>
      <w:r>
        <w:t xml:space="preserve">Flexible by </w:t>
      </w:r>
      <w:r w:rsidR="00F91867">
        <w:t>D</w:t>
      </w:r>
      <w:r>
        <w:t>esign</w:t>
      </w:r>
    </w:p>
    <w:p w14:paraId="1A72E221" w14:textId="77777777" w:rsidR="00875901" w:rsidRPr="008406E0" w:rsidRDefault="00875901" w:rsidP="00875901">
      <w:pPr>
        <w:rPr>
          <w:rFonts w:ascii="Arial" w:hAnsi="Arial" w:cs="Arial"/>
        </w:rPr>
      </w:pPr>
    </w:p>
    <w:p w14:paraId="68B6EE13" w14:textId="77777777" w:rsidR="00F91867" w:rsidRDefault="00502D99" w:rsidP="00502D99">
      <w:pPr>
        <w:pStyle w:val="PSC-bodycopy"/>
      </w:pPr>
      <w:r w:rsidRPr="006109DB">
        <w:t xml:space="preserve">In practice, managing by outcomes means being accountable for delivery by focusing on </w:t>
      </w:r>
      <w:r w:rsidRPr="00F91867">
        <w:t xml:space="preserve">results. It is about focusing on a broad range of measures and indicators to best demonstrate the achievement of agreed outcomes. </w:t>
      </w:r>
    </w:p>
    <w:p w14:paraId="217F2F0F" w14:textId="77777777" w:rsidR="00F91867" w:rsidRDefault="00F91867" w:rsidP="00502D99">
      <w:pPr>
        <w:pStyle w:val="PSC-bodycopy"/>
      </w:pPr>
    </w:p>
    <w:p w14:paraId="1773E520" w14:textId="77777777" w:rsidR="00F91867" w:rsidRDefault="00502D99" w:rsidP="00502D99">
      <w:pPr>
        <w:pStyle w:val="PSC-bodycopy"/>
      </w:pPr>
      <w:r w:rsidRPr="00F91867">
        <w:t>Examples include</w:t>
      </w:r>
      <w:r w:rsidR="00F91867">
        <w:t>:</w:t>
      </w:r>
    </w:p>
    <w:p w14:paraId="66FADBEF" w14:textId="7036E3DD" w:rsidR="00F91867" w:rsidRDefault="00F91867" w:rsidP="00F91867">
      <w:pPr>
        <w:pStyle w:val="PSC-Bullets2"/>
      </w:pPr>
      <w:r>
        <w:t>o</w:t>
      </w:r>
      <w:r w:rsidR="00502D99" w:rsidRPr="00F91867">
        <w:t>utputs</w:t>
      </w:r>
    </w:p>
    <w:p w14:paraId="7B347033" w14:textId="77777777" w:rsidR="00F91867" w:rsidRDefault="00502D99" w:rsidP="00F91867">
      <w:pPr>
        <w:pStyle w:val="PSC-Bullets2"/>
      </w:pPr>
      <w:r w:rsidRPr="00F91867">
        <w:t>results of service delivery</w:t>
      </w:r>
    </w:p>
    <w:p w14:paraId="53DECDC6" w14:textId="77777777" w:rsidR="00F91867" w:rsidRDefault="00502D99" w:rsidP="00F91867">
      <w:pPr>
        <w:pStyle w:val="PSC-Bullets2"/>
      </w:pPr>
      <w:r w:rsidRPr="00F91867">
        <w:t>nature and quality of the work</w:t>
      </w:r>
    </w:p>
    <w:p w14:paraId="1AD97087" w14:textId="77777777" w:rsidR="00F91867" w:rsidRDefault="00502D99" w:rsidP="00F91867">
      <w:pPr>
        <w:pStyle w:val="PSC-Bullets2"/>
      </w:pPr>
      <w:r w:rsidRPr="00F91867">
        <w:t xml:space="preserve">time taken. </w:t>
      </w:r>
    </w:p>
    <w:p w14:paraId="7449FEBF" w14:textId="77777777" w:rsidR="00F91867" w:rsidRDefault="00F91867" w:rsidP="00F91867">
      <w:pPr>
        <w:pStyle w:val="PSC-bodycopy"/>
      </w:pPr>
    </w:p>
    <w:p w14:paraId="4C450876" w14:textId="2F332C90" w:rsidR="00502D99" w:rsidRPr="00F91867" w:rsidRDefault="00502D99" w:rsidP="00F91867">
      <w:pPr>
        <w:pStyle w:val="PSC-bodycopy"/>
      </w:pPr>
      <w:r w:rsidRPr="00F91867">
        <w:t xml:space="preserve">Individually, these do not measure productivity or take into account the </w:t>
      </w:r>
      <w:r w:rsidR="008D3EC0">
        <w:t xml:space="preserve">many </w:t>
      </w:r>
      <w:r w:rsidR="001C7236">
        <w:t xml:space="preserve">flexible </w:t>
      </w:r>
      <w:r w:rsidR="008D3EC0">
        <w:t xml:space="preserve">ways </w:t>
      </w:r>
      <w:r w:rsidR="000C77EF">
        <w:t>in which</w:t>
      </w:r>
      <w:r w:rsidRPr="00F91867">
        <w:t xml:space="preserve"> work outcomes</w:t>
      </w:r>
      <w:r w:rsidR="008D3EC0">
        <w:t xml:space="preserve"> can be achieved</w:t>
      </w:r>
      <w:r w:rsidRPr="00F91867">
        <w:t>.</w:t>
      </w:r>
      <w:r w:rsidR="00CA72E5">
        <w:t xml:space="preserve"> </w:t>
      </w:r>
      <w:r w:rsidR="00B014D6">
        <w:t>The concept of managing</w:t>
      </w:r>
      <w:r w:rsidR="00C1784C">
        <w:t xml:space="preserve"> by outcomes challenges</w:t>
      </w:r>
      <w:r w:rsidR="00345255">
        <w:t xml:space="preserve"> the idea that people must be visible and present in order to perform.</w:t>
      </w:r>
    </w:p>
    <w:p w14:paraId="0F628098" w14:textId="77777777" w:rsidR="00502D99" w:rsidRPr="00F91867" w:rsidRDefault="00502D99" w:rsidP="00502D99">
      <w:pPr>
        <w:pStyle w:val="PSC-bodycopy"/>
      </w:pPr>
    </w:p>
    <w:p w14:paraId="0832B8FF" w14:textId="237EBE6F" w:rsidR="00F91867" w:rsidRDefault="009A6DEF" w:rsidP="00502D99">
      <w:pPr>
        <w:pStyle w:val="PSC-bodycopy"/>
      </w:pPr>
      <w:r>
        <w:t>M</w:t>
      </w:r>
      <w:r w:rsidR="00502D99" w:rsidRPr="00F91867">
        <w:t xml:space="preserve">anagement by outcomes </w:t>
      </w:r>
      <w:r w:rsidR="00CE094D">
        <w:t>requires</w:t>
      </w:r>
      <w:r w:rsidR="00502D99" w:rsidRPr="00F91867">
        <w:t xml:space="preserve"> regular conversations between managers and employees. </w:t>
      </w:r>
    </w:p>
    <w:p w14:paraId="3341B7DE" w14:textId="77777777" w:rsidR="00F91867" w:rsidRDefault="00F91867" w:rsidP="00502D99">
      <w:pPr>
        <w:pStyle w:val="PSC-bodycopy"/>
      </w:pPr>
    </w:p>
    <w:p w14:paraId="50EC0602" w14:textId="0348CCFE" w:rsidR="00502D99" w:rsidRPr="00F91867" w:rsidRDefault="00502D99" w:rsidP="00502D99">
      <w:pPr>
        <w:pStyle w:val="PSC-bodycopy"/>
      </w:pPr>
      <w:r w:rsidRPr="00F91867">
        <w:t>Regular and meaningful conversations provide an opportunity to continuously improve by focusing on productivity, challenges and successes. In the context of flexible work, this may include changing personal circumstances, technology barriers and impacts on the team.</w:t>
      </w:r>
    </w:p>
    <w:p w14:paraId="166157D9" w14:textId="333C5BEA" w:rsidR="00502D99" w:rsidRDefault="00502D99" w:rsidP="00502D99">
      <w:pPr>
        <w:pStyle w:val="PSC-bodycopy"/>
      </w:pPr>
    </w:p>
    <w:p w14:paraId="0A46D047" w14:textId="1C62B7D3" w:rsidR="00502D99" w:rsidRDefault="00502D99" w:rsidP="00502D99">
      <w:pPr>
        <w:pStyle w:val="PSC-bodycopy"/>
      </w:pPr>
      <w:r>
        <w:rPr>
          <w:noProof/>
        </w:rPr>
        <mc:AlternateContent>
          <mc:Choice Requires="wps">
            <w:drawing>
              <wp:anchor distT="0" distB="0" distL="114300" distR="114300" simplePos="0" relativeHeight="251659264" behindDoc="0" locked="0" layoutInCell="1" allowOverlap="1" wp14:anchorId="7536F775" wp14:editId="5F83892C">
                <wp:simplePos x="0" y="0"/>
                <wp:positionH relativeFrom="column">
                  <wp:posOffset>13970</wp:posOffset>
                </wp:positionH>
                <wp:positionV relativeFrom="paragraph">
                  <wp:posOffset>32336</wp:posOffset>
                </wp:positionV>
                <wp:extent cx="5822315" cy="1719385"/>
                <wp:effectExtent l="0" t="0" r="6985" b="8255"/>
                <wp:wrapNone/>
                <wp:docPr id="2" name="Text Box 2"/>
                <wp:cNvGraphicFramePr/>
                <a:graphic xmlns:a="http://schemas.openxmlformats.org/drawingml/2006/main">
                  <a:graphicData uri="http://schemas.microsoft.com/office/word/2010/wordprocessingShape">
                    <wps:wsp>
                      <wps:cNvSpPr txBox="1"/>
                      <wps:spPr>
                        <a:xfrm>
                          <a:off x="0" y="0"/>
                          <a:ext cx="5822315" cy="1719385"/>
                        </a:xfrm>
                        <a:prstGeom prst="rect">
                          <a:avLst/>
                        </a:prstGeom>
                        <a:solidFill>
                          <a:schemeClr val="lt1"/>
                        </a:solidFill>
                        <a:ln w="12700">
                          <a:solidFill>
                            <a:srgbClr val="008B80"/>
                          </a:solidFill>
                        </a:ln>
                      </wps:spPr>
                      <wps:txbx>
                        <w:txbxContent>
                          <w:p w14:paraId="7B158C2D" w14:textId="70E29165" w:rsidR="00502D99" w:rsidRPr="00502D99" w:rsidRDefault="00502D99" w:rsidP="00502D99">
                            <w:pPr>
                              <w:pStyle w:val="PSC-bodycopy"/>
                            </w:pPr>
                            <w:r w:rsidRPr="00502D99">
                              <w:t xml:space="preserve">The </w:t>
                            </w:r>
                            <w:r w:rsidR="00F91867">
                              <w:t>sector’s</w:t>
                            </w:r>
                            <w:r w:rsidRPr="00502D99">
                              <w:t xml:space="preserve"> </w:t>
                            </w:r>
                            <w:hyperlink r:id="rId8" w:history="1">
                              <w:r w:rsidRPr="00502D99">
                                <w:rPr>
                                  <w:rStyle w:val="Hyperlink"/>
                                </w:rPr>
                                <w:t>Flexible by Design framework</w:t>
                              </w:r>
                            </w:hyperlink>
                            <w:r w:rsidRPr="00502D99">
                              <w:t xml:space="preserve"> underpin</w:t>
                            </w:r>
                            <w:r w:rsidR="00F91867">
                              <w:t>s</w:t>
                            </w:r>
                            <w:r w:rsidRPr="00502D99">
                              <w:t xml:space="preserve"> our approach to management by outcomes:</w:t>
                            </w:r>
                          </w:p>
                          <w:p w14:paraId="04AF81FA" w14:textId="77777777" w:rsidR="00502D99" w:rsidRPr="00502D99" w:rsidRDefault="00502D99" w:rsidP="00502D99">
                            <w:pPr>
                              <w:pStyle w:val="PSC-Bullets2"/>
                            </w:pPr>
                            <w:r w:rsidRPr="00502D99">
                              <w:t>Mutually beneficial flexible work arrangements that align with service delivery optimise and prioritise business performance.</w:t>
                            </w:r>
                          </w:p>
                          <w:p w14:paraId="5C1A0F63" w14:textId="77777777" w:rsidR="00502D99" w:rsidRPr="00502D99" w:rsidRDefault="00502D99" w:rsidP="00502D99">
                            <w:pPr>
                              <w:pStyle w:val="PSC-Bullets2"/>
                            </w:pPr>
                            <w:r w:rsidRPr="00502D99">
                              <w:t>Solutions demonstrate give and take, trust, open communication, cooperation, negotiation and ethics.</w:t>
                            </w:r>
                          </w:p>
                          <w:p w14:paraId="2F73CED0" w14:textId="66D700FF" w:rsidR="00502D99" w:rsidRPr="00EE4D16" w:rsidRDefault="00502D99" w:rsidP="00502D99">
                            <w:pPr>
                              <w:pStyle w:val="PSC-Bullets2"/>
                            </w:pPr>
                            <w:r w:rsidRPr="00502D99">
                              <w:t>Frequent meaningful conversations about outcomes measure employee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6F775" id="_x0000_t202" coordsize="21600,21600" o:spt="202" path="m,l,21600r21600,l21600,xe">
                <v:stroke joinstyle="miter"/>
                <v:path gradientshapeok="t" o:connecttype="rect"/>
              </v:shapetype>
              <v:shape id="Text Box 2" o:spid="_x0000_s1026" type="#_x0000_t202" style="position:absolute;margin-left:1.1pt;margin-top:2.55pt;width:458.45pt;height:1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" fillcolor="white [3201]" strokecolor="#008b80" strokeweight="1pt">
                <v:textbox>
                  <w:txbxContent>
                    <w:p w14:paraId="7B158C2D" w14:textId="70E29165" w:rsidR="00502D99" w:rsidRPr="00502D99" w:rsidRDefault="00502D99" w:rsidP="00502D99">
                      <w:pPr>
                        <w:pStyle w:val="PSC-bodycopy"/>
                      </w:pPr>
                      <w:r w:rsidRPr="00502D99">
                        <w:t xml:space="preserve">The </w:t>
                      </w:r>
                      <w:r w:rsidR="00F91867">
                        <w:t>sector’s</w:t>
                      </w:r>
                      <w:r w:rsidRPr="00502D99">
                        <w:t xml:space="preserve"> </w:t>
                      </w:r>
                      <w:hyperlink r:id="rId9" w:history="1">
                        <w:r w:rsidRPr="00502D99">
                          <w:rPr>
                            <w:rStyle w:val="Hyperlink"/>
                          </w:rPr>
                          <w:t>Flexible by Design framework</w:t>
                        </w:r>
                      </w:hyperlink>
                      <w:r w:rsidRPr="00502D99">
                        <w:t xml:space="preserve"> underpin</w:t>
                      </w:r>
                      <w:r w:rsidR="00F91867">
                        <w:t>s</w:t>
                      </w:r>
                      <w:r w:rsidRPr="00502D99">
                        <w:t xml:space="preserve"> our approach to management by outcomes:</w:t>
                      </w:r>
                    </w:p>
                    <w:p w14:paraId="04AF81FA" w14:textId="77777777" w:rsidR="00502D99" w:rsidRPr="00502D99" w:rsidRDefault="00502D99" w:rsidP="00502D99">
                      <w:pPr>
                        <w:pStyle w:val="PSC-Bullets2"/>
                      </w:pPr>
                      <w:r w:rsidRPr="00502D99">
                        <w:t>Mutually beneficial flexible work arrangements that align with service delivery optimise and prioritise business performance.</w:t>
                      </w:r>
                    </w:p>
                    <w:p w14:paraId="5C1A0F63" w14:textId="77777777" w:rsidR="00502D99" w:rsidRPr="00502D99" w:rsidRDefault="00502D99" w:rsidP="00502D99">
                      <w:pPr>
                        <w:pStyle w:val="PSC-Bullets2"/>
                      </w:pPr>
                      <w:r w:rsidRPr="00502D99">
                        <w:t>Solutions demonstrate give and take, trust, open communication, cooperation, negotiation and ethics.</w:t>
                      </w:r>
                    </w:p>
                    <w:p w14:paraId="2F73CED0" w14:textId="66D700FF" w:rsidR="00502D99" w:rsidRPr="00EE4D16" w:rsidRDefault="00502D99" w:rsidP="00502D99">
                      <w:pPr>
                        <w:pStyle w:val="PSC-Bullets2"/>
                      </w:pPr>
                      <w:r w:rsidRPr="00502D99">
                        <w:t>Frequent meaningful conversations about outcomes measure employee performance.</w:t>
                      </w:r>
                    </w:p>
                  </w:txbxContent>
                </v:textbox>
              </v:shape>
            </w:pict>
          </mc:Fallback>
        </mc:AlternateContent>
      </w:r>
    </w:p>
    <w:p w14:paraId="7135244A" w14:textId="72F58E11" w:rsidR="00502D99" w:rsidRDefault="00502D99" w:rsidP="00502D99">
      <w:pPr>
        <w:pStyle w:val="PSC-bodycopy"/>
      </w:pPr>
    </w:p>
    <w:p w14:paraId="7F068E11" w14:textId="4DB85A1A" w:rsidR="00502D99" w:rsidRDefault="00502D99" w:rsidP="00502D99">
      <w:pPr>
        <w:pStyle w:val="PSC-bodycopy"/>
      </w:pPr>
    </w:p>
    <w:p w14:paraId="4103B1C0" w14:textId="2BDE7C79" w:rsidR="00502D99" w:rsidRDefault="00502D99" w:rsidP="00502D99">
      <w:pPr>
        <w:pStyle w:val="PSC-bodycopy"/>
      </w:pPr>
    </w:p>
    <w:p w14:paraId="7B1BD246" w14:textId="755ECB9A" w:rsidR="00502D99" w:rsidRDefault="00502D99" w:rsidP="00502D99">
      <w:pPr>
        <w:pStyle w:val="PSC-bodycopy"/>
      </w:pPr>
    </w:p>
    <w:p w14:paraId="50B5BCAB" w14:textId="6713D159" w:rsidR="00502D99" w:rsidRDefault="00502D99" w:rsidP="00502D99">
      <w:pPr>
        <w:pStyle w:val="PSC-bodycopy"/>
      </w:pPr>
    </w:p>
    <w:p w14:paraId="7E532C61" w14:textId="0E51AC79" w:rsidR="00502D99" w:rsidRDefault="00502D99" w:rsidP="00502D99">
      <w:pPr>
        <w:pStyle w:val="PSC-bodycopy"/>
      </w:pPr>
    </w:p>
    <w:p w14:paraId="0EA48B76" w14:textId="733A3DD3" w:rsidR="00502D99" w:rsidRDefault="00502D99" w:rsidP="00502D99">
      <w:pPr>
        <w:pStyle w:val="PSC-bodycopy"/>
      </w:pPr>
    </w:p>
    <w:p w14:paraId="279F31B6" w14:textId="4027ADD7" w:rsidR="00502D99" w:rsidRDefault="00502D99" w:rsidP="00502D99">
      <w:pPr>
        <w:pStyle w:val="PSC-bodycopy"/>
      </w:pPr>
    </w:p>
    <w:p w14:paraId="1B33B699" w14:textId="29F0D071" w:rsidR="00502D99" w:rsidRDefault="00502D99" w:rsidP="00502D99">
      <w:pPr>
        <w:pStyle w:val="PSC-bodycopy"/>
      </w:pPr>
    </w:p>
    <w:p w14:paraId="1679561F" w14:textId="7E975CEA" w:rsidR="00502D99" w:rsidRDefault="00502D99" w:rsidP="00502D99">
      <w:pPr>
        <w:pStyle w:val="PSC-bodycopy"/>
      </w:pPr>
    </w:p>
    <w:p w14:paraId="67AA5DEF" w14:textId="0DE2808E" w:rsidR="00502D99" w:rsidRDefault="00502D99" w:rsidP="00502D99">
      <w:pPr>
        <w:pStyle w:val="PSC-bodycopy"/>
      </w:pPr>
    </w:p>
    <w:p w14:paraId="63173604" w14:textId="77777777" w:rsidR="00AA2CD8" w:rsidRDefault="00AA2CD8" w:rsidP="00AA2CD8"/>
    <w:p w14:paraId="2082288D" w14:textId="6A3DE215" w:rsidR="00502D99" w:rsidRPr="00AA2CD8" w:rsidRDefault="00502D99" w:rsidP="00AA2CD8">
      <w:pPr>
        <w:rPr>
          <w:rFonts w:ascii="Arial" w:hAnsi="Arial" w:cs="Arial"/>
          <w:sz w:val="22"/>
        </w:rPr>
      </w:pPr>
      <w:r w:rsidRPr="00F91867">
        <w:rPr>
          <w:rFonts w:ascii="Arial" w:hAnsi="Arial" w:cs="Arial"/>
          <w:sz w:val="22"/>
        </w:rPr>
        <w:t>Conversations focused on outcomes may involve:</w:t>
      </w:r>
    </w:p>
    <w:p w14:paraId="3C5A6A09" w14:textId="77777777" w:rsidR="00502D99" w:rsidRDefault="00502D99" w:rsidP="00502D99">
      <w:pPr>
        <w:pStyle w:val="PSC-bodycopy"/>
      </w:pPr>
    </w:p>
    <w:p w14:paraId="73A2B9AD" w14:textId="77777777" w:rsidR="00502D99" w:rsidRPr="00502D99" w:rsidRDefault="00502D99" w:rsidP="00502D99">
      <w:pPr>
        <w:pStyle w:val="PSC-bodycopy"/>
        <w:rPr>
          <w:b/>
          <w:bCs/>
        </w:rPr>
      </w:pPr>
      <w:r w:rsidRPr="00502D99">
        <w:rPr>
          <w:b/>
          <w:bCs/>
        </w:rPr>
        <w:t xml:space="preserve">Direction setting </w:t>
      </w:r>
    </w:p>
    <w:p w14:paraId="44BA1CF4" w14:textId="77777777" w:rsidR="00502D99" w:rsidRPr="006109DB" w:rsidRDefault="00502D99" w:rsidP="00502D99">
      <w:pPr>
        <w:pStyle w:val="PSC-Bullets2"/>
      </w:pPr>
      <w:r w:rsidRPr="006109DB">
        <w:t xml:space="preserve">What do we intend to achieve and why? </w:t>
      </w:r>
    </w:p>
    <w:p w14:paraId="32F5A744" w14:textId="5AFD4201" w:rsidR="00502D99" w:rsidRPr="006109DB" w:rsidRDefault="00502D99" w:rsidP="00502D99">
      <w:pPr>
        <w:pStyle w:val="PSC-Bullets2"/>
      </w:pPr>
      <w:r w:rsidRPr="006109DB">
        <w:t>Are there broader strategies that drive or influence the work?</w:t>
      </w:r>
    </w:p>
    <w:p w14:paraId="151EA164" w14:textId="77777777" w:rsidR="00502D99" w:rsidRPr="006109DB" w:rsidRDefault="00502D99" w:rsidP="00502D99">
      <w:pPr>
        <w:pStyle w:val="PSC-Bullets2"/>
      </w:pPr>
      <w:r w:rsidRPr="006109DB">
        <w:t>What is the problem?</w:t>
      </w:r>
    </w:p>
    <w:p w14:paraId="532229F5" w14:textId="77777777" w:rsidR="00502D99" w:rsidRDefault="00502D99" w:rsidP="00502D99">
      <w:pPr>
        <w:pStyle w:val="PSC-bodycopy"/>
      </w:pPr>
    </w:p>
    <w:p w14:paraId="60B0716C" w14:textId="77777777" w:rsidR="00502D99" w:rsidRPr="00502D99" w:rsidRDefault="00502D99" w:rsidP="00502D99">
      <w:pPr>
        <w:pStyle w:val="PSC-bodycopy"/>
        <w:rPr>
          <w:b/>
          <w:bCs/>
        </w:rPr>
      </w:pPr>
      <w:r w:rsidRPr="00502D99">
        <w:rPr>
          <w:b/>
          <w:bCs/>
        </w:rPr>
        <w:lastRenderedPageBreak/>
        <w:t xml:space="preserve">Planning and design </w:t>
      </w:r>
    </w:p>
    <w:p w14:paraId="6BFC18C5" w14:textId="7A7C33EA" w:rsidR="00502D99" w:rsidRPr="006109DB" w:rsidRDefault="00502D99" w:rsidP="00502D99">
      <w:pPr>
        <w:pStyle w:val="PSC-Bullets2"/>
      </w:pPr>
      <w:r w:rsidRPr="006109DB">
        <w:t xml:space="preserve">What is the best way to achieve </w:t>
      </w:r>
      <w:r w:rsidR="00F91867" w:rsidRPr="006109DB">
        <w:t>this,</w:t>
      </w:r>
      <w:r w:rsidRPr="006109DB">
        <w:t xml:space="preserve"> and have we got the required capability</w:t>
      </w:r>
      <w:r>
        <w:t xml:space="preserve"> and capacity</w:t>
      </w:r>
      <w:r w:rsidRPr="006109DB">
        <w:t>?</w:t>
      </w:r>
    </w:p>
    <w:p w14:paraId="414F23EB" w14:textId="77777777" w:rsidR="00502D99" w:rsidRPr="006109DB" w:rsidRDefault="00502D99" w:rsidP="00502D99">
      <w:pPr>
        <w:pStyle w:val="PSC-Bullets2"/>
      </w:pPr>
      <w:r w:rsidRPr="006109DB">
        <w:t xml:space="preserve">How can we engage and reflect the relevant diverse stakeholder voices? </w:t>
      </w:r>
    </w:p>
    <w:p w14:paraId="1421CD02" w14:textId="77777777" w:rsidR="00502D99" w:rsidRPr="006109DB" w:rsidRDefault="00502D99" w:rsidP="00502D99">
      <w:pPr>
        <w:pStyle w:val="PSC-Bullets2"/>
      </w:pPr>
      <w:r w:rsidRPr="006109DB">
        <w:t xml:space="preserve">What are the best indicators of success? </w:t>
      </w:r>
    </w:p>
    <w:p w14:paraId="6FC28902" w14:textId="77777777" w:rsidR="00502D99" w:rsidRDefault="00502D99" w:rsidP="00502D99">
      <w:pPr>
        <w:pStyle w:val="PSC-Bullets2"/>
      </w:pPr>
      <w:r w:rsidRPr="006109DB">
        <w:t>How can we ensure flexib</w:t>
      </w:r>
      <w:r>
        <w:t>ility</w:t>
      </w:r>
      <w:r w:rsidRPr="006109DB">
        <w:t xml:space="preserve"> and agility in delivery?</w:t>
      </w:r>
    </w:p>
    <w:p w14:paraId="150F1647" w14:textId="77777777" w:rsidR="00502D99" w:rsidRPr="006109DB" w:rsidRDefault="00502D99" w:rsidP="00502D99">
      <w:pPr>
        <w:pStyle w:val="PSC-Bullets2"/>
      </w:pPr>
      <w:r>
        <w:t xml:space="preserve">What are our strengths to leverage and challenges to address? </w:t>
      </w:r>
    </w:p>
    <w:p w14:paraId="7ED661B4" w14:textId="77777777" w:rsidR="00502D99" w:rsidRDefault="00502D99" w:rsidP="00502D99">
      <w:pPr>
        <w:pStyle w:val="PSC-bodycopy"/>
      </w:pPr>
    </w:p>
    <w:p w14:paraId="016F3446" w14:textId="77777777" w:rsidR="00502D99" w:rsidRPr="00502D99" w:rsidRDefault="00502D99" w:rsidP="00502D99">
      <w:pPr>
        <w:pStyle w:val="PSC-bodycopy"/>
        <w:rPr>
          <w:b/>
          <w:bCs/>
        </w:rPr>
      </w:pPr>
      <w:r w:rsidRPr="00502D99">
        <w:rPr>
          <w:b/>
          <w:bCs/>
        </w:rPr>
        <w:t xml:space="preserve">Implementation and delivery </w:t>
      </w:r>
    </w:p>
    <w:p w14:paraId="22351AE7" w14:textId="77777777" w:rsidR="00502D99" w:rsidRPr="00502D99" w:rsidRDefault="00502D99" w:rsidP="00502D99">
      <w:pPr>
        <w:pStyle w:val="PSC-Bullets2"/>
      </w:pPr>
      <w:r w:rsidRPr="00502D99">
        <w:t>Are we implementing and delivering as planned, and managing our capability and risk effectively?</w:t>
      </w:r>
    </w:p>
    <w:p w14:paraId="6A55CF9B" w14:textId="77777777" w:rsidR="00502D99" w:rsidRPr="00502D99" w:rsidRDefault="00502D99" w:rsidP="00502D99">
      <w:pPr>
        <w:pStyle w:val="PSC-Bullets2"/>
      </w:pPr>
      <w:r w:rsidRPr="00502D99">
        <w:t>What progress have we made so far and what adjustments are needed to progress further?</w:t>
      </w:r>
    </w:p>
    <w:p w14:paraId="790A61C8" w14:textId="77777777" w:rsidR="00502D99" w:rsidRPr="00502D99" w:rsidRDefault="00502D99" w:rsidP="00502D99">
      <w:pPr>
        <w:pStyle w:val="PSC-Bullets2"/>
      </w:pPr>
      <w:r w:rsidRPr="00502D99">
        <w:t>Are we delivering in a manner that is consistent with public service ethics, values and standards while meeting standards of timeliness, quality and accuracy?</w:t>
      </w:r>
    </w:p>
    <w:p w14:paraId="1E56308B" w14:textId="77777777" w:rsidR="00502D99" w:rsidRDefault="00502D99" w:rsidP="00502D99">
      <w:pPr>
        <w:pStyle w:val="PSC-bodycopy"/>
      </w:pPr>
    </w:p>
    <w:p w14:paraId="6B90F3C6" w14:textId="77777777" w:rsidR="00502D99" w:rsidRPr="00502D99" w:rsidRDefault="00502D99" w:rsidP="00502D99">
      <w:pPr>
        <w:pStyle w:val="PSC-bodycopy"/>
        <w:rPr>
          <w:b/>
          <w:bCs/>
        </w:rPr>
      </w:pPr>
      <w:r w:rsidRPr="00502D99">
        <w:rPr>
          <w:b/>
          <w:bCs/>
        </w:rPr>
        <w:t>Review</w:t>
      </w:r>
    </w:p>
    <w:p w14:paraId="32E4E45F" w14:textId="77777777" w:rsidR="00502D99" w:rsidRPr="006109DB" w:rsidRDefault="00502D99" w:rsidP="00502D99">
      <w:pPr>
        <w:pStyle w:val="PSC-Bullets2"/>
      </w:pPr>
      <w:r w:rsidRPr="006109DB">
        <w:t>Wh</w:t>
      </w:r>
      <w:r>
        <w:t>at impact have we</w:t>
      </w:r>
      <w:r w:rsidRPr="006109DB">
        <w:t xml:space="preserve"> had and what improvements can we make? </w:t>
      </w:r>
    </w:p>
    <w:p w14:paraId="1219EAA7" w14:textId="77777777" w:rsidR="00502D99" w:rsidRDefault="00502D99" w:rsidP="00502D99">
      <w:pPr>
        <w:pStyle w:val="PSC-Bullets2"/>
      </w:pPr>
      <w:r w:rsidRPr="006109DB">
        <w:t>Are there any unintended consequences to consider?</w:t>
      </w:r>
      <w:r>
        <w:t xml:space="preserve"> </w:t>
      </w:r>
    </w:p>
    <w:p w14:paraId="074BCFDB" w14:textId="77777777" w:rsidR="00502D99" w:rsidRDefault="00502D99" w:rsidP="00502D99">
      <w:pPr>
        <w:pStyle w:val="PSC-bodycopy"/>
        <w:rPr>
          <w:highlight w:val="magenta"/>
        </w:rPr>
      </w:pPr>
    </w:p>
    <w:p w14:paraId="0271A71B" w14:textId="0CE2610C" w:rsidR="00502D99" w:rsidRDefault="00F91867" w:rsidP="00502D99">
      <w:pPr>
        <w:pStyle w:val="PSC-bodycopy"/>
        <w:rPr>
          <w:szCs w:val="20"/>
        </w:rPr>
      </w:pPr>
      <w:r>
        <w:rPr>
          <w:szCs w:val="20"/>
        </w:rPr>
        <w:t xml:space="preserve">You can visit the </w:t>
      </w:r>
      <w:hyperlink r:id="rId10" w:history="1">
        <w:r w:rsidRPr="00F91867">
          <w:rPr>
            <w:rStyle w:val="Hyperlink"/>
            <w:szCs w:val="20"/>
          </w:rPr>
          <w:t>positive performance management webpages</w:t>
        </w:r>
      </w:hyperlink>
      <w:r>
        <w:rPr>
          <w:szCs w:val="20"/>
        </w:rPr>
        <w:t xml:space="preserve"> for a range of information to support individuals to achieve performance goals and be the best they can be.</w:t>
      </w:r>
    </w:p>
    <w:p w14:paraId="63B1B8F0" w14:textId="250ED13D" w:rsidR="008C4C1C" w:rsidRDefault="008C4C1C" w:rsidP="00502D99">
      <w:pPr>
        <w:pStyle w:val="PSC-bodycopy"/>
        <w:rPr>
          <w:szCs w:val="20"/>
        </w:rPr>
      </w:pPr>
    </w:p>
    <w:p w14:paraId="447DD439" w14:textId="3F077431" w:rsidR="008C4C1C" w:rsidRPr="00E47AFD" w:rsidRDefault="00D871B9" w:rsidP="00502D99">
      <w:pPr>
        <w:pStyle w:val="PSC-bodycopy"/>
        <w:rPr>
          <w:szCs w:val="20"/>
        </w:rPr>
      </w:pPr>
      <w:r>
        <w:rPr>
          <w:szCs w:val="20"/>
        </w:rPr>
        <w:t xml:space="preserve">Information on </w:t>
      </w:r>
      <w:hyperlink r:id="rId11" w:history="1">
        <w:r>
          <w:rPr>
            <w:rStyle w:val="Hyperlink"/>
            <w:szCs w:val="20"/>
          </w:rPr>
          <w:t>c</w:t>
        </w:r>
        <w:r w:rsidR="008C4C1C" w:rsidRPr="00D871B9">
          <w:rPr>
            <w:rStyle w:val="Hyperlink"/>
            <w:szCs w:val="20"/>
          </w:rPr>
          <w:t>ase studies and pilots</w:t>
        </w:r>
      </w:hyperlink>
      <w:r w:rsidR="00102A89">
        <w:rPr>
          <w:szCs w:val="20"/>
        </w:rPr>
        <w:t xml:space="preserve"> are also available. </w:t>
      </w:r>
    </w:p>
    <w:p w14:paraId="456A7C30" w14:textId="212B048C" w:rsidR="00502D99" w:rsidRDefault="00502D99" w:rsidP="00502D99">
      <w:pPr>
        <w:pStyle w:val="PSC-bodycopy"/>
      </w:pPr>
    </w:p>
    <w:p w14:paraId="0A5A30CD" w14:textId="410ED5F4" w:rsidR="00502D99" w:rsidRDefault="00502D99" w:rsidP="00502D99">
      <w:pPr>
        <w:pStyle w:val="PSC-bodycopy"/>
      </w:pPr>
    </w:p>
    <w:p w14:paraId="185C2B23" w14:textId="1CA1C876" w:rsidR="00F34B3C" w:rsidRPr="00502D99" w:rsidRDefault="00F34B3C" w:rsidP="00502D99">
      <w:pPr>
        <w:pStyle w:val="PSC-bodycopy"/>
      </w:pPr>
    </w:p>
    <w:sectPr w:rsidR="00F34B3C" w:rsidRPr="00502D99" w:rsidSect="00A818A0">
      <w:headerReference w:type="default" r:id="rId12"/>
      <w:footerReference w:type="even" r:id="rId13"/>
      <w:footerReference w:type="default" r:id="rId14"/>
      <w:headerReference w:type="first" r:id="rId15"/>
      <w:footerReference w:type="first" r:id="rId16"/>
      <w:pgSz w:w="11900" w:h="16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D06D" w14:textId="77777777" w:rsidR="006471B0" w:rsidRDefault="006471B0">
      <w:r>
        <w:separator/>
      </w:r>
    </w:p>
  </w:endnote>
  <w:endnote w:type="continuationSeparator" w:id="0">
    <w:p w14:paraId="7498692E" w14:textId="77777777" w:rsidR="006471B0" w:rsidRDefault="0064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Bold">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98693"/>
      <w:docPartObj>
        <w:docPartGallery w:val="Page Numbers (Bottom of Page)"/>
        <w:docPartUnique/>
      </w:docPartObj>
    </w:sdtPr>
    <w:sdtEndPr>
      <w:rPr>
        <w:rStyle w:val="PageNumber"/>
      </w:rPr>
    </w:sdtEndPr>
    <w:sdtContent>
      <w:p w14:paraId="63D91FD2" w14:textId="77777777" w:rsidR="00007EFA" w:rsidRDefault="00875901" w:rsidP="00E202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1BA69EDF" w14:textId="77777777" w:rsidR="00007EFA" w:rsidRDefault="00875901" w:rsidP="00007EF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93D9" w14:textId="77777777" w:rsidR="00007EFA" w:rsidRDefault="006471B0" w:rsidP="00007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27E3A79B" w14:textId="43998623" w:rsidR="00007EFA" w:rsidRPr="00007EFA" w:rsidRDefault="00875901" w:rsidP="00007EFA">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r w:rsidR="0042232B">
          <w:rPr>
            <w:rStyle w:val="PageNumber"/>
            <w:rFonts w:ascii="Arial" w:hAnsi="Arial" w:cs="Arial"/>
            <w:b/>
            <w:bCs/>
            <w:color w:val="007A6D"/>
            <w:sz w:val="22"/>
            <w:szCs w:val="22"/>
          </w:rPr>
          <w:t xml:space="preserve"> </w:t>
        </w:r>
      </w:p>
    </w:sdtContent>
  </w:sdt>
  <w:p w14:paraId="63A1B3C2" w14:textId="768B6206" w:rsidR="00007EFA" w:rsidRPr="00877C9C" w:rsidRDefault="0042232B" w:rsidP="00EC07EB">
    <w:pPr>
      <w:pStyle w:val="Footer"/>
      <w:ind w:left="-284" w:right="360"/>
      <w:rPr>
        <w:rFonts w:ascii="Arial" w:hAnsi="Arial" w:cs="Arial"/>
        <w:b/>
        <w:bCs/>
        <w:color w:val="007A6D"/>
        <w:sz w:val="22"/>
        <w:szCs w:val="22"/>
      </w:rPr>
    </w:pPr>
    <w:r>
      <w:rPr>
        <w:rFonts w:ascii="Arial" w:hAnsi="Arial" w:cs="Arial"/>
        <w:b/>
        <w:bCs/>
        <w:color w:val="007A6D"/>
        <w:sz w:val="22"/>
      </w:rPr>
      <w:t xml:space="preserve">     </w:t>
    </w:r>
    <w:r w:rsidR="00875901" w:rsidRPr="00877C9C">
      <w:rPr>
        <w:rFonts w:ascii="Arial" w:hAnsi="Arial" w:cs="Arial"/>
        <w:b/>
        <w:bCs/>
        <w:color w:val="007A6D"/>
        <w:sz w:val="22"/>
      </w:rPr>
      <w:t xml:space="preserve">| </w:t>
    </w:r>
    <w:r>
      <w:rPr>
        <w:rFonts w:ascii="Arial" w:hAnsi="Arial" w:cs="Arial"/>
        <w:b/>
        <w:bCs/>
        <w:color w:val="007A6D"/>
        <w:sz w:val="22"/>
      </w:rPr>
      <w:t xml:space="preserve">  </w:t>
    </w:r>
    <w:r w:rsidR="00DF72E0">
      <w:rPr>
        <w:rFonts w:ascii="Arial" w:hAnsi="Arial" w:cs="Arial"/>
        <w:b/>
        <w:bCs/>
        <w:color w:val="007A6D"/>
        <w:sz w:val="22"/>
        <w:szCs w:val="22"/>
      </w:rPr>
      <w:t>Employees guide to negotiating flexible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C6A3" w14:textId="77777777" w:rsidR="00007EFA" w:rsidRPr="00EC07EB" w:rsidRDefault="00875901" w:rsidP="006B312D">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77961967" w14:textId="212FE3B4" w:rsidR="00007EFA" w:rsidRPr="00007EFA" w:rsidRDefault="0042232B" w:rsidP="006B312D">
    <w:pPr>
      <w:pStyle w:val="Footer"/>
      <w:ind w:left="-567"/>
      <w:rPr>
        <w:rFonts w:ascii="Arial" w:hAnsi="Arial" w:cs="Arial"/>
        <w:color w:val="007A6D"/>
        <w:sz w:val="22"/>
        <w:szCs w:val="22"/>
      </w:rPr>
    </w:pPr>
    <w:r>
      <w:rPr>
        <w:rFonts w:ascii="Arial" w:hAnsi="Arial" w:cs="Arial"/>
        <w:b/>
        <w:bCs/>
        <w:color w:val="007A6D"/>
        <w:sz w:val="22"/>
        <w:szCs w:val="22"/>
      </w:rPr>
      <w:t xml:space="preserve">     </w:t>
    </w:r>
    <w:r w:rsidR="00875901" w:rsidRPr="00007EFA">
      <w:rPr>
        <w:rFonts w:ascii="Arial" w:hAnsi="Arial" w:cs="Arial"/>
        <w:b/>
        <w:bCs/>
        <w:color w:val="007A6D"/>
        <w:sz w:val="22"/>
        <w:szCs w:val="22"/>
      </w:rPr>
      <w:t xml:space="preserve">|  </w:t>
    </w:r>
    <w:r>
      <w:rPr>
        <w:rFonts w:ascii="Arial" w:hAnsi="Arial" w:cs="Arial"/>
        <w:b/>
        <w:bCs/>
        <w:color w:val="007A6D"/>
        <w:sz w:val="22"/>
        <w:szCs w:val="22"/>
      </w:rPr>
      <w:t xml:space="preserve"> </w:t>
    </w:r>
    <w:bookmarkStart w:id="0" w:name="_Hlk70080479"/>
    <w:r w:rsidR="00DF72E0">
      <w:rPr>
        <w:rFonts w:ascii="Arial" w:hAnsi="Arial" w:cs="Arial"/>
        <w:b/>
        <w:bCs/>
        <w:color w:val="007A6D"/>
        <w:sz w:val="22"/>
        <w:szCs w:val="22"/>
      </w:rPr>
      <w:t>Employees</w:t>
    </w:r>
    <w:r w:rsidR="005A7FAE">
      <w:rPr>
        <w:rFonts w:ascii="Arial" w:hAnsi="Arial" w:cs="Arial"/>
        <w:b/>
        <w:bCs/>
        <w:color w:val="007A6D"/>
        <w:sz w:val="22"/>
        <w:szCs w:val="22"/>
      </w:rPr>
      <w:t xml:space="preserve"> guide to </w:t>
    </w:r>
    <w:r w:rsidR="00DF72E0">
      <w:rPr>
        <w:rFonts w:ascii="Arial" w:hAnsi="Arial" w:cs="Arial"/>
        <w:b/>
        <w:bCs/>
        <w:color w:val="007A6D"/>
        <w:sz w:val="22"/>
        <w:szCs w:val="22"/>
      </w:rPr>
      <w:t>negotiating</w:t>
    </w:r>
    <w:r w:rsidR="005A7FAE">
      <w:rPr>
        <w:rFonts w:ascii="Arial" w:hAnsi="Arial" w:cs="Arial"/>
        <w:b/>
        <w:bCs/>
        <w:color w:val="007A6D"/>
        <w:sz w:val="22"/>
        <w:szCs w:val="22"/>
      </w:rPr>
      <w:t xml:space="preserve"> flexible work</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642D" w14:textId="77777777" w:rsidR="006471B0" w:rsidRDefault="006471B0">
      <w:r>
        <w:separator/>
      </w:r>
    </w:p>
  </w:footnote>
  <w:footnote w:type="continuationSeparator" w:id="0">
    <w:p w14:paraId="64F7C448" w14:textId="77777777" w:rsidR="006471B0" w:rsidRDefault="0064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0904" w14:textId="77777777" w:rsidR="008442F7" w:rsidRDefault="00875901">
    <w:pPr>
      <w:pStyle w:val="Header"/>
    </w:pPr>
    <w:r>
      <w:rPr>
        <w:noProof/>
      </w:rPr>
      <w:drawing>
        <wp:anchor distT="0" distB="0" distL="114300" distR="114300" simplePos="0" relativeHeight="251659264" behindDoc="1" locked="1" layoutInCell="1" allowOverlap="1" wp14:anchorId="07E2E94A" wp14:editId="271C79ED">
          <wp:simplePos x="0" y="0"/>
          <wp:positionH relativeFrom="page">
            <wp:align>center</wp:align>
          </wp:positionH>
          <wp:positionV relativeFrom="page">
            <wp:align>top</wp:align>
          </wp:positionV>
          <wp:extent cx="7560000" cy="10695600"/>
          <wp:effectExtent l="0" t="0" r="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D054" w14:textId="77777777" w:rsidR="008442F7" w:rsidRDefault="00875901" w:rsidP="006B312D">
    <w:pPr>
      <w:pStyle w:val="Header"/>
    </w:pPr>
    <w:r>
      <w:rPr>
        <w:noProof/>
      </w:rPr>
      <w:drawing>
        <wp:anchor distT="0" distB="0" distL="114300" distR="114300" simplePos="0" relativeHeight="251660288" behindDoc="1" locked="1" layoutInCell="1" allowOverlap="1" wp14:anchorId="0A7E3BDD" wp14:editId="5AED5357">
          <wp:simplePos x="0" y="0"/>
          <wp:positionH relativeFrom="page">
            <wp:align>center</wp:align>
          </wp:positionH>
          <wp:positionV relativeFrom="page">
            <wp:align>top</wp:align>
          </wp:positionV>
          <wp:extent cx="7560000" cy="106956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018C"/>
    <w:multiLevelType w:val="hybridMultilevel"/>
    <w:tmpl w:val="EEE2D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2" w15:restartNumberingAfterBreak="0">
    <w:nsid w:val="191D1FF5"/>
    <w:multiLevelType w:val="hybridMultilevel"/>
    <w:tmpl w:val="76E00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5" w15:restartNumberingAfterBreak="0">
    <w:nsid w:val="2A2B5E19"/>
    <w:multiLevelType w:val="hybridMultilevel"/>
    <w:tmpl w:val="5A82C36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2B9C3C85"/>
    <w:multiLevelType w:val="hybridMultilevel"/>
    <w:tmpl w:val="F8F4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983122"/>
    <w:multiLevelType w:val="hybridMultilevel"/>
    <w:tmpl w:val="5CA4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E3411"/>
    <w:multiLevelType w:val="hybridMultilevel"/>
    <w:tmpl w:val="573E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95ED0"/>
    <w:multiLevelType w:val="hybridMultilevel"/>
    <w:tmpl w:val="3998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A75B6"/>
    <w:multiLevelType w:val="hybridMultilevel"/>
    <w:tmpl w:val="2C121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 w:numId="9">
    <w:abstractNumId w:val="3"/>
  </w:num>
  <w:num w:numId="10">
    <w:abstractNumId w:val="3"/>
  </w:num>
  <w:num w:numId="11">
    <w:abstractNumId w:val="11"/>
  </w:num>
  <w:num w:numId="12">
    <w:abstractNumId w:val="8"/>
  </w:num>
  <w:num w:numId="13">
    <w:abstractNumId w:val="6"/>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1"/>
    <w:rsid w:val="0002790C"/>
    <w:rsid w:val="00080FCC"/>
    <w:rsid w:val="000C46FE"/>
    <w:rsid w:val="000C77EF"/>
    <w:rsid w:val="000E674B"/>
    <w:rsid w:val="00100FA6"/>
    <w:rsid w:val="00102A89"/>
    <w:rsid w:val="00104112"/>
    <w:rsid w:val="001C7236"/>
    <w:rsid w:val="00226CFE"/>
    <w:rsid w:val="00236654"/>
    <w:rsid w:val="00237A9B"/>
    <w:rsid w:val="00251C98"/>
    <w:rsid w:val="002B32CA"/>
    <w:rsid w:val="002B594C"/>
    <w:rsid w:val="002E0984"/>
    <w:rsid w:val="00345255"/>
    <w:rsid w:val="00353A6B"/>
    <w:rsid w:val="003542F0"/>
    <w:rsid w:val="0035475B"/>
    <w:rsid w:val="0037658C"/>
    <w:rsid w:val="003927F1"/>
    <w:rsid w:val="0042232B"/>
    <w:rsid w:val="00495945"/>
    <w:rsid w:val="004C5B2E"/>
    <w:rsid w:val="004D6C62"/>
    <w:rsid w:val="004F1434"/>
    <w:rsid w:val="00502D99"/>
    <w:rsid w:val="005260BF"/>
    <w:rsid w:val="00547C6D"/>
    <w:rsid w:val="00563F65"/>
    <w:rsid w:val="005A7FAE"/>
    <w:rsid w:val="006158DA"/>
    <w:rsid w:val="006471B0"/>
    <w:rsid w:val="0067656F"/>
    <w:rsid w:val="00694DBA"/>
    <w:rsid w:val="006B39AE"/>
    <w:rsid w:val="00715AF5"/>
    <w:rsid w:val="00733584"/>
    <w:rsid w:val="00795625"/>
    <w:rsid w:val="00796DA9"/>
    <w:rsid w:val="007D01EF"/>
    <w:rsid w:val="007E6DCE"/>
    <w:rsid w:val="007E7F9D"/>
    <w:rsid w:val="00875901"/>
    <w:rsid w:val="008763DD"/>
    <w:rsid w:val="008B5996"/>
    <w:rsid w:val="008C4C1C"/>
    <w:rsid w:val="008D3EC0"/>
    <w:rsid w:val="008E2524"/>
    <w:rsid w:val="00942EFD"/>
    <w:rsid w:val="009A6DEF"/>
    <w:rsid w:val="009D2E4B"/>
    <w:rsid w:val="00A62473"/>
    <w:rsid w:val="00A64BDB"/>
    <w:rsid w:val="00A70804"/>
    <w:rsid w:val="00A818A0"/>
    <w:rsid w:val="00A867C8"/>
    <w:rsid w:val="00AA2CD8"/>
    <w:rsid w:val="00AD6AC4"/>
    <w:rsid w:val="00B014D6"/>
    <w:rsid w:val="00B938F2"/>
    <w:rsid w:val="00BD4A42"/>
    <w:rsid w:val="00C00D0F"/>
    <w:rsid w:val="00C13A7C"/>
    <w:rsid w:val="00C1784C"/>
    <w:rsid w:val="00C722D1"/>
    <w:rsid w:val="00CA72E5"/>
    <w:rsid w:val="00CE094D"/>
    <w:rsid w:val="00CE525B"/>
    <w:rsid w:val="00CF794E"/>
    <w:rsid w:val="00D3742B"/>
    <w:rsid w:val="00D67627"/>
    <w:rsid w:val="00D871B9"/>
    <w:rsid w:val="00D921DB"/>
    <w:rsid w:val="00DC358B"/>
    <w:rsid w:val="00DF72E0"/>
    <w:rsid w:val="00E07530"/>
    <w:rsid w:val="00E44D3A"/>
    <w:rsid w:val="00E8430D"/>
    <w:rsid w:val="00EB7753"/>
    <w:rsid w:val="00EE4D16"/>
    <w:rsid w:val="00F02D7B"/>
    <w:rsid w:val="00F23ECB"/>
    <w:rsid w:val="00F34B3C"/>
    <w:rsid w:val="00F91867"/>
    <w:rsid w:val="00F966AB"/>
    <w:rsid w:val="00FC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9AD"/>
  <w15:chartTrackingRefBased/>
  <w15:docId w15:val="{50D0217A-9E99-D949-9A07-02A04B4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6F"/>
  </w:style>
  <w:style w:type="paragraph" w:styleId="Heading2">
    <w:name w:val="heading 2"/>
    <w:next w:val="BodyText"/>
    <w:link w:val="Heading2Char"/>
    <w:qFormat/>
    <w:rsid w:val="007E6DCE"/>
    <w:pPr>
      <w:keepNext/>
      <w:spacing w:before="240" w:after="120"/>
      <w:outlineLvl w:val="1"/>
    </w:pPr>
    <w:rPr>
      <w:rFonts w:ascii="Arial" w:eastAsia="Times New Roman" w:hAnsi="Arial" w:cs="Times New Roman"/>
      <w:lang w:eastAsia="en-AU"/>
    </w:rPr>
  </w:style>
  <w:style w:type="paragraph" w:styleId="Heading4">
    <w:name w:val="heading 4"/>
    <w:basedOn w:val="Normal"/>
    <w:next w:val="Normal"/>
    <w:link w:val="Heading4Char"/>
    <w:uiPriority w:val="9"/>
    <w:semiHidden/>
    <w:unhideWhenUsed/>
    <w:qFormat/>
    <w:rsid w:val="00796DA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D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875901"/>
    <w:pPr>
      <w:pBdr>
        <w:bottom w:val="single" w:sz="36" w:space="1"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875901"/>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875901"/>
    <w:rPr>
      <w:rFonts w:ascii="Arial" w:hAnsi="Arial" w:cs="Arial"/>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6158DA"/>
    <w:pPr>
      <w:numPr>
        <w:numId w:val="2"/>
      </w:numPr>
      <w:spacing w:before="120" w:after="120"/>
      <w:contextualSpacing w:val="0"/>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link w:val="ListParagraphChar"/>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styleId="GridTable6Colou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StyleV0-01">
    <w:name w:val="PSC Table Style V0-01"/>
    <w:basedOn w:val="TableNormal"/>
    <w:next w:val="TableGrid"/>
    <w:uiPriority w:val="39"/>
    <w:rsid w:val="00F02D7B"/>
    <w:rPr>
      <w:rFonts w:ascii="Arial" w:hAnsi="Arial"/>
      <w:sz w:val="20"/>
    </w:rPr>
    <w:tblPr>
      <w:tblBorders>
        <w:top w:val="single" w:sz="4" w:space="0" w:color="C0E5DE"/>
        <w:bottom w:val="single" w:sz="4" w:space="0" w:color="C0E5DE"/>
        <w:insideH w:val="single" w:sz="4" w:space="0" w:color="C0E5DE"/>
        <w:insideV w:val="single" w:sz="4" w:space="0" w:color="C0E5DE"/>
      </w:tblBorders>
    </w:tblPr>
    <w:tcPr>
      <w:tcMar>
        <w:top w:w="108" w:type="dxa"/>
        <w:bottom w:w="108" w:type="dxa"/>
      </w:tcMar>
    </w:tcPr>
    <w:tblStylePr w:type="firstRow">
      <w:rPr>
        <w:rFonts w:ascii="Arial" w:hAnsi="Arial"/>
        <w:b/>
        <w:sz w:val="20"/>
      </w:rPr>
      <w:tblPr/>
      <w:tcPr>
        <w:tcBorders>
          <w:top w:val="nil"/>
          <w:bottom w:val="single" w:sz="18" w:space="0" w:color="C0E5DE"/>
        </w:tcBorders>
      </w:tcPr>
    </w:tblStylePr>
  </w:style>
  <w:style w:type="character" w:styleId="Hyperlink">
    <w:name w:val="Hyperlink"/>
    <w:uiPriority w:val="99"/>
    <w:rsid w:val="003542F0"/>
    <w:rPr>
      <w:color w:val="auto"/>
      <w:u w:val="single"/>
    </w:rPr>
  </w:style>
  <w:style w:type="paragraph" w:customStyle="1" w:styleId="Bodycopy">
    <w:name w:val="Body copy"/>
    <w:basedOn w:val="Normal"/>
    <w:link w:val="BodycopyChar"/>
    <w:qFormat/>
    <w:rsid w:val="00694DBA"/>
    <w:rPr>
      <w:rFonts w:ascii="Arial" w:eastAsia="Times New Roman" w:hAnsi="Arial" w:cs="Times New Roman"/>
      <w:sz w:val="22"/>
      <w:lang w:eastAsia="en-AU"/>
    </w:rPr>
  </w:style>
  <w:style w:type="character" w:customStyle="1" w:styleId="BodycopyChar">
    <w:name w:val="Body copy Char"/>
    <w:link w:val="Bodycopy"/>
    <w:rsid w:val="00694DBA"/>
    <w:rPr>
      <w:rFonts w:ascii="Arial" w:eastAsia="Times New Roman" w:hAnsi="Arial" w:cs="Times New Roman"/>
      <w:sz w:val="22"/>
      <w:lang w:eastAsia="en-AU"/>
    </w:rPr>
  </w:style>
  <w:style w:type="character" w:styleId="FollowedHyperlink">
    <w:name w:val="FollowedHyperlink"/>
    <w:basedOn w:val="DefaultParagraphFont"/>
    <w:uiPriority w:val="99"/>
    <w:semiHidden/>
    <w:unhideWhenUsed/>
    <w:rsid w:val="00694DBA"/>
    <w:rPr>
      <w:color w:val="954F72" w:themeColor="followedHyperlink"/>
      <w:u w:val="single"/>
    </w:rPr>
  </w:style>
  <w:style w:type="paragraph" w:styleId="BodyText">
    <w:name w:val="Body Text"/>
    <w:basedOn w:val="Normal"/>
    <w:link w:val="BodyTextChar"/>
    <w:rsid w:val="007E6DCE"/>
    <w:pPr>
      <w:spacing w:before="120" w:after="120" w:line="276" w:lineRule="auto"/>
    </w:pPr>
    <w:rPr>
      <w:rFonts w:ascii="Arial" w:eastAsia="Times New Roman" w:hAnsi="Arial" w:cs="Times New Roman"/>
      <w:sz w:val="22"/>
      <w:lang w:eastAsia="en-AU"/>
    </w:rPr>
  </w:style>
  <w:style w:type="character" w:customStyle="1" w:styleId="BodyTextChar">
    <w:name w:val="Body Text Char"/>
    <w:basedOn w:val="DefaultParagraphFont"/>
    <w:link w:val="BodyText"/>
    <w:rsid w:val="007E6DCE"/>
    <w:rPr>
      <w:rFonts w:ascii="Arial" w:eastAsia="Times New Roman" w:hAnsi="Arial" w:cs="Times New Roman"/>
      <w:sz w:val="22"/>
      <w:lang w:eastAsia="en-AU"/>
    </w:rPr>
  </w:style>
  <w:style w:type="character" w:customStyle="1" w:styleId="Heading2Char">
    <w:name w:val="Heading 2 Char"/>
    <w:basedOn w:val="DefaultParagraphFont"/>
    <w:link w:val="Heading2"/>
    <w:rsid w:val="007E6DCE"/>
    <w:rPr>
      <w:rFonts w:ascii="Arial" w:eastAsia="Times New Roman" w:hAnsi="Arial" w:cs="Times New Roman"/>
      <w:lang w:eastAsia="en-AU"/>
    </w:rPr>
  </w:style>
  <w:style w:type="character" w:customStyle="1" w:styleId="ListParagraphChar">
    <w:name w:val="List Paragraph Char"/>
    <w:link w:val="ListParagraph"/>
    <w:uiPriority w:val="34"/>
    <w:locked/>
    <w:rsid w:val="007E6DCE"/>
  </w:style>
  <w:style w:type="character" w:styleId="UnresolvedMention">
    <w:name w:val="Unresolved Mention"/>
    <w:basedOn w:val="DefaultParagraphFont"/>
    <w:uiPriority w:val="99"/>
    <w:semiHidden/>
    <w:unhideWhenUsed/>
    <w:rsid w:val="007E6DCE"/>
    <w:rPr>
      <w:color w:val="605E5C"/>
      <w:shd w:val="clear" w:color="auto" w:fill="E1DFDD"/>
    </w:rPr>
  </w:style>
  <w:style w:type="paragraph" w:customStyle="1" w:styleId="TableParagraph">
    <w:name w:val="Table Paragraph"/>
    <w:basedOn w:val="Normal"/>
    <w:uiPriority w:val="1"/>
    <w:qFormat/>
    <w:rsid w:val="0067656F"/>
    <w:pPr>
      <w:widowControl w:val="0"/>
    </w:pPr>
    <w:rPr>
      <w:sz w:val="22"/>
      <w:szCs w:val="22"/>
      <w:lang w:val="en-US"/>
    </w:rPr>
  </w:style>
  <w:style w:type="character" w:customStyle="1" w:styleId="Heading5Char">
    <w:name w:val="Heading 5 Char"/>
    <w:basedOn w:val="DefaultParagraphFont"/>
    <w:link w:val="Heading5"/>
    <w:uiPriority w:val="9"/>
    <w:semiHidden/>
    <w:rsid w:val="00796DA9"/>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796DA9"/>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F91867"/>
    <w:rPr>
      <w:sz w:val="16"/>
      <w:szCs w:val="16"/>
    </w:rPr>
  </w:style>
  <w:style w:type="paragraph" w:styleId="CommentText">
    <w:name w:val="annotation text"/>
    <w:basedOn w:val="Normal"/>
    <w:link w:val="CommentTextChar"/>
    <w:uiPriority w:val="99"/>
    <w:unhideWhenUsed/>
    <w:rsid w:val="00F91867"/>
    <w:rPr>
      <w:sz w:val="20"/>
      <w:szCs w:val="20"/>
    </w:rPr>
  </w:style>
  <w:style w:type="character" w:customStyle="1" w:styleId="CommentTextChar">
    <w:name w:val="Comment Text Char"/>
    <w:basedOn w:val="DefaultParagraphFont"/>
    <w:link w:val="CommentText"/>
    <w:uiPriority w:val="99"/>
    <w:rsid w:val="00F91867"/>
    <w:rPr>
      <w:sz w:val="20"/>
      <w:szCs w:val="20"/>
    </w:rPr>
  </w:style>
  <w:style w:type="paragraph" w:styleId="CommentSubject">
    <w:name w:val="annotation subject"/>
    <w:basedOn w:val="CommentText"/>
    <w:next w:val="CommentText"/>
    <w:link w:val="CommentSubjectChar"/>
    <w:uiPriority w:val="99"/>
    <w:semiHidden/>
    <w:unhideWhenUsed/>
    <w:rsid w:val="00F91867"/>
    <w:rPr>
      <w:b/>
      <w:bCs/>
    </w:rPr>
  </w:style>
  <w:style w:type="character" w:customStyle="1" w:styleId="CommentSubjectChar">
    <w:name w:val="Comment Subject Char"/>
    <w:basedOn w:val="CommentTextChar"/>
    <w:link w:val="CommentSubject"/>
    <w:uiPriority w:val="99"/>
    <w:semiHidden/>
    <w:rsid w:val="00F91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flexible-by-desig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case-studies-pilo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orgov.qld.gov.au/positive-performance-management" TargetMode="External"/><Relationship Id="rId4" Type="http://schemas.openxmlformats.org/officeDocument/2006/relationships/settings" Target="settings.xml"/><Relationship Id="rId9" Type="http://schemas.openxmlformats.org/officeDocument/2006/relationships/hyperlink" Target="https://www.forgov.qld.gov.au/flexible-by-desig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CD77-37CE-8349-9541-D114704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Public Service Commission | Queensland Government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by outcomes</dc:title>
  <dc:subject>Management by outcomes</dc:subject>
  <dc:creator>Public Service Commission | Queensland Government</dc:creator>
  <cp:keywords/>
  <dc:description/>
  <cp:lastModifiedBy>Jeff Cheadle</cp:lastModifiedBy>
  <cp:revision>5</cp:revision>
  <dcterms:created xsi:type="dcterms:W3CDTF">2021-04-23T06:08:00Z</dcterms:created>
  <dcterms:modified xsi:type="dcterms:W3CDTF">2021-05-17T06:01:00Z</dcterms:modified>
</cp:coreProperties>
</file>