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1DB" w:rsidRPr="00020918" w:rsidRDefault="006641DB" w:rsidP="002E2746">
      <w:pPr>
        <w:pStyle w:val="Heading1"/>
        <w:numPr>
          <w:ilvl w:val="0"/>
          <w:numId w:val="0"/>
        </w:numPr>
        <w:ind w:left="709"/>
      </w:pPr>
      <w:bookmarkStart w:id="0" w:name="_Toc286906685"/>
      <w:bookmarkStart w:id="1" w:name="_Toc513793294"/>
      <w:r w:rsidRPr="00020918">
        <w:t xml:space="preserve">Event and </w:t>
      </w:r>
      <w:r>
        <w:t>i</w:t>
      </w:r>
      <w:r w:rsidRPr="00020918">
        <w:t xml:space="preserve">ncident </w:t>
      </w:r>
      <w:r>
        <w:t>m</w:t>
      </w:r>
      <w:r w:rsidRPr="00020918">
        <w:t xml:space="preserve">anagement </w:t>
      </w:r>
      <w:r w:rsidR="00A9188C">
        <w:t xml:space="preserve">policy </w:t>
      </w:r>
      <w:r>
        <w:t>c</w:t>
      </w:r>
      <w:r w:rsidRPr="00020918">
        <w:t>hecklist</w:t>
      </w:r>
      <w:bookmarkEnd w:id="0"/>
      <w:bookmarkEnd w:id="1"/>
    </w:p>
    <w:p w:rsidR="00B93C2E" w:rsidRPr="00020918" w:rsidRDefault="00B93C2E" w:rsidP="005E08C8">
      <w:pPr>
        <w:rPr>
          <w:lang w:eastAsia="en-US"/>
        </w:rPr>
      </w:pPr>
      <w:r w:rsidRPr="00020918">
        <w:rPr>
          <w:lang w:eastAsia="en-US"/>
        </w:rPr>
        <w:t xml:space="preserve">The following checklist aims to </w:t>
      </w:r>
      <w:r>
        <w:rPr>
          <w:lang w:eastAsia="en-US"/>
        </w:rPr>
        <w:t>help</w:t>
      </w:r>
      <w:r w:rsidRPr="00020918">
        <w:rPr>
          <w:lang w:eastAsia="en-US"/>
        </w:rPr>
        <w:t xml:space="preserve"> agencies thoroughly plan and manage information security incidents. It provides tasks and activities which need to be </w:t>
      </w:r>
      <w:r>
        <w:rPr>
          <w:lang w:eastAsia="en-US"/>
        </w:rPr>
        <w:t>completed</w:t>
      </w:r>
      <w:r w:rsidRPr="00020918">
        <w:rPr>
          <w:lang w:eastAsia="en-US"/>
        </w:rPr>
        <w:t xml:space="preserve"> in each of the information security event and incident management phases.</w:t>
      </w:r>
    </w:p>
    <w:p w:rsidR="00E97AFA" w:rsidRDefault="008C391F" w:rsidP="00A3240D">
      <w:pPr>
        <w:pStyle w:val="Heading4"/>
        <w:rPr>
          <w:lang w:eastAsia="en-US"/>
        </w:rPr>
      </w:pPr>
      <w:r>
        <w:rPr>
          <w:lang w:eastAsia="en-US"/>
        </w:rPr>
        <w:t xml:space="preserve">Plan and Prepare </w:t>
      </w:r>
      <w:r w:rsidR="00334359">
        <w:rPr>
          <w:lang w:eastAsia="en-US"/>
        </w:rPr>
        <w:t xml:space="preserve"> </w:t>
      </w:r>
    </w:p>
    <w:tbl>
      <w:tblPr>
        <w:tblW w:w="0" w:type="auto"/>
        <w:tblInd w:w="562" w:type="dxa"/>
        <w:tblBorders>
          <w:top w:val="single" w:sz="4" w:space="0" w:color="2E526B"/>
          <w:left w:val="single" w:sz="4" w:space="0" w:color="2E526B"/>
          <w:bottom w:val="single" w:sz="4" w:space="0" w:color="2E526B"/>
          <w:right w:val="single" w:sz="4" w:space="0" w:color="2E526B"/>
          <w:insideH w:val="single" w:sz="4" w:space="0" w:color="2E526B"/>
          <w:insideV w:val="single" w:sz="4" w:space="0" w:color="2E526B"/>
        </w:tblBorders>
        <w:tblCellMar>
          <w:left w:w="57" w:type="dxa"/>
          <w:right w:w="51" w:type="dxa"/>
        </w:tblCellMar>
        <w:tblLook w:val="01E0" w:firstRow="1" w:lastRow="1" w:firstColumn="1" w:lastColumn="1" w:noHBand="0" w:noVBand="0"/>
      </w:tblPr>
      <w:tblGrid>
        <w:gridCol w:w="7917"/>
        <w:gridCol w:w="1149"/>
      </w:tblGrid>
      <w:tr w:rsidR="00E97AFA" w:rsidRPr="00AE0FB3" w:rsidTr="00AE0FB3">
        <w:trPr>
          <w:cantSplit/>
        </w:trPr>
        <w:tc>
          <w:tcPr>
            <w:tcW w:w="0" w:type="auto"/>
            <w:tcBorders>
              <w:bottom w:val="single" w:sz="12" w:space="0" w:color="2E526B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AFA" w:rsidRPr="00AE0FB3" w:rsidRDefault="00E97AFA" w:rsidP="00D8607B">
            <w:pPr>
              <w:pStyle w:val="TableHeading"/>
              <w:widowControl w:val="0"/>
              <w:numPr>
                <w:ilvl w:val="0"/>
                <w:numId w:val="14"/>
              </w:numPr>
              <w:spacing w:line="280" w:lineRule="atLeast"/>
              <w:rPr>
                <w:rFonts w:cs="Arial"/>
                <w:b/>
                <w:color w:val="auto"/>
                <w:sz w:val="20"/>
                <w:szCs w:val="20"/>
              </w:rPr>
            </w:pPr>
            <w:r w:rsidRPr="00AE0FB3">
              <w:rPr>
                <w:rFonts w:cs="Arial"/>
                <w:b/>
                <w:color w:val="auto"/>
                <w:sz w:val="20"/>
                <w:szCs w:val="20"/>
              </w:rPr>
              <w:t>Policy Section</w:t>
            </w:r>
          </w:p>
        </w:tc>
        <w:tc>
          <w:tcPr>
            <w:tcW w:w="1149" w:type="dxa"/>
            <w:tcBorders>
              <w:bottom w:val="single" w:sz="12" w:space="0" w:color="2E526B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AFA" w:rsidRPr="00AE0FB3" w:rsidRDefault="00E97AFA" w:rsidP="00D8607B">
            <w:pPr>
              <w:pStyle w:val="TableHeading"/>
              <w:widowControl w:val="0"/>
              <w:numPr>
                <w:ilvl w:val="0"/>
                <w:numId w:val="14"/>
              </w:numPr>
              <w:spacing w:line="280" w:lineRule="atLeast"/>
              <w:rPr>
                <w:rFonts w:cs="Arial"/>
                <w:b/>
                <w:color w:val="auto"/>
                <w:sz w:val="20"/>
                <w:szCs w:val="20"/>
              </w:rPr>
            </w:pPr>
            <w:r w:rsidRPr="00AE0FB3">
              <w:rPr>
                <w:rFonts w:cs="Arial"/>
                <w:b/>
                <w:color w:val="auto"/>
                <w:sz w:val="20"/>
                <w:szCs w:val="20"/>
              </w:rPr>
              <w:t>Checklist</w:t>
            </w:r>
          </w:p>
        </w:tc>
      </w:tr>
      <w:tr w:rsidR="00E97AFA" w:rsidRPr="00AE0FB3" w:rsidTr="00AE0FB3">
        <w:trPr>
          <w:cantSplit/>
        </w:trPr>
        <w:tc>
          <w:tcPr>
            <w:tcW w:w="0" w:type="auto"/>
            <w:tcBorders>
              <w:top w:val="single" w:sz="12" w:space="0" w:color="2E526B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AFA" w:rsidRPr="00AE0FB3" w:rsidRDefault="00E97AFA" w:rsidP="00D8607B">
            <w:pPr>
              <w:pStyle w:val="BodyText"/>
              <w:widowControl w:val="0"/>
              <w:numPr>
                <w:ilvl w:val="0"/>
                <w:numId w:val="24"/>
              </w:numPr>
              <w:spacing w:before="0" w:line="240" w:lineRule="auto"/>
              <w:ind w:left="0"/>
              <w:rPr>
                <w:rFonts w:cs="Arial"/>
                <w:sz w:val="20"/>
                <w:lang w:eastAsia="en-US"/>
              </w:rPr>
            </w:pPr>
            <w:r w:rsidRPr="00AE0FB3">
              <w:rPr>
                <w:rFonts w:cs="Arial"/>
                <w:sz w:val="20"/>
                <w:lang w:eastAsia="en-US"/>
              </w:rPr>
              <w:t>Policy and planning</w:t>
            </w:r>
          </w:p>
          <w:p w:rsidR="00E97AFA" w:rsidRPr="00AE0FB3" w:rsidRDefault="00E97AFA" w:rsidP="005E08C8">
            <w:pPr>
              <w:pStyle w:val="Bullet1"/>
              <w:ind w:left="477"/>
              <w:rPr>
                <w:sz w:val="20"/>
                <w:szCs w:val="20"/>
                <w:lang w:eastAsia="en-US"/>
              </w:rPr>
            </w:pPr>
            <w:r w:rsidRPr="00AE0FB3">
              <w:rPr>
                <w:sz w:val="20"/>
                <w:szCs w:val="20"/>
                <w:lang w:eastAsia="en-US"/>
              </w:rPr>
              <w:t xml:space="preserve">information </w:t>
            </w:r>
            <w:r w:rsidR="008C391F" w:rsidRPr="00AE0FB3">
              <w:rPr>
                <w:sz w:val="20"/>
                <w:szCs w:val="20"/>
                <w:lang w:eastAsia="en-US"/>
              </w:rPr>
              <w:t xml:space="preserve">security incident management policy published with senior management commitment </w:t>
            </w:r>
          </w:p>
          <w:p w:rsidR="00E97AFA" w:rsidRPr="00AE0FB3" w:rsidRDefault="00E97AFA" w:rsidP="005E08C8">
            <w:pPr>
              <w:pStyle w:val="Bullet1"/>
              <w:ind w:left="477"/>
              <w:rPr>
                <w:sz w:val="20"/>
                <w:szCs w:val="20"/>
                <w:lang w:eastAsia="en-US"/>
              </w:rPr>
            </w:pPr>
            <w:r w:rsidRPr="00AE0FB3">
              <w:rPr>
                <w:sz w:val="20"/>
                <w:szCs w:val="20"/>
                <w:lang w:eastAsia="en-US"/>
              </w:rPr>
              <w:t>ISIRT members selected and appointed</w:t>
            </w:r>
          </w:p>
          <w:p w:rsidR="00E97AFA" w:rsidRPr="00AE0FB3" w:rsidRDefault="00E97AFA" w:rsidP="005E08C8">
            <w:pPr>
              <w:pStyle w:val="Bullet1"/>
              <w:ind w:left="477"/>
              <w:rPr>
                <w:sz w:val="20"/>
                <w:szCs w:val="20"/>
                <w:lang w:eastAsia="en-US"/>
              </w:rPr>
            </w:pPr>
            <w:r w:rsidRPr="00AE0FB3">
              <w:rPr>
                <w:sz w:val="20"/>
                <w:szCs w:val="20"/>
                <w:lang w:eastAsia="en-US"/>
              </w:rPr>
              <w:t>employee conduct defined</w:t>
            </w:r>
          </w:p>
          <w:p w:rsidR="00E97AFA" w:rsidRPr="00AE0FB3" w:rsidRDefault="00E97AFA" w:rsidP="005E08C8">
            <w:pPr>
              <w:pStyle w:val="Bullet1"/>
              <w:ind w:left="477"/>
              <w:rPr>
                <w:sz w:val="20"/>
                <w:szCs w:val="20"/>
                <w:lang w:eastAsia="en-US"/>
              </w:rPr>
            </w:pPr>
            <w:r w:rsidRPr="00AE0FB3">
              <w:rPr>
                <w:sz w:val="20"/>
                <w:szCs w:val="20"/>
                <w:lang w:eastAsia="en-US"/>
              </w:rPr>
              <w:t>internal controls and governance established</w:t>
            </w:r>
          </w:p>
          <w:p w:rsidR="00E97AFA" w:rsidRPr="00AE0FB3" w:rsidRDefault="00E97AFA" w:rsidP="005E08C8">
            <w:pPr>
              <w:pStyle w:val="Bullet1"/>
              <w:ind w:left="477"/>
              <w:rPr>
                <w:sz w:val="20"/>
                <w:szCs w:val="20"/>
                <w:lang w:eastAsia="en-US"/>
              </w:rPr>
            </w:pPr>
            <w:r w:rsidRPr="00AE0FB3">
              <w:rPr>
                <w:sz w:val="20"/>
                <w:szCs w:val="20"/>
                <w:lang w:eastAsia="en-US"/>
              </w:rPr>
              <w:t xml:space="preserve">any existing business continuity and ICT disaster recovery plans have been integrated with </w:t>
            </w:r>
            <w:r w:rsidR="008C391F" w:rsidRPr="00AE0FB3">
              <w:rPr>
                <w:sz w:val="20"/>
                <w:szCs w:val="20"/>
                <w:lang w:eastAsia="en-US"/>
              </w:rPr>
              <w:t>the incident management policy</w:t>
            </w:r>
            <w:r w:rsidRPr="00AE0FB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49" w:type="dxa"/>
            <w:tcBorders>
              <w:top w:val="single" w:sz="12" w:space="0" w:color="2E526B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AFA" w:rsidRPr="00AE0FB3" w:rsidRDefault="00E97AFA" w:rsidP="00D8607B">
            <w:pPr>
              <w:pStyle w:val="TableHeading"/>
              <w:widowControl w:val="0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E97AFA" w:rsidRDefault="00E97AFA" w:rsidP="00D8607B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AE0FB3" w:rsidRPr="00AE0FB3" w:rsidRDefault="00AE0FB3" w:rsidP="00D8607B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</w:p>
          <w:p w:rsidR="00E97AFA" w:rsidRPr="00AE0FB3" w:rsidRDefault="00E97AFA" w:rsidP="00D8607B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E97AFA" w:rsidRPr="00AE0FB3" w:rsidRDefault="00E97AFA" w:rsidP="00D8607B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E97AFA" w:rsidRPr="00AE0FB3" w:rsidRDefault="00E97AFA" w:rsidP="00D8607B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E97AFA" w:rsidRPr="00AE0FB3" w:rsidRDefault="00E97AFA" w:rsidP="00D8607B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97AFA" w:rsidRPr="00AE0FB3" w:rsidTr="00AE0FB3">
        <w:trPr>
          <w:cantSplit/>
        </w:trPr>
        <w:tc>
          <w:tcPr>
            <w:tcW w:w="0" w:type="auto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AFA" w:rsidRPr="00AE0FB3" w:rsidRDefault="00E97AFA" w:rsidP="00D8607B">
            <w:pPr>
              <w:pStyle w:val="TableHeading"/>
              <w:widowControl w:val="0"/>
              <w:numPr>
                <w:ilvl w:val="0"/>
                <w:numId w:val="14"/>
              </w:numPr>
              <w:spacing w:before="0"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AE0FB3">
              <w:rPr>
                <w:rFonts w:cs="Arial"/>
                <w:bCs/>
                <w:color w:val="auto"/>
                <w:sz w:val="20"/>
                <w:szCs w:val="20"/>
              </w:rPr>
              <w:t>ISIRT</w:t>
            </w:r>
          </w:p>
          <w:p w:rsidR="00E97AFA" w:rsidRPr="00AE0FB3" w:rsidRDefault="00E97AFA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ISIRT team members are notified of appointment</w:t>
            </w:r>
          </w:p>
          <w:p w:rsidR="008C391F" w:rsidRPr="00AE0FB3" w:rsidRDefault="008C391F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 xml:space="preserve">external ISIRT members appointed and notified of their roles </w:t>
            </w:r>
          </w:p>
          <w:p w:rsidR="00E97AFA" w:rsidRPr="00AE0FB3" w:rsidRDefault="00E97AFA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the ISIRT is assembled</w:t>
            </w:r>
          </w:p>
          <w:p w:rsidR="00E97AFA" w:rsidRPr="00AE0FB3" w:rsidRDefault="00E97AFA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list of department officers authorised to communicate with QGISVRT; initiate request for VRT external assistance; complete and submit the incident reporting spreadsheet, supplied to QGCIO and QGISVRT.</w:t>
            </w:r>
          </w:p>
        </w:tc>
        <w:tc>
          <w:tcPr>
            <w:tcW w:w="1149" w:type="dxa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AFA" w:rsidRPr="00AE0FB3" w:rsidRDefault="00E97AFA" w:rsidP="00D8607B">
            <w:pPr>
              <w:pStyle w:val="TableHeading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8C391F" w:rsidRPr="00AE0FB3" w:rsidRDefault="008C391F" w:rsidP="008C391F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8C391F" w:rsidRPr="00AE0FB3" w:rsidRDefault="008C391F" w:rsidP="008C391F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8C391F" w:rsidRPr="00AE0FB3" w:rsidRDefault="008C391F" w:rsidP="008C391F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E97AFA" w:rsidRPr="00AE0FB3" w:rsidRDefault="008C391F" w:rsidP="008C391F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97AFA" w:rsidRPr="00AE0FB3" w:rsidTr="00AE0FB3">
        <w:trPr>
          <w:cantSplit/>
        </w:trPr>
        <w:tc>
          <w:tcPr>
            <w:tcW w:w="0" w:type="auto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AFA" w:rsidRPr="00AE0FB3" w:rsidRDefault="00E97AFA" w:rsidP="00D8607B">
            <w:pPr>
              <w:pStyle w:val="TableHeading"/>
              <w:widowControl w:val="0"/>
              <w:numPr>
                <w:ilvl w:val="0"/>
                <w:numId w:val="14"/>
              </w:numPr>
              <w:spacing w:before="0"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AE0FB3">
              <w:rPr>
                <w:rFonts w:cs="Arial"/>
                <w:bCs/>
                <w:color w:val="auto"/>
                <w:sz w:val="20"/>
                <w:szCs w:val="20"/>
              </w:rPr>
              <w:t>Processes and procedures</w:t>
            </w:r>
          </w:p>
          <w:p w:rsidR="00E97AFA" w:rsidRPr="00AE0FB3" w:rsidRDefault="009053E8" w:rsidP="005E08C8">
            <w:pPr>
              <w:pStyle w:val="Bullet1"/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 response</w:t>
            </w:r>
            <w:r w:rsidR="00222D53" w:rsidRPr="00AE0FB3">
              <w:rPr>
                <w:sz w:val="20"/>
                <w:szCs w:val="20"/>
              </w:rPr>
              <w:t xml:space="preserve"> </w:t>
            </w:r>
            <w:r w:rsidR="004F5E6F" w:rsidRPr="00AE0FB3">
              <w:rPr>
                <w:sz w:val="20"/>
                <w:szCs w:val="20"/>
              </w:rPr>
              <w:t>playbooks developed and adopted</w:t>
            </w:r>
          </w:p>
          <w:p w:rsidR="00E97AFA" w:rsidRPr="00AE0FB3" w:rsidRDefault="00E97AFA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additional response procedures (including staff reporting procedures, ISIRT phone/email response protocols) developed.</w:t>
            </w:r>
          </w:p>
          <w:p w:rsidR="008C391F" w:rsidRPr="00AE0FB3" w:rsidRDefault="004F5E6F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 xml:space="preserve">Prepare all procedure forms and tools that will be used during an </w:t>
            </w:r>
            <w:r w:rsidR="009053E8">
              <w:rPr>
                <w:sz w:val="20"/>
                <w:szCs w:val="20"/>
              </w:rPr>
              <w:t>incident response</w:t>
            </w:r>
            <w:r w:rsidRPr="00AE0FB3">
              <w:rPr>
                <w:sz w:val="20"/>
                <w:szCs w:val="20"/>
              </w:rPr>
              <w:t xml:space="preserve"> process</w:t>
            </w:r>
          </w:p>
        </w:tc>
        <w:tc>
          <w:tcPr>
            <w:tcW w:w="1149" w:type="dxa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AFA" w:rsidRPr="00AE0FB3" w:rsidRDefault="00E97AFA" w:rsidP="00D8607B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</w:p>
          <w:p w:rsidR="00E97AFA" w:rsidRPr="00AE0FB3" w:rsidRDefault="00E97AFA" w:rsidP="00D8607B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E97AFA" w:rsidRDefault="00E97AFA" w:rsidP="00D8607B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8C391F" w:rsidRPr="00AE0FB3" w:rsidRDefault="00AE0FB3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="008C391F"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91F"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="008C391F" w:rsidRPr="00AE0F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97AFA" w:rsidRPr="00AE0FB3" w:rsidTr="00AE0FB3">
        <w:trPr>
          <w:cantSplit/>
        </w:trPr>
        <w:tc>
          <w:tcPr>
            <w:tcW w:w="0" w:type="auto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AFA" w:rsidRPr="00AE0FB3" w:rsidRDefault="00E97AFA" w:rsidP="00D8607B">
            <w:pPr>
              <w:pStyle w:val="TableHeading"/>
              <w:widowControl w:val="0"/>
              <w:numPr>
                <w:ilvl w:val="0"/>
                <w:numId w:val="14"/>
              </w:numPr>
              <w:spacing w:before="0"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AE0FB3">
              <w:rPr>
                <w:rFonts w:cs="Arial"/>
                <w:bCs/>
                <w:color w:val="auto"/>
                <w:sz w:val="20"/>
                <w:szCs w:val="20"/>
              </w:rPr>
              <w:t>Training</w:t>
            </w:r>
          </w:p>
          <w:p w:rsidR="00E97AFA" w:rsidRPr="00AE0FB3" w:rsidRDefault="00E97AFA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ISIRT training</w:t>
            </w:r>
          </w:p>
          <w:p w:rsidR="00E97AFA" w:rsidRPr="00AE0FB3" w:rsidRDefault="00E97AFA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employee training/informing employees on incident reporting.</w:t>
            </w:r>
          </w:p>
          <w:p w:rsidR="004F5E6F" w:rsidRPr="00AE0FB3" w:rsidRDefault="004F5E6F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 xml:space="preserve">run consistent training programs to assist users </w:t>
            </w:r>
          </w:p>
        </w:tc>
        <w:tc>
          <w:tcPr>
            <w:tcW w:w="1149" w:type="dxa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AFA" w:rsidRPr="00AE0FB3" w:rsidRDefault="00E97AFA" w:rsidP="00D8607B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</w:p>
          <w:p w:rsidR="00E97AFA" w:rsidRPr="00AE0FB3" w:rsidRDefault="00E97AFA" w:rsidP="00D8607B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4F5E6F" w:rsidRPr="00AE0FB3" w:rsidRDefault="004F5E6F" w:rsidP="00D8607B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E97AFA" w:rsidRPr="00AE0FB3" w:rsidRDefault="00E97AFA" w:rsidP="00D8607B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97AFA" w:rsidRPr="00AE0FB3" w:rsidTr="00AE0FB3">
        <w:trPr>
          <w:cantSplit/>
        </w:trPr>
        <w:tc>
          <w:tcPr>
            <w:tcW w:w="0" w:type="auto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AFA" w:rsidRPr="00AE0FB3" w:rsidRDefault="00E97AFA" w:rsidP="00D8607B">
            <w:pPr>
              <w:pStyle w:val="TableHeading"/>
              <w:widowControl w:val="0"/>
              <w:numPr>
                <w:ilvl w:val="0"/>
                <w:numId w:val="14"/>
              </w:numPr>
              <w:spacing w:before="0"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AE0FB3">
              <w:rPr>
                <w:rFonts w:cs="Arial"/>
                <w:bCs/>
                <w:color w:val="auto"/>
                <w:sz w:val="20"/>
                <w:szCs w:val="20"/>
              </w:rPr>
              <w:t>Testing</w:t>
            </w:r>
          </w:p>
          <w:p w:rsidR="00E97AFA" w:rsidRPr="00AE0FB3" w:rsidRDefault="00E97AFA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test ISIRT response efficiency</w:t>
            </w:r>
          </w:p>
          <w:p w:rsidR="00E97AFA" w:rsidRPr="00AE0FB3" w:rsidRDefault="00222D53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 xml:space="preserve">test </w:t>
            </w:r>
            <w:r w:rsidR="009053E8">
              <w:rPr>
                <w:sz w:val="20"/>
                <w:szCs w:val="20"/>
              </w:rPr>
              <w:t>incident response</w:t>
            </w:r>
            <w:r w:rsidRPr="00AE0FB3">
              <w:rPr>
                <w:sz w:val="20"/>
                <w:szCs w:val="20"/>
              </w:rPr>
              <w:t xml:space="preserve"> process</w:t>
            </w:r>
            <w:r w:rsidR="004F5E6F" w:rsidRPr="00AE0FB3">
              <w:rPr>
                <w:sz w:val="20"/>
                <w:szCs w:val="20"/>
              </w:rPr>
              <w:t xml:space="preserve">es and procedures </w:t>
            </w:r>
          </w:p>
          <w:p w:rsidR="00E97AFA" w:rsidRPr="00AE0FB3" w:rsidRDefault="00E97AFA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run employees through help desk scenarios.</w:t>
            </w:r>
          </w:p>
        </w:tc>
        <w:tc>
          <w:tcPr>
            <w:tcW w:w="1149" w:type="dxa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7AFA" w:rsidRPr="00AE0FB3" w:rsidRDefault="00E97AFA" w:rsidP="00D8607B">
            <w:pPr>
              <w:pStyle w:val="TableHeading"/>
              <w:widowControl w:val="0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E97AFA" w:rsidRPr="00AE0FB3" w:rsidRDefault="00E97AFA" w:rsidP="00D8607B">
            <w:pPr>
              <w:pStyle w:val="TableHeading"/>
              <w:widowControl w:val="0"/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0FB3">
              <w:rPr>
                <w:rFonts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b/>
                <w:color w:val="000000"/>
                <w:sz w:val="20"/>
                <w:szCs w:val="20"/>
              </w:rPr>
            </w:r>
            <w:r w:rsidR="00C86BAD">
              <w:rPr>
                <w:rFonts w:cs="Arial"/>
                <w:b/>
                <w:color w:val="000000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E97AFA" w:rsidRPr="00AE0FB3" w:rsidRDefault="00E97AFA" w:rsidP="00D8607B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E97AFA" w:rsidRPr="00AE0FB3" w:rsidRDefault="00E97AFA" w:rsidP="00D8607B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color w:val="000000"/>
                <w:sz w:val="20"/>
                <w:szCs w:val="20"/>
              </w:rPr>
            </w:r>
            <w:r w:rsidR="00C86BA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p w:rsidR="00E97AFA" w:rsidRPr="00AE0FB3" w:rsidRDefault="00E97AFA" w:rsidP="00D8607B">
            <w:pPr>
              <w:pStyle w:val="TableHeading"/>
              <w:widowControl w:val="0"/>
              <w:numPr>
                <w:ilvl w:val="0"/>
                <w:numId w:val="14"/>
              </w:num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8C391F" w:rsidRDefault="008C391F" w:rsidP="00EC7963">
      <w:pPr>
        <w:rPr>
          <w:lang w:eastAsia="en-US"/>
        </w:rPr>
      </w:pPr>
    </w:p>
    <w:p w:rsidR="008C391F" w:rsidRDefault="008C391F" w:rsidP="00EC7963">
      <w:pPr>
        <w:rPr>
          <w:lang w:eastAsia="en-US"/>
        </w:rPr>
      </w:pPr>
      <w:r>
        <w:rPr>
          <w:lang w:eastAsia="en-US"/>
        </w:rPr>
        <w:t xml:space="preserve">                        </w:t>
      </w:r>
    </w:p>
    <w:p w:rsidR="004F5E6F" w:rsidRDefault="004F5E6F"/>
    <w:p w:rsidR="005E08C8" w:rsidRDefault="005E08C8"/>
    <w:p w:rsidR="00A3240D" w:rsidRDefault="00A3240D">
      <w:pPr>
        <w:spacing w:before="0" w:line="240" w:lineRule="auto"/>
        <w:ind w:left="0"/>
        <w:rPr>
          <w:rFonts w:ascii="Arial Bold" w:hAnsi="Arial Bold"/>
          <w:b/>
          <w:i/>
          <w:snapToGrid w:val="0"/>
          <w:kern w:val="24"/>
          <w:szCs w:val="22"/>
          <w:lang w:val="en-US" w:eastAsia="en-US"/>
        </w:rPr>
      </w:pPr>
      <w:r>
        <w:rPr>
          <w:lang w:eastAsia="en-US"/>
        </w:rPr>
        <w:br w:type="page"/>
      </w:r>
    </w:p>
    <w:p w:rsidR="006641DB" w:rsidRDefault="004F5E6F" w:rsidP="00A3240D">
      <w:pPr>
        <w:pStyle w:val="Heading4"/>
        <w:rPr>
          <w:lang w:eastAsia="en-US"/>
        </w:rPr>
      </w:pPr>
      <w:r>
        <w:rPr>
          <w:lang w:eastAsia="en-US"/>
        </w:rPr>
        <w:lastRenderedPageBreak/>
        <w:t xml:space="preserve">Detection and reporting </w:t>
      </w:r>
    </w:p>
    <w:tbl>
      <w:tblPr>
        <w:tblW w:w="9072" w:type="dxa"/>
        <w:tblInd w:w="562" w:type="dxa"/>
        <w:tblBorders>
          <w:top w:val="single" w:sz="4" w:space="0" w:color="2E526B"/>
          <w:left w:val="single" w:sz="4" w:space="0" w:color="2E526B"/>
          <w:bottom w:val="single" w:sz="4" w:space="0" w:color="2E526B"/>
          <w:right w:val="single" w:sz="4" w:space="0" w:color="2E526B"/>
          <w:insideH w:val="single" w:sz="4" w:space="0" w:color="2E526B"/>
          <w:insideV w:val="single" w:sz="4" w:space="0" w:color="2E526B"/>
        </w:tblBorders>
        <w:tblCellMar>
          <w:left w:w="57" w:type="dxa"/>
          <w:right w:w="51" w:type="dxa"/>
        </w:tblCellMar>
        <w:tblLook w:val="01E0" w:firstRow="1" w:lastRow="1" w:firstColumn="1" w:lastColumn="1" w:noHBand="0" w:noVBand="0"/>
      </w:tblPr>
      <w:tblGrid>
        <w:gridCol w:w="7938"/>
        <w:gridCol w:w="1134"/>
      </w:tblGrid>
      <w:tr w:rsidR="00270E2E" w:rsidRPr="00AE0FB3" w:rsidTr="00AE0FB3">
        <w:trPr>
          <w:cantSplit/>
        </w:trPr>
        <w:tc>
          <w:tcPr>
            <w:tcW w:w="7938" w:type="dxa"/>
            <w:tcBorders>
              <w:bottom w:val="single" w:sz="12" w:space="0" w:color="2E526B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41DB" w:rsidRPr="00AE0FB3" w:rsidRDefault="006641DB" w:rsidP="00270E2E">
            <w:pPr>
              <w:pStyle w:val="TableHeading"/>
              <w:widowControl w:val="0"/>
              <w:numPr>
                <w:ilvl w:val="0"/>
                <w:numId w:val="14"/>
              </w:numPr>
              <w:spacing w:line="280" w:lineRule="atLeast"/>
              <w:rPr>
                <w:rFonts w:cs="Arial"/>
                <w:b/>
                <w:color w:val="auto"/>
                <w:sz w:val="20"/>
                <w:szCs w:val="20"/>
              </w:rPr>
            </w:pPr>
            <w:r w:rsidRPr="00AE0FB3">
              <w:rPr>
                <w:rFonts w:cs="Arial"/>
                <w:b/>
                <w:color w:val="auto"/>
                <w:sz w:val="20"/>
                <w:szCs w:val="20"/>
              </w:rPr>
              <w:t>Activity</w:t>
            </w:r>
          </w:p>
        </w:tc>
        <w:tc>
          <w:tcPr>
            <w:tcW w:w="1134" w:type="dxa"/>
            <w:tcBorders>
              <w:bottom w:val="single" w:sz="12" w:space="0" w:color="2E526B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41DB" w:rsidRPr="00AE0FB3" w:rsidRDefault="006641DB" w:rsidP="00270E2E">
            <w:pPr>
              <w:pStyle w:val="TableHeading"/>
              <w:widowControl w:val="0"/>
              <w:numPr>
                <w:ilvl w:val="0"/>
                <w:numId w:val="14"/>
              </w:numPr>
              <w:spacing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AE0FB3">
              <w:rPr>
                <w:rFonts w:cs="Arial"/>
                <w:b/>
                <w:color w:val="auto"/>
                <w:sz w:val="20"/>
                <w:szCs w:val="20"/>
              </w:rPr>
              <w:t>Checklist</w:t>
            </w:r>
          </w:p>
        </w:tc>
      </w:tr>
      <w:tr w:rsidR="006641DB" w:rsidRPr="00AE0FB3" w:rsidTr="00AE0FB3">
        <w:trPr>
          <w:cantSplit/>
        </w:trPr>
        <w:tc>
          <w:tcPr>
            <w:tcW w:w="7938" w:type="dxa"/>
            <w:tcBorders>
              <w:top w:val="single" w:sz="12" w:space="0" w:color="2E526B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41DB" w:rsidRPr="00AE0FB3" w:rsidRDefault="006641DB" w:rsidP="003A195F">
            <w:pPr>
              <w:pStyle w:val="BodyText"/>
              <w:numPr>
                <w:ilvl w:val="0"/>
                <w:numId w:val="0"/>
              </w:numPr>
              <w:rPr>
                <w:sz w:val="20"/>
              </w:rPr>
            </w:pPr>
            <w:r w:rsidRPr="00AE0FB3">
              <w:rPr>
                <w:sz w:val="20"/>
              </w:rPr>
              <w:t>Detect</w:t>
            </w:r>
            <w:r w:rsidR="004F5E6F" w:rsidRPr="00AE0FB3">
              <w:rPr>
                <w:sz w:val="20"/>
              </w:rPr>
              <w:t>ion</w:t>
            </w:r>
          </w:p>
          <w:p w:rsidR="006641DB" w:rsidRPr="00AE0FB3" w:rsidRDefault="006641DB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ISIRT help desk support has been established</w:t>
            </w:r>
          </w:p>
          <w:p w:rsidR="006641DB" w:rsidRPr="00AE0FB3" w:rsidRDefault="006641DB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after hours procedures have been established</w:t>
            </w:r>
          </w:p>
          <w:p w:rsidR="006641DB" w:rsidRPr="00AE0FB3" w:rsidRDefault="006641DB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automated monitoring and detection systems are in place</w:t>
            </w:r>
          </w:p>
          <w:p w:rsidR="006641DB" w:rsidRPr="00AE0FB3" w:rsidRDefault="006661F3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 xml:space="preserve">have defined processes depending on the detection source </w:t>
            </w:r>
          </w:p>
        </w:tc>
        <w:tc>
          <w:tcPr>
            <w:tcW w:w="1134" w:type="dxa"/>
            <w:tcBorders>
              <w:top w:val="single" w:sz="12" w:space="0" w:color="2E526B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sz w:val="20"/>
                <w:szCs w:val="20"/>
              </w:rPr>
              <w:instrText xml:space="preserve"> FORMCHECKBOX </w:instrText>
            </w:r>
            <w:r w:rsidR="00C86BAD">
              <w:rPr>
                <w:sz w:val="20"/>
                <w:szCs w:val="20"/>
              </w:rPr>
            </w:r>
            <w:r w:rsidR="00C86BAD">
              <w:rPr>
                <w:sz w:val="20"/>
                <w:szCs w:val="20"/>
              </w:rPr>
              <w:fldChar w:fldCharType="separate"/>
            </w:r>
            <w:r w:rsidRPr="00AE0FB3">
              <w:rPr>
                <w:sz w:val="20"/>
                <w:szCs w:val="20"/>
              </w:rPr>
              <w:fldChar w:fldCharType="end"/>
            </w:r>
          </w:p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sz w:val="20"/>
                <w:szCs w:val="20"/>
              </w:rPr>
              <w:instrText xml:space="preserve"> FORMCHECKBOX </w:instrText>
            </w:r>
            <w:r w:rsidR="00C86BAD">
              <w:rPr>
                <w:sz w:val="20"/>
                <w:szCs w:val="20"/>
              </w:rPr>
            </w:r>
            <w:r w:rsidR="00C86BAD">
              <w:rPr>
                <w:sz w:val="20"/>
                <w:szCs w:val="20"/>
              </w:rPr>
              <w:fldChar w:fldCharType="separate"/>
            </w:r>
            <w:r w:rsidRPr="00AE0FB3">
              <w:rPr>
                <w:sz w:val="20"/>
                <w:szCs w:val="20"/>
              </w:rPr>
              <w:fldChar w:fldCharType="end"/>
            </w:r>
          </w:p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sz w:val="20"/>
                <w:szCs w:val="20"/>
              </w:rPr>
              <w:instrText xml:space="preserve"> FORMCHECKBOX </w:instrText>
            </w:r>
            <w:r w:rsidR="00C86BAD">
              <w:rPr>
                <w:sz w:val="20"/>
                <w:szCs w:val="20"/>
              </w:rPr>
            </w:r>
            <w:r w:rsidR="00C86BAD">
              <w:rPr>
                <w:sz w:val="20"/>
                <w:szCs w:val="20"/>
              </w:rPr>
              <w:fldChar w:fldCharType="separate"/>
            </w:r>
            <w:r w:rsidRPr="00AE0FB3">
              <w:rPr>
                <w:sz w:val="20"/>
                <w:szCs w:val="20"/>
              </w:rPr>
              <w:fldChar w:fldCharType="end"/>
            </w:r>
          </w:p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sz w:val="20"/>
                <w:szCs w:val="20"/>
              </w:rPr>
              <w:instrText xml:space="preserve"> FORMCHECKBOX </w:instrText>
            </w:r>
            <w:r w:rsidR="00C86BAD">
              <w:rPr>
                <w:sz w:val="20"/>
                <w:szCs w:val="20"/>
              </w:rPr>
            </w:r>
            <w:r w:rsidR="00C86BAD">
              <w:rPr>
                <w:sz w:val="20"/>
                <w:szCs w:val="20"/>
              </w:rPr>
              <w:fldChar w:fldCharType="separate"/>
            </w:r>
            <w:r w:rsidRPr="00AE0FB3">
              <w:rPr>
                <w:sz w:val="20"/>
                <w:szCs w:val="20"/>
              </w:rPr>
              <w:fldChar w:fldCharType="end"/>
            </w:r>
          </w:p>
        </w:tc>
      </w:tr>
      <w:tr w:rsidR="006641DB" w:rsidRPr="00AE0FB3" w:rsidTr="00AE0FB3">
        <w:trPr>
          <w:cantSplit/>
        </w:trPr>
        <w:tc>
          <w:tcPr>
            <w:tcW w:w="7938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41DB" w:rsidRPr="00AE0FB3" w:rsidRDefault="006661F3" w:rsidP="003A195F">
            <w:pPr>
              <w:pStyle w:val="Bulletcircle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Logging and information capture</w:t>
            </w:r>
          </w:p>
          <w:p w:rsidR="006641DB" w:rsidRPr="00AE0FB3" w:rsidRDefault="006641DB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 xml:space="preserve">the ISIRT </w:t>
            </w:r>
            <w:r w:rsidR="006661F3" w:rsidRPr="00AE0FB3">
              <w:rPr>
                <w:sz w:val="20"/>
                <w:szCs w:val="20"/>
              </w:rPr>
              <w:t>has defined a secure incident register</w:t>
            </w:r>
          </w:p>
          <w:p w:rsidR="006641DB" w:rsidRPr="00AE0FB3" w:rsidRDefault="006641DB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 xml:space="preserve">the ISIRT understands the </w:t>
            </w:r>
            <w:r w:rsidR="006661F3" w:rsidRPr="00AE0FB3">
              <w:rPr>
                <w:sz w:val="20"/>
                <w:szCs w:val="20"/>
              </w:rPr>
              <w:t xml:space="preserve">importance of logging all activities during the </w:t>
            </w:r>
            <w:r w:rsidR="009053E8">
              <w:rPr>
                <w:sz w:val="20"/>
                <w:szCs w:val="20"/>
              </w:rPr>
              <w:t>incident response</w:t>
            </w:r>
            <w:r w:rsidR="006661F3" w:rsidRPr="00AE0FB3">
              <w:rPr>
                <w:sz w:val="20"/>
                <w:szCs w:val="20"/>
              </w:rPr>
              <w:t xml:space="preserve"> process</w:t>
            </w:r>
          </w:p>
          <w:p w:rsidR="006641DB" w:rsidRPr="00AE0FB3" w:rsidRDefault="006641DB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 xml:space="preserve">the ISIRT </w:t>
            </w:r>
            <w:r w:rsidR="006661F3" w:rsidRPr="00AE0FB3">
              <w:rPr>
                <w:sz w:val="20"/>
                <w:szCs w:val="20"/>
              </w:rPr>
              <w:t xml:space="preserve">captures all electronic evidence and information assets related to the event 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sz w:val="20"/>
                <w:szCs w:val="20"/>
              </w:rPr>
              <w:instrText xml:space="preserve"> FORMCHECKBOX </w:instrText>
            </w:r>
            <w:r w:rsidR="00C86BAD">
              <w:rPr>
                <w:sz w:val="20"/>
                <w:szCs w:val="20"/>
              </w:rPr>
            </w:r>
            <w:r w:rsidR="00C86BAD">
              <w:rPr>
                <w:sz w:val="20"/>
                <w:szCs w:val="20"/>
              </w:rPr>
              <w:fldChar w:fldCharType="separate"/>
            </w:r>
            <w:r w:rsidRPr="00AE0FB3">
              <w:rPr>
                <w:sz w:val="20"/>
                <w:szCs w:val="20"/>
              </w:rPr>
              <w:fldChar w:fldCharType="end"/>
            </w:r>
          </w:p>
          <w:p w:rsidR="006641DB" w:rsidRDefault="006641DB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sz w:val="20"/>
                <w:szCs w:val="20"/>
              </w:rPr>
              <w:instrText xml:space="preserve"> FORMCHECKBOX </w:instrText>
            </w:r>
            <w:r w:rsidR="00C86BAD">
              <w:rPr>
                <w:sz w:val="20"/>
                <w:szCs w:val="20"/>
              </w:rPr>
            </w:r>
            <w:r w:rsidR="00C86BAD">
              <w:rPr>
                <w:sz w:val="20"/>
                <w:szCs w:val="20"/>
              </w:rPr>
              <w:fldChar w:fldCharType="separate"/>
            </w:r>
            <w:r w:rsidRPr="00AE0FB3">
              <w:rPr>
                <w:sz w:val="20"/>
                <w:szCs w:val="20"/>
              </w:rPr>
              <w:fldChar w:fldCharType="end"/>
            </w:r>
          </w:p>
          <w:p w:rsidR="00AE0FB3" w:rsidRPr="00AE0FB3" w:rsidRDefault="00AE0FB3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6641DB" w:rsidRPr="00AE0FB3" w:rsidRDefault="006641DB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sz w:val="20"/>
                <w:szCs w:val="20"/>
              </w:rPr>
              <w:instrText xml:space="preserve"> FORMCHECKBOX </w:instrText>
            </w:r>
            <w:r w:rsidR="00C86BAD">
              <w:rPr>
                <w:sz w:val="20"/>
                <w:szCs w:val="20"/>
              </w:rPr>
            </w:r>
            <w:r w:rsidR="00C86BAD">
              <w:rPr>
                <w:sz w:val="20"/>
                <w:szCs w:val="20"/>
              </w:rPr>
              <w:fldChar w:fldCharType="separate"/>
            </w:r>
            <w:r w:rsidRPr="00AE0FB3">
              <w:rPr>
                <w:sz w:val="20"/>
                <w:szCs w:val="20"/>
              </w:rPr>
              <w:fldChar w:fldCharType="end"/>
            </w:r>
          </w:p>
        </w:tc>
      </w:tr>
      <w:tr w:rsidR="006641DB" w:rsidRPr="00AE0FB3" w:rsidTr="00AE0FB3">
        <w:trPr>
          <w:cantSplit/>
        </w:trPr>
        <w:tc>
          <w:tcPr>
            <w:tcW w:w="7938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41DB" w:rsidRPr="00AE0FB3" w:rsidRDefault="006661F3" w:rsidP="003A195F">
            <w:pPr>
              <w:pStyle w:val="Bulletcircle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Initial reporting</w:t>
            </w:r>
          </w:p>
          <w:p w:rsidR="006641DB" w:rsidRPr="00AE0FB3" w:rsidRDefault="006661F3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 xml:space="preserve">define reporting procedures and contact points to the ISIRT </w:t>
            </w:r>
          </w:p>
          <w:p w:rsidR="006641DB" w:rsidRPr="00AE0FB3" w:rsidRDefault="006661F3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the ISIRT contacts the relevant parties within the department and other ISIRT members</w:t>
            </w:r>
          </w:p>
          <w:p w:rsidR="006641DB" w:rsidRPr="00AE0FB3" w:rsidRDefault="006641DB" w:rsidP="005E08C8">
            <w:pPr>
              <w:pStyle w:val="Bullet1"/>
              <w:ind w:left="477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 xml:space="preserve">the </w:t>
            </w:r>
            <w:r w:rsidR="00A711D4" w:rsidRPr="00AE0FB3">
              <w:rPr>
                <w:sz w:val="20"/>
                <w:szCs w:val="20"/>
              </w:rPr>
              <w:t xml:space="preserve">ISIRT </w:t>
            </w:r>
            <w:r w:rsidR="00D35553" w:rsidRPr="00AE0FB3">
              <w:rPr>
                <w:sz w:val="20"/>
                <w:szCs w:val="20"/>
              </w:rPr>
              <w:t xml:space="preserve">understands the defined escalation routes and triggers 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sz w:val="20"/>
                <w:szCs w:val="20"/>
              </w:rPr>
              <w:instrText xml:space="preserve"> FORMCHECKBOX </w:instrText>
            </w:r>
            <w:r w:rsidR="00C86BAD">
              <w:rPr>
                <w:sz w:val="20"/>
                <w:szCs w:val="20"/>
              </w:rPr>
            </w:r>
            <w:r w:rsidR="00C86BAD">
              <w:rPr>
                <w:sz w:val="20"/>
                <w:szCs w:val="20"/>
              </w:rPr>
              <w:fldChar w:fldCharType="separate"/>
            </w:r>
            <w:r w:rsidRPr="00AE0FB3">
              <w:rPr>
                <w:sz w:val="20"/>
                <w:szCs w:val="20"/>
              </w:rPr>
              <w:fldChar w:fldCharType="end"/>
            </w:r>
          </w:p>
          <w:p w:rsidR="006641DB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sz w:val="20"/>
                <w:szCs w:val="20"/>
              </w:rPr>
              <w:instrText xml:space="preserve"> FORMCHECKBOX </w:instrText>
            </w:r>
            <w:r w:rsidR="00C86BAD">
              <w:rPr>
                <w:sz w:val="20"/>
                <w:szCs w:val="20"/>
              </w:rPr>
            </w:r>
            <w:r w:rsidR="00C86BAD">
              <w:rPr>
                <w:sz w:val="20"/>
                <w:szCs w:val="20"/>
              </w:rPr>
              <w:fldChar w:fldCharType="separate"/>
            </w:r>
            <w:r w:rsidRPr="00AE0FB3">
              <w:rPr>
                <w:sz w:val="20"/>
                <w:szCs w:val="20"/>
              </w:rPr>
              <w:fldChar w:fldCharType="end"/>
            </w:r>
          </w:p>
          <w:p w:rsidR="00AE0FB3" w:rsidRPr="00AE0FB3" w:rsidRDefault="00AE0FB3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6641DB" w:rsidRPr="00AE0FB3" w:rsidRDefault="006641DB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sz w:val="20"/>
                <w:szCs w:val="20"/>
              </w:rPr>
              <w:instrText xml:space="preserve"> FORMCHECKBOX </w:instrText>
            </w:r>
            <w:r w:rsidR="00C86BAD">
              <w:rPr>
                <w:sz w:val="20"/>
                <w:szCs w:val="20"/>
              </w:rPr>
            </w:r>
            <w:r w:rsidR="00C86BAD">
              <w:rPr>
                <w:sz w:val="20"/>
                <w:szCs w:val="20"/>
              </w:rPr>
              <w:fldChar w:fldCharType="separate"/>
            </w:r>
            <w:r w:rsidRPr="00AE0FB3">
              <w:rPr>
                <w:sz w:val="20"/>
                <w:szCs w:val="20"/>
              </w:rPr>
              <w:fldChar w:fldCharType="end"/>
            </w:r>
          </w:p>
        </w:tc>
      </w:tr>
    </w:tbl>
    <w:p w:rsidR="00D35553" w:rsidRDefault="00D35553" w:rsidP="00A3240D">
      <w:pPr>
        <w:pStyle w:val="Heading4"/>
        <w:rPr>
          <w:lang w:eastAsia="en-US"/>
        </w:rPr>
      </w:pPr>
      <w:r>
        <w:rPr>
          <w:lang w:eastAsia="en-US"/>
        </w:rPr>
        <w:t xml:space="preserve">Assessment and decision </w:t>
      </w:r>
    </w:p>
    <w:tbl>
      <w:tblPr>
        <w:tblW w:w="9072" w:type="dxa"/>
        <w:tblInd w:w="562" w:type="dxa"/>
        <w:tblBorders>
          <w:top w:val="single" w:sz="4" w:space="0" w:color="2E526B"/>
          <w:left w:val="single" w:sz="4" w:space="0" w:color="2E526B"/>
          <w:bottom w:val="single" w:sz="4" w:space="0" w:color="2E526B"/>
          <w:right w:val="single" w:sz="4" w:space="0" w:color="2E526B"/>
          <w:insideH w:val="single" w:sz="4" w:space="0" w:color="2E526B"/>
          <w:insideV w:val="single" w:sz="4" w:space="0" w:color="2E526B"/>
        </w:tblBorders>
        <w:tblCellMar>
          <w:left w:w="57" w:type="dxa"/>
          <w:right w:w="51" w:type="dxa"/>
        </w:tblCellMar>
        <w:tblLook w:val="01E0" w:firstRow="1" w:lastRow="1" w:firstColumn="1" w:lastColumn="1" w:noHBand="0" w:noVBand="0"/>
      </w:tblPr>
      <w:tblGrid>
        <w:gridCol w:w="7938"/>
        <w:gridCol w:w="1134"/>
      </w:tblGrid>
      <w:tr w:rsidR="00D35553" w:rsidRPr="00AE0FB3" w:rsidTr="00AE0FB3">
        <w:trPr>
          <w:cantSplit/>
        </w:trPr>
        <w:tc>
          <w:tcPr>
            <w:tcW w:w="7938" w:type="dxa"/>
            <w:tcBorders>
              <w:bottom w:val="single" w:sz="12" w:space="0" w:color="2E526B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35553" w:rsidRPr="00AE0FB3" w:rsidRDefault="00D35553" w:rsidP="006A3393">
            <w:pPr>
              <w:pStyle w:val="TableHeading"/>
              <w:widowControl w:val="0"/>
              <w:numPr>
                <w:ilvl w:val="0"/>
                <w:numId w:val="14"/>
              </w:numPr>
              <w:spacing w:line="280" w:lineRule="atLeast"/>
              <w:rPr>
                <w:rFonts w:cs="Arial"/>
                <w:b/>
                <w:color w:val="auto"/>
                <w:sz w:val="20"/>
                <w:szCs w:val="20"/>
              </w:rPr>
            </w:pPr>
            <w:r w:rsidRPr="00AE0FB3">
              <w:rPr>
                <w:rFonts w:cs="Arial"/>
                <w:b/>
                <w:color w:val="auto"/>
                <w:sz w:val="20"/>
                <w:szCs w:val="20"/>
              </w:rPr>
              <w:t>Activity</w:t>
            </w:r>
          </w:p>
        </w:tc>
        <w:tc>
          <w:tcPr>
            <w:tcW w:w="1134" w:type="dxa"/>
            <w:tcBorders>
              <w:bottom w:val="single" w:sz="12" w:space="0" w:color="2E526B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35553" w:rsidRPr="00AE0FB3" w:rsidRDefault="00D35553" w:rsidP="006A3393">
            <w:pPr>
              <w:pStyle w:val="TableHeading"/>
              <w:widowControl w:val="0"/>
              <w:numPr>
                <w:ilvl w:val="0"/>
                <w:numId w:val="14"/>
              </w:numPr>
              <w:spacing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AE0FB3">
              <w:rPr>
                <w:rFonts w:cs="Arial"/>
                <w:b/>
                <w:color w:val="auto"/>
                <w:sz w:val="20"/>
                <w:szCs w:val="20"/>
              </w:rPr>
              <w:t>Checklist</w:t>
            </w:r>
          </w:p>
        </w:tc>
      </w:tr>
      <w:tr w:rsidR="00D35553" w:rsidRPr="00AE0FB3" w:rsidTr="00AE0FB3">
        <w:trPr>
          <w:cantSplit/>
        </w:trPr>
        <w:tc>
          <w:tcPr>
            <w:tcW w:w="7938" w:type="dxa"/>
            <w:tcBorders>
              <w:top w:val="single" w:sz="12" w:space="0" w:color="2E526B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35553" w:rsidRPr="00AE0FB3" w:rsidRDefault="00D35553" w:rsidP="006A3393">
            <w:pPr>
              <w:pStyle w:val="BodyText"/>
              <w:numPr>
                <w:ilvl w:val="0"/>
                <w:numId w:val="0"/>
              </w:numPr>
              <w:rPr>
                <w:sz w:val="20"/>
              </w:rPr>
            </w:pPr>
            <w:r w:rsidRPr="00AE0FB3">
              <w:rPr>
                <w:sz w:val="20"/>
              </w:rPr>
              <w:t xml:space="preserve">Assessment </w:t>
            </w:r>
          </w:p>
          <w:p w:rsidR="00D35553" w:rsidRPr="00AE0FB3" w:rsidRDefault="00D35553" w:rsidP="00AE0FB3">
            <w:pPr>
              <w:pStyle w:val="Bullet1"/>
              <w:ind w:left="489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 xml:space="preserve">ISIRT </w:t>
            </w:r>
            <w:r w:rsidR="00A57319" w:rsidRPr="00AE0FB3">
              <w:rPr>
                <w:sz w:val="20"/>
                <w:szCs w:val="20"/>
              </w:rPr>
              <w:t xml:space="preserve">follows the Incident reporting standard to assess the incident </w:t>
            </w:r>
          </w:p>
          <w:p w:rsidR="00D35553" w:rsidRPr="00AE0FB3" w:rsidRDefault="00A57319" w:rsidP="00AE0FB3">
            <w:pPr>
              <w:pStyle w:val="Bullet1"/>
              <w:ind w:left="489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 xml:space="preserve">Follow defined escalation </w:t>
            </w:r>
            <w:r w:rsidR="00762627" w:rsidRPr="00AE0FB3">
              <w:rPr>
                <w:sz w:val="20"/>
                <w:szCs w:val="20"/>
              </w:rPr>
              <w:t>criteria</w:t>
            </w:r>
            <w:r w:rsidRPr="00AE0FB3">
              <w:rPr>
                <w:sz w:val="20"/>
                <w:szCs w:val="20"/>
              </w:rPr>
              <w:t xml:space="preserve"> based on the incident assessment </w:t>
            </w:r>
          </w:p>
          <w:p w:rsidR="00D35553" w:rsidRPr="00AE0FB3" w:rsidRDefault="00762627" w:rsidP="00AE0FB3">
            <w:pPr>
              <w:pStyle w:val="Bullet1"/>
              <w:ind w:left="489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 xml:space="preserve">Determine any reporting requirements based on the BIL of the system or information asset </w:t>
            </w:r>
          </w:p>
          <w:p w:rsidR="00D35553" w:rsidRPr="00AE0FB3" w:rsidRDefault="00A22ED9" w:rsidP="00AE0FB3">
            <w:pPr>
              <w:pStyle w:val="Bullet1"/>
              <w:ind w:left="489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 xml:space="preserve">Incident assessments are defined in clear and simple </w:t>
            </w:r>
            <w:r w:rsidR="00A97C5A" w:rsidRPr="00AE0FB3">
              <w:rPr>
                <w:sz w:val="20"/>
                <w:szCs w:val="20"/>
              </w:rPr>
              <w:t xml:space="preserve">language </w:t>
            </w:r>
          </w:p>
        </w:tc>
        <w:tc>
          <w:tcPr>
            <w:tcW w:w="1134" w:type="dxa"/>
            <w:tcBorders>
              <w:top w:val="single" w:sz="12" w:space="0" w:color="2E526B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35553" w:rsidRPr="00AE0FB3" w:rsidRDefault="00D35553" w:rsidP="006A3393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D35553" w:rsidRPr="00AE0FB3" w:rsidRDefault="00D35553" w:rsidP="006A3393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sz w:val="20"/>
                <w:szCs w:val="20"/>
              </w:rPr>
              <w:instrText xml:space="preserve"> FORMCHECKBOX </w:instrText>
            </w:r>
            <w:r w:rsidR="00C86BAD">
              <w:rPr>
                <w:sz w:val="20"/>
                <w:szCs w:val="20"/>
              </w:rPr>
            </w:r>
            <w:r w:rsidR="00C86BAD">
              <w:rPr>
                <w:sz w:val="20"/>
                <w:szCs w:val="20"/>
              </w:rPr>
              <w:fldChar w:fldCharType="separate"/>
            </w:r>
            <w:r w:rsidRPr="00AE0FB3">
              <w:rPr>
                <w:sz w:val="20"/>
                <w:szCs w:val="20"/>
              </w:rPr>
              <w:fldChar w:fldCharType="end"/>
            </w:r>
          </w:p>
          <w:p w:rsidR="00D35553" w:rsidRPr="00AE0FB3" w:rsidRDefault="00D35553" w:rsidP="006A3393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sz w:val="20"/>
                <w:szCs w:val="20"/>
              </w:rPr>
              <w:instrText xml:space="preserve"> FORMCHECKBOX </w:instrText>
            </w:r>
            <w:r w:rsidR="00C86BAD">
              <w:rPr>
                <w:sz w:val="20"/>
                <w:szCs w:val="20"/>
              </w:rPr>
            </w:r>
            <w:r w:rsidR="00C86BAD">
              <w:rPr>
                <w:sz w:val="20"/>
                <w:szCs w:val="20"/>
              </w:rPr>
              <w:fldChar w:fldCharType="separate"/>
            </w:r>
            <w:r w:rsidRPr="00AE0FB3">
              <w:rPr>
                <w:sz w:val="20"/>
                <w:szCs w:val="20"/>
              </w:rPr>
              <w:fldChar w:fldCharType="end"/>
            </w:r>
          </w:p>
          <w:p w:rsidR="00D35553" w:rsidRDefault="00D35553" w:rsidP="006A3393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sz w:val="20"/>
                <w:szCs w:val="20"/>
              </w:rPr>
              <w:instrText xml:space="preserve"> FORMCHECKBOX </w:instrText>
            </w:r>
            <w:r w:rsidR="00C86BAD">
              <w:rPr>
                <w:sz w:val="20"/>
                <w:szCs w:val="20"/>
              </w:rPr>
            </w:r>
            <w:r w:rsidR="00C86BAD">
              <w:rPr>
                <w:sz w:val="20"/>
                <w:szCs w:val="20"/>
              </w:rPr>
              <w:fldChar w:fldCharType="separate"/>
            </w:r>
            <w:r w:rsidRPr="00AE0FB3">
              <w:rPr>
                <w:sz w:val="20"/>
                <w:szCs w:val="20"/>
              </w:rPr>
              <w:fldChar w:fldCharType="end"/>
            </w:r>
          </w:p>
          <w:p w:rsidR="00AE0FB3" w:rsidRPr="00AE0FB3" w:rsidRDefault="00AE0FB3" w:rsidP="006A3393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D35553" w:rsidRPr="00AE0FB3" w:rsidRDefault="00D35553" w:rsidP="006A3393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sz w:val="20"/>
                <w:szCs w:val="20"/>
              </w:rPr>
              <w:instrText xml:space="preserve"> FORMCHECKBOX </w:instrText>
            </w:r>
            <w:r w:rsidR="00C86BAD">
              <w:rPr>
                <w:sz w:val="20"/>
                <w:szCs w:val="20"/>
              </w:rPr>
            </w:r>
            <w:r w:rsidR="00C86BAD">
              <w:rPr>
                <w:sz w:val="20"/>
                <w:szCs w:val="20"/>
              </w:rPr>
              <w:fldChar w:fldCharType="separate"/>
            </w:r>
            <w:r w:rsidRPr="00AE0FB3">
              <w:rPr>
                <w:sz w:val="20"/>
                <w:szCs w:val="20"/>
              </w:rPr>
              <w:fldChar w:fldCharType="end"/>
            </w:r>
          </w:p>
        </w:tc>
      </w:tr>
      <w:tr w:rsidR="00D35553" w:rsidRPr="00AE0FB3" w:rsidTr="00AE0FB3">
        <w:trPr>
          <w:cantSplit/>
        </w:trPr>
        <w:tc>
          <w:tcPr>
            <w:tcW w:w="7938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35553" w:rsidRPr="00AE0FB3" w:rsidRDefault="00D35553" w:rsidP="006A3393">
            <w:pPr>
              <w:pStyle w:val="Bulletcircle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Logging and information capture</w:t>
            </w:r>
          </w:p>
          <w:p w:rsidR="00D35553" w:rsidRPr="00AE0FB3" w:rsidRDefault="00D35553" w:rsidP="00AE0FB3">
            <w:pPr>
              <w:pStyle w:val="Bullet1"/>
              <w:ind w:left="489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 xml:space="preserve">the ISIRT </w:t>
            </w:r>
            <w:r w:rsidR="00C3232B" w:rsidRPr="00AE0FB3">
              <w:rPr>
                <w:sz w:val="20"/>
                <w:szCs w:val="20"/>
              </w:rPr>
              <w:t>continues</w:t>
            </w:r>
            <w:r w:rsidRPr="00AE0FB3">
              <w:rPr>
                <w:sz w:val="20"/>
                <w:szCs w:val="20"/>
              </w:rPr>
              <w:t xml:space="preserve"> all</w:t>
            </w:r>
            <w:r w:rsidR="00C3232B" w:rsidRPr="00AE0FB3">
              <w:rPr>
                <w:sz w:val="20"/>
                <w:szCs w:val="20"/>
              </w:rPr>
              <w:t xml:space="preserve"> logging</w:t>
            </w:r>
            <w:r w:rsidRPr="00AE0FB3">
              <w:rPr>
                <w:sz w:val="20"/>
                <w:szCs w:val="20"/>
              </w:rPr>
              <w:t xml:space="preserve"> activities during the </w:t>
            </w:r>
            <w:r w:rsidR="009053E8">
              <w:rPr>
                <w:sz w:val="20"/>
                <w:szCs w:val="20"/>
              </w:rPr>
              <w:t>incident response</w:t>
            </w:r>
            <w:r w:rsidRPr="00AE0FB3">
              <w:rPr>
                <w:sz w:val="20"/>
                <w:szCs w:val="20"/>
              </w:rPr>
              <w:t xml:space="preserve"> process</w:t>
            </w:r>
          </w:p>
          <w:p w:rsidR="00D35553" w:rsidRPr="00AE0FB3" w:rsidRDefault="00D35553" w:rsidP="00AE0FB3">
            <w:pPr>
              <w:pStyle w:val="Bullet1"/>
              <w:ind w:left="489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 xml:space="preserve">the ISIRT captures all electronic evidence and information assets related to the event 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35553" w:rsidRPr="00AE0FB3" w:rsidRDefault="00D35553" w:rsidP="006A3393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D35553" w:rsidRPr="00AE0FB3" w:rsidRDefault="00D35553" w:rsidP="006A3393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sz w:val="20"/>
                <w:szCs w:val="20"/>
              </w:rPr>
              <w:instrText xml:space="preserve"> FORMCHECKBOX </w:instrText>
            </w:r>
            <w:r w:rsidR="00C86BAD">
              <w:rPr>
                <w:sz w:val="20"/>
                <w:szCs w:val="20"/>
              </w:rPr>
            </w:r>
            <w:r w:rsidR="00C86BAD">
              <w:rPr>
                <w:sz w:val="20"/>
                <w:szCs w:val="20"/>
              </w:rPr>
              <w:fldChar w:fldCharType="separate"/>
            </w:r>
            <w:r w:rsidRPr="00AE0FB3">
              <w:rPr>
                <w:sz w:val="20"/>
                <w:szCs w:val="20"/>
              </w:rPr>
              <w:fldChar w:fldCharType="end"/>
            </w:r>
          </w:p>
          <w:p w:rsidR="00D35553" w:rsidRPr="00AE0FB3" w:rsidRDefault="00D35553" w:rsidP="006A3393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sz w:val="20"/>
                <w:szCs w:val="20"/>
              </w:rPr>
              <w:instrText xml:space="preserve"> FORMCHECKBOX </w:instrText>
            </w:r>
            <w:r w:rsidR="00C86BAD">
              <w:rPr>
                <w:sz w:val="20"/>
                <w:szCs w:val="20"/>
              </w:rPr>
            </w:r>
            <w:r w:rsidR="00C86BAD">
              <w:rPr>
                <w:sz w:val="20"/>
                <w:szCs w:val="20"/>
              </w:rPr>
              <w:fldChar w:fldCharType="separate"/>
            </w:r>
            <w:r w:rsidRPr="00AE0FB3">
              <w:rPr>
                <w:sz w:val="20"/>
                <w:szCs w:val="20"/>
              </w:rPr>
              <w:fldChar w:fldCharType="end"/>
            </w:r>
          </w:p>
          <w:p w:rsidR="00D35553" w:rsidRPr="00AE0FB3" w:rsidRDefault="00D35553" w:rsidP="006A3393">
            <w:pPr>
              <w:pStyle w:val="Bulletcircle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:rsidR="006641DB" w:rsidRDefault="006641DB" w:rsidP="00A3240D">
      <w:pPr>
        <w:pStyle w:val="Heading4"/>
        <w:numPr>
          <w:ilvl w:val="0"/>
          <w:numId w:val="0"/>
        </w:numPr>
        <w:ind w:left="567"/>
        <w:rPr>
          <w:lang w:eastAsia="en-US"/>
        </w:rPr>
      </w:pPr>
      <w:r w:rsidRPr="00020918">
        <w:rPr>
          <w:lang w:eastAsia="en-US"/>
        </w:rPr>
        <w:br w:type="page"/>
      </w:r>
      <w:r w:rsidRPr="00020918">
        <w:rPr>
          <w:lang w:eastAsia="en-US"/>
        </w:rPr>
        <w:lastRenderedPageBreak/>
        <w:t>Re</w:t>
      </w:r>
      <w:r w:rsidR="00C3232B">
        <w:rPr>
          <w:lang w:eastAsia="en-US"/>
        </w:rPr>
        <w:t>sponses</w:t>
      </w:r>
    </w:p>
    <w:tbl>
      <w:tblPr>
        <w:tblW w:w="9087" w:type="dxa"/>
        <w:tblInd w:w="562" w:type="dxa"/>
        <w:tblBorders>
          <w:top w:val="single" w:sz="4" w:space="0" w:color="2E526B"/>
          <w:left w:val="single" w:sz="4" w:space="0" w:color="2E526B"/>
          <w:bottom w:val="single" w:sz="4" w:space="0" w:color="2E526B"/>
          <w:right w:val="single" w:sz="4" w:space="0" w:color="2E526B"/>
          <w:insideH w:val="single" w:sz="4" w:space="0" w:color="2E526B"/>
          <w:insideV w:val="single" w:sz="4" w:space="0" w:color="2E526B"/>
        </w:tblBorders>
        <w:tblCellMar>
          <w:left w:w="57" w:type="dxa"/>
          <w:right w:w="51" w:type="dxa"/>
        </w:tblCellMar>
        <w:tblLook w:val="01E0" w:firstRow="1" w:lastRow="1" w:firstColumn="1" w:lastColumn="1" w:noHBand="0" w:noVBand="0"/>
      </w:tblPr>
      <w:tblGrid>
        <w:gridCol w:w="7938"/>
        <w:gridCol w:w="1149"/>
      </w:tblGrid>
      <w:tr w:rsidR="00270E2E" w:rsidRPr="00270E2E" w:rsidTr="00AE0FB3">
        <w:trPr>
          <w:cantSplit/>
        </w:trPr>
        <w:tc>
          <w:tcPr>
            <w:tcW w:w="7938" w:type="dxa"/>
            <w:tcBorders>
              <w:bottom w:val="single" w:sz="12" w:space="0" w:color="2E526B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41DB" w:rsidRPr="00AE0FB3" w:rsidRDefault="006641DB" w:rsidP="00270E2E">
            <w:pPr>
              <w:pStyle w:val="TableHeading"/>
              <w:widowControl w:val="0"/>
              <w:numPr>
                <w:ilvl w:val="0"/>
                <w:numId w:val="14"/>
              </w:numPr>
              <w:spacing w:line="280" w:lineRule="atLeast"/>
              <w:rPr>
                <w:rFonts w:cs="Arial"/>
                <w:b/>
                <w:color w:val="auto"/>
                <w:sz w:val="20"/>
                <w:szCs w:val="20"/>
              </w:rPr>
            </w:pPr>
            <w:r w:rsidRPr="00AE0FB3">
              <w:rPr>
                <w:rFonts w:cs="Arial"/>
                <w:b/>
                <w:color w:val="auto"/>
                <w:sz w:val="20"/>
                <w:szCs w:val="20"/>
              </w:rPr>
              <w:t>Activity</w:t>
            </w:r>
          </w:p>
        </w:tc>
        <w:tc>
          <w:tcPr>
            <w:tcW w:w="1149" w:type="dxa"/>
            <w:tcBorders>
              <w:bottom w:val="single" w:sz="12" w:space="0" w:color="2E526B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41DB" w:rsidRPr="00270E2E" w:rsidRDefault="006641DB" w:rsidP="00270E2E">
            <w:pPr>
              <w:pStyle w:val="TableHeading"/>
              <w:widowControl w:val="0"/>
              <w:numPr>
                <w:ilvl w:val="0"/>
                <w:numId w:val="14"/>
              </w:num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  <w:r w:rsidRPr="00270E2E">
              <w:rPr>
                <w:rFonts w:cs="Arial"/>
                <w:b/>
                <w:color w:val="auto"/>
              </w:rPr>
              <w:t>Checklist</w:t>
            </w:r>
          </w:p>
        </w:tc>
      </w:tr>
      <w:tr w:rsidR="006641DB" w:rsidRPr="00646B23" w:rsidTr="00AE0FB3">
        <w:trPr>
          <w:cantSplit/>
        </w:trPr>
        <w:tc>
          <w:tcPr>
            <w:tcW w:w="7938" w:type="dxa"/>
            <w:tcBorders>
              <w:top w:val="single" w:sz="12" w:space="0" w:color="2E526B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41DB" w:rsidRPr="00AE0FB3" w:rsidRDefault="006641DB" w:rsidP="00270E2E">
            <w:pPr>
              <w:pStyle w:val="BodyText"/>
              <w:widowControl w:val="0"/>
              <w:numPr>
                <w:ilvl w:val="0"/>
                <w:numId w:val="24"/>
              </w:numPr>
              <w:spacing w:before="0" w:line="240" w:lineRule="auto"/>
              <w:ind w:left="0"/>
              <w:rPr>
                <w:rFonts w:cs="Arial"/>
                <w:sz w:val="20"/>
                <w:lang w:eastAsia="en-US"/>
              </w:rPr>
            </w:pPr>
            <w:r w:rsidRPr="00AE0FB3">
              <w:rPr>
                <w:rFonts w:cs="Arial"/>
                <w:sz w:val="20"/>
                <w:lang w:eastAsia="en-US"/>
              </w:rPr>
              <w:t>Incident</w:t>
            </w:r>
            <w:r w:rsidR="00C3232B" w:rsidRPr="00AE0FB3">
              <w:rPr>
                <w:rFonts w:cs="Arial"/>
                <w:sz w:val="20"/>
                <w:lang w:eastAsia="en-US"/>
              </w:rPr>
              <w:t xml:space="preserve"> review</w:t>
            </w:r>
          </w:p>
          <w:p w:rsidR="006641DB" w:rsidRPr="00AE0FB3" w:rsidRDefault="00C3232B" w:rsidP="00AE0FB3">
            <w:pPr>
              <w:pStyle w:val="Bullet1"/>
              <w:ind w:left="489"/>
              <w:rPr>
                <w:sz w:val="20"/>
                <w:szCs w:val="20"/>
                <w:lang w:eastAsia="en-US"/>
              </w:rPr>
            </w:pPr>
            <w:r w:rsidRPr="00AE0FB3">
              <w:rPr>
                <w:sz w:val="20"/>
                <w:szCs w:val="20"/>
                <w:lang w:eastAsia="en-US"/>
              </w:rPr>
              <w:t>c</w:t>
            </w:r>
            <w:r w:rsidR="006641DB" w:rsidRPr="00AE0FB3">
              <w:rPr>
                <w:sz w:val="20"/>
                <w:szCs w:val="20"/>
                <w:lang w:eastAsia="en-US"/>
              </w:rPr>
              <w:t>onduct</w:t>
            </w:r>
            <w:r w:rsidRPr="00AE0FB3">
              <w:rPr>
                <w:sz w:val="20"/>
                <w:szCs w:val="20"/>
                <w:lang w:eastAsia="en-US"/>
              </w:rPr>
              <w:t xml:space="preserve"> ongoing assessment of the incident </w:t>
            </w:r>
          </w:p>
          <w:p w:rsidR="006641DB" w:rsidRPr="00AE0FB3" w:rsidRDefault="00C3232B" w:rsidP="00AE0FB3">
            <w:pPr>
              <w:pStyle w:val="Bullet1"/>
              <w:ind w:left="489"/>
              <w:rPr>
                <w:sz w:val="20"/>
                <w:szCs w:val="20"/>
                <w:lang w:eastAsia="en-US"/>
              </w:rPr>
            </w:pPr>
            <w:r w:rsidRPr="00AE0FB3">
              <w:rPr>
                <w:sz w:val="20"/>
                <w:szCs w:val="20"/>
                <w:lang w:eastAsia="en-US"/>
              </w:rPr>
              <w:t>arrange response activities and relevant playbooks</w:t>
            </w:r>
            <w:r w:rsidR="006641DB" w:rsidRPr="00AE0FB3">
              <w:rPr>
                <w:sz w:val="20"/>
                <w:szCs w:val="20"/>
                <w:lang w:eastAsia="en-US"/>
              </w:rPr>
              <w:t xml:space="preserve">  </w:t>
            </w:r>
          </w:p>
          <w:p w:rsidR="006641DB" w:rsidRPr="00AE0FB3" w:rsidRDefault="002E4D93" w:rsidP="00AE0FB3">
            <w:pPr>
              <w:pStyle w:val="Bullet1"/>
              <w:ind w:left="489"/>
              <w:rPr>
                <w:sz w:val="20"/>
                <w:szCs w:val="20"/>
                <w:lang w:eastAsia="en-US"/>
              </w:rPr>
            </w:pPr>
            <w:r w:rsidRPr="00AE0FB3">
              <w:rPr>
                <w:sz w:val="20"/>
                <w:szCs w:val="20"/>
                <w:lang w:eastAsia="en-US"/>
              </w:rPr>
              <w:t xml:space="preserve">ISIRT should be aware of when to escalate or end the incident response activities </w:t>
            </w:r>
          </w:p>
        </w:tc>
        <w:tc>
          <w:tcPr>
            <w:tcW w:w="1149" w:type="dxa"/>
            <w:tcBorders>
              <w:top w:val="single" w:sz="12" w:space="0" w:color="2E526B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</w:p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6641DB" w:rsidRPr="00AE0FB3" w:rsidRDefault="006641DB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6641DB" w:rsidRPr="00AE0FB3" w:rsidRDefault="006641DB" w:rsidP="00AE0FB3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41DB" w:rsidRPr="00646B23" w:rsidTr="00AE0FB3">
        <w:trPr>
          <w:cantSplit/>
        </w:trPr>
        <w:tc>
          <w:tcPr>
            <w:tcW w:w="7938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41DB" w:rsidRPr="00AE0FB3" w:rsidRDefault="002E4D93" w:rsidP="00270E2E">
            <w:pPr>
              <w:pStyle w:val="TableHeading"/>
              <w:widowControl w:val="0"/>
              <w:numPr>
                <w:ilvl w:val="0"/>
                <w:numId w:val="14"/>
              </w:numPr>
              <w:spacing w:before="0"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AE0FB3">
              <w:rPr>
                <w:rFonts w:cs="Arial"/>
                <w:bCs/>
                <w:color w:val="auto"/>
                <w:sz w:val="20"/>
                <w:szCs w:val="20"/>
              </w:rPr>
              <w:t xml:space="preserve">Response activities </w:t>
            </w:r>
          </w:p>
          <w:p w:rsidR="006641DB" w:rsidRPr="00AE0FB3" w:rsidRDefault="002E4D93" w:rsidP="00AE0FB3">
            <w:pPr>
              <w:pStyle w:val="Bullet1"/>
              <w:ind w:left="489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 xml:space="preserve">the ISIRT exercises the defined processes from the relevant playbooks </w:t>
            </w:r>
          </w:p>
          <w:p w:rsidR="006641DB" w:rsidRPr="00AE0FB3" w:rsidRDefault="00354A75" w:rsidP="00AE0FB3">
            <w:pPr>
              <w:pStyle w:val="Bullet1"/>
              <w:ind w:left="489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conduct response activities to resolve the incident</w:t>
            </w:r>
            <w:r w:rsidR="006641DB" w:rsidRPr="00AE0FB3">
              <w:rPr>
                <w:sz w:val="20"/>
                <w:szCs w:val="20"/>
              </w:rPr>
              <w:t>.</w:t>
            </w:r>
          </w:p>
        </w:tc>
        <w:tc>
          <w:tcPr>
            <w:tcW w:w="1149" w:type="dxa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</w:p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3677" w:rsidRPr="00646B23" w:rsidTr="00AE0FB3">
        <w:trPr>
          <w:cantSplit/>
        </w:trPr>
        <w:tc>
          <w:tcPr>
            <w:tcW w:w="7938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677" w:rsidRPr="00AE0FB3" w:rsidRDefault="00A03677" w:rsidP="00A03677">
            <w:pPr>
              <w:pStyle w:val="Bulletcircle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t xml:space="preserve">Forensic analysis </w:t>
            </w:r>
          </w:p>
          <w:p w:rsidR="00A03677" w:rsidRPr="00AE0FB3" w:rsidRDefault="00A03677" w:rsidP="00AE0FB3">
            <w:pPr>
              <w:pStyle w:val="Bullet1"/>
              <w:ind w:left="489"/>
              <w:rPr>
                <w:sz w:val="20"/>
                <w:szCs w:val="20"/>
                <w:lang w:eastAsia="en-US"/>
              </w:rPr>
            </w:pPr>
            <w:r w:rsidRPr="00AE0FB3">
              <w:rPr>
                <w:sz w:val="20"/>
                <w:szCs w:val="20"/>
                <w:lang w:eastAsia="en-US"/>
              </w:rPr>
              <w:t>the department has monitoring/detection techniques for automated incident detection, which can be used for forensic analysis</w:t>
            </w:r>
            <w:r w:rsidRPr="00AE0FB3" w:rsidDel="0024173D">
              <w:rPr>
                <w:sz w:val="20"/>
                <w:szCs w:val="20"/>
                <w:lang w:eastAsia="en-US"/>
              </w:rPr>
              <w:t xml:space="preserve"> </w:t>
            </w:r>
          </w:p>
          <w:p w:rsidR="00A03677" w:rsidRPr="00AE0FB3" w:rsidRDefault="00A03677" w:rsidP="00AE0FB3">
            <w:pPr>
              <w:pStyle w:val="Bullet1"/>
              <w:ind w:left="489"/>
              <w:rPr>
                <w:rFonts w:cs="Arial"/>
                <w:sz w:val="20"/>
                <w:szCs w:val="20"/>
              </w:rPr>
            </w:pPr>
            <w:r w:rsidRPr="00AE0FB3">
              <w:rPr>
                <w:sz w:val="20"/>
                <w:szCs w:val="20"/>
                <w:lang w:eastAsia="en-US"/>
              </w:rPr>
              <w:t>the department can collect forensic data</w:t>
            </w:r>
          </w:p>
          <w:p w:rsidR="00A03677" w:rsidRPr="00AE0FB3" w:rsidRDefault="00A03677" w:rsidP="00AE0FB3">
            <w:pPr>
              <w:pStyle w:val="Bullet1"/>
              <w:ind w:left="489"/>
              <w:rPr>
                <w:rFonts w:cs="Arial"/>
                <w:sz w:val="20"/>
                <w:szCs w:val="20"/>
              </w:rPr>
            </w:pPr>
            <w:r w:rsidRPr="00AE0FB3">
              <w:rPr>
                <w:sz w:val="20"/>
                <w:szCs w:val="20"/>
                <w:lang w:eastAsia="en-US"/>
              </w:rPr>
              <w:t xml:space="preserve">the department has access to resources that would allow forensic analysis  </w:t>
            </w:r>
          </w:p>
        </w:tc>
        <w:tc>
          <w:tcPr>
            <w:tcW w:w="1149" w:type="dxa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677" w:rsidRPr="00AE0FB3" w:rsidRDefault="00A03677" w:rsidP="00A03677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</w:p>
          <w:p w:rsidR="00A03677" w:rsidRDefault="00A03677" w:rsidP="00A03677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AE0FB3" w:rsidRPr="00AE0FB3" w:rsidRDefault="00AE0FB3" w:rsidP="00A03677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</w:p>
          <w:p w:rsidR="00A03677" w:rsidRPr="00AE0FB3" w:rsidRDefault="00A03677" w:rsidP="00A03677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A03677" w:rsidRPr="00AE0FB3" w:rsidRDefault="00A03677" w:rsidP="00A03677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3677" w:rsidRPr="00646B23" w:rsidTr="00AE0FB3">
        <w:trPr>
          <w:cantSplit/>
        </w:trPr>
        <w:tc>
          <w:tcPr>
            <w:tcW w:w="7938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677" w:rsidRPr="00AE0FB3" w:rsidRDefault="00A03677" w:rsidP="00A03677">
            <w:pPr>
              <w:pStyle w:val="Bulletcircle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Logging and information capture</w:t>
            </w:r>
          </w:p>
          <w:p w:rsidR="00A03677" w:rsidRPr="00AE0FB3" w:rsidRDefault="00A03677" w:rsidP="00AE0FB3">
            <w:pPr>
              <w:pStyle w:val="Bullet1"/>
              <w:ind w:left="489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 xml:space="preserve">the ISIRT continues all logging activities during the </w:t>
            </w:r>
            <w:r w:rsidR="009053E8">
              <w:rPr>
                <w:sz w:val="20"/>
                <w:szCs w:val="20"/>
              </w:rPr>
              <w:t>incident response</w:t>
            </w:r>
            <w:r w:rsidRPr="00AE0FB3">
              <w:rPr>
                <w:sz w:val="20"/>
                <w:szCs w:val="20"/>
              </w:rPr>
              <w:t xml:space="preserve"> process</w:t>
            </w:r>
          </w:p>
          <w:p w:rsidR="00A03677" w:rsidRPr="00AE0FB3" w:rsidRDefault="00A03677" w:rsidP="00AE0FB3">
            <w:pPr>
              <w:pStyle w:val="Bullet1"/>
              <w:ind w:left="489"/>
              <w:rPr>
                <w:rFonts w:cs="Arial"/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the ISIRT captures all electronic evidence and information assets related to the event</w:t>
            </w:r>
          </w:p>
        </w:tc>
        <w:tc>
          <w:tcPr>
            <w:tcW w:w="1149" w:type="dxa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677" w:rsidRPr="00AE0FB3" w:rsidRDefault="00A03677" w:rsidP="00A03677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</w:p>
          <w:p w:rsidR="00A03677" w:rsidRPr="00AE0FB3" w:rsidRDefault="00A03677" w:rsidP="00A03677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A03677" w:rsidRPr="00AE0FB3" w:rsidRDefault="00A03677" w:rsidP="00A03677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641DB" w:rsidRDefault="00C3232B" w:rsidP="00A3240D">
      <w:pPr>
        <w:pStyle w:val="Heading4"/>
        <w:numPr>
          <w:ilvl w:val="0"/>
          <w:numId w:val="0"/>
        </w:numPr>
        <w:ind w:left="567"/>
        <w:rPr>
          <w:lang w:eastAsia="en-US"/>
        </w:rPr>
      </w:pPr>
      <w:r>
        <w:rPr>
          <w:lang w:eastAsia="en-US"/>
        </w:rPr>
        <w:t xml:space="preserve">Lessons </w:t>
      </w:r>
      <w:r w:rsidR="00A3240D">
        <w:rPr>
          <w:lang w:eastAsia="en-US"/>
        </w:rPr>
        <w:t>l</w:t>
      </w:r>
      <w:r>
        <w:rPr>
          <w:lang w:eastAsia="en-US"/>
        </w:rPr>
        <w:t>earnt</w:t>
      </w:r>
    </w:p>
    <w:tbl>
      <w:tblPr>
        <w:tblW w:w="9072" w:type="dxa"/>
        <w:tblInd w:w="562" w:type="dxa"/>
        <w:tblBorders>
          <w:top w:val="single" w:sz="4" w:space="0" w:color="2E526B"/>
          <w:left w:val="single" w:sz="4" w:space="0" w:color="2E526B"/>
          <w:bottom w:val="single" w:sz="4" w:space="0" w:color="2E526B"/>
          <w:right w:val="single" w:sz="4" w:space="0" w:color="2E526B"/>
          <w:insideH w:val="single" w:sz="4" w:space="0" w:color="2E526B"/>
          <w:insideV w:val="single" w:sz="4" w:space="0" w:color="2E526B"/>
        </w:tblBorders>
        <w:tblCellMar>
          <w:left w:w="57" w:type="dxa"/>
          <w:right w:w="51" w:type="dxa"/>
        </w:tblCellMar>
        <w:tblLook w:val="01E0" w:firstRow="1" w:lastRow="1" w:firstColumn="1" w:lastColumn="1" w:noHBand="0" w:noVBand="0"/>
      </w:tblPr>
      <w:tblGrid>
        <w:gridCol w:w="7938"/>
        <w:gridCol w:w="1134"/>
      </w:tblGrid>
      <w:tr w:rsidR="00270E2E" w:rsidRPr="00AE0FB3" w:rsidTr="00AE0FB3">
        <w:trPr>
          <w:cantSplit/>
        </w:trPr>
        <w:tc>
          <w:tcPr>
            <w:tcW w:w="7938" w:type="dxa"/>
            <w:tcBorders>
              <w:bottom w:val="single" w:sz="12" w:space="0" w:color="2E526B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70E2E" w:rsidRPr="00AE0FB3" w:rsidRDefault="00270E2E" w:rsidP="00270E2E">
            <w:pPr>
              <w:pStyle w:val="TableHeading"/>
              <w:widowControl w:val="0"/>
              <w:numPr>
                <w:ilvl w:val="0"/>
                <w:numId w:val="14"/>
              </w:numPr>
              <w:spacing w:line="280" w:lineRule="atLeast"/>
              <w:rPr>
                <w:rFonts w:cs="Arial"/>
                <w:b/>
                <w:color w:val="auto"/>
                <w:sz w:val="20"/>
                <w:szCs w:val="20"/>
              </w:rPr>
            </w:pPr>
            <w:r w:rsidRPr="00AE0FB3">
              <w:rPr>
                <w:rFonts w:cs="Arial"/>
                <w:b/>
                <w:color w:val="auto"/>
                <w:sz w:val="20"/>
                <w:szCs w:val="20"/>
              </w:rPr>
              <w:t>Activity</w:t>
            </w:r>
          </w:p>
        </w:tc>
        <w:tc>
          <w:tcPr>
            <w:tcW w:w="1134" w:type="dxa"/>
            <w:tcBorders>
              <w:bottom w:val="single" w:sz="12" w:space="0" w:color="2E526B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70E2E" w:rsidRPr="00AE0FB3" w:rsidRDefault="00270E2E" w:rsidP="00270E2E">
            <w:pPr>
              <w:pStyle w:val="TableHeading"/>
              <w:widowControl w:val="0"/>
              <w:numPr>
                <w:ilvl w:val="0"/>
                <w:numId w:val="14"/>
              </w:numPr>
              <w:spacing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AE0FB3">
              <w:rPr>
                <w:rFonts w:cs="Arial"/>
                <w:b/>
                <w:color w:val="auto"/>
                <w:sz w:val="20"/>
                <w:szCs w:val="20"/>
              </w:rPr>
              <w:t>Checklist</w:t>
            </w:r>
          </w:p>
        </w:tc>
      </w:tr>
      <w:tr w:rsidR="006641DB" w:rsidRPr="00AE0FB3" w:rsidTr="00AE0FB3">
        <w:trPr>
          <w:cantSplit/>
        </w:trPr>
        <w:tc>
          <w:tcPr>
            <w:tcW w:w="7938" w:type="dxa"/>
            <w:tcBorders>
              <w:top w:val="single" w:sz="12" w:space="0" w:color="2E526B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41DB" w:rsidRPr="00AE0FB3" w:rsidRDefault="00354A75" w:rsidP="00270E2E">
            <w:pPr>
              <w:pStyle w:val="BodyText"/>
              <w:widowControl w:val="0"/>
              <w:numPr>
                <w:ilvl w:val="0"/>
                <w:numId w:val="24"/>
              </w:numPr>
              <w:spacing w:before="0" w:line="240" w:lineRule="auto"/>
              <w:ind w:left="0"/>
              <w:rPr>
                <w:rFonts w:cs="Arial"/>
                <w:sz w:val="20"/>
                <w:lang w:eastAsia="en-US"/>
              </w:rPr>
            </w:pPr>
            <w:bookmarkStart w:id="2" w:name="_GoBack"/>
            <w:r w:rsidRPr="00AE0FB3">
              <w:rPr>
                <w:rFonts w:cs="Arial"/>
                <w:sz w:val="20"/>
                <w:lang w:eastAsia="en-US"/>
              </w:rPr>
              <w:t xml:space="preserve">Post incident report </w:t>
            </w:r>
          </w:p>
          <w:p w:rsidR="006641DB" w:rsidRPr="00AE0FB3" w:rsidRDefault="00354A75" w:rsidP="00AE0FB3">
            <w:pPr>
              <w:pStyle w:val="Bullet1"/>
              <w:ind w:left="489"/>
              <w:rPr>
                <w:sz w:val="20"/>
                <w:szCs w:val="20"/>
                <w:lang w:eastAsia="en-US"/>
              </w:rPr>
            </w:pPr>
            <w:r w:rsidRPr="00AE0FB3">
              <w:rPr>
                <w:sz w:val="20"/>
                <w:szCs w:val="20"/>
                <w:lang w:eastAsia="en-US"/>
              </w:rPr>
              <w:t xml:space="preserve">conduct analysis on the incident register and incident log </w:t>
            </w:r>
          </w:p>
          <w:p w:rsidR="006641DB" w:rsidRPr="00AE0FB3" w:rsidRDefault="0024173D" w:rsidP="00AE0FB3">
            <w:pPr>
              <w:pStyle w:val="Bullet1"/>
              <w:ind w:left="489"/>
              <w:rPr>
                <w:sz w:val="20"/>
                <w:szCs w:val="20"/>
                <w:lang w:eastAsia="en-US"/>
              </w:rPr>
            </w:pPr>
            <w:r w:rsidRPr="00AE0FB3">
              <w:rPr>
                <w:sz w:val="20"/>
                <w:szCs w:val="20"/>
                <w:lang w:eastAsia="en-US"/>
              </w:rPr>
              <w:t xml:space="preserve">identify lessons learned </w:t>
            </w:r>
          </w:p>
          <w:p w:rsidR="006641DB" w:rsidRPr="00AE0FB3" w:rsidRDefault="0024173D" w:rsidP="00AE0FB3">
            <w:pPr>
              <w:pStyle w:val="Bullet1"/>
              <w:ind w:left="489"/>
              <w:rPr>
                <w:sz w:val="20"/>
                <w:szCs w:val="20"/>
                <w:lang w:eastAsia="en-US"/>
              </w:rPr>
            </w:pPr>
            <w:r w:rsidRPr="00AE0FB3">
              <w:rPr>
                <w:sz w:val="20"/>
                <w:szCs w:val="20"/>
                <w:lang w:eastAsia="en-US"/>
              </w:rPr>
              <w:t>produce the PIR and distribute to the internal agency security governance body</w:t>
            </w:r>
            <w:r w:rsidR="006641DB" w:rsidRPr="00AE0FB3">
              <w:rPr>
                <w:sz w:val="20"/>
                <w:szCs w:val="20"/>
                <w:lang w:eastAsia="en-US"/>
              </w:rPr>
              <w:t>.</w:t>
            </w:r>
          </w:p>
          <w:p w:rsidR="0024173D" w:rsidRPr="00AE0FB3" w:rsidRDefault="0024173D" w:rsidP="00AE0FB3">
            <w:pPr>
              <w:pStyle w:val="Bullet1"/>
              <w:ind w:left="489"/>
              <w:rPr>
                <w:sz w:val="20"/>
                <w:szCs w:val="20"/>
                <w:lang w:eastAsia="en-US"/>
              </w:rPr>
            </w:pPr>
            <w:r w:rsidRPr="00AE0FB3">
              <w:rPr>
                <w:sz w:val="20"/>
                <w:szCs w:val="20"/>
                <w:lang w:eastAsia="en-US"/>
              </w:rPr>
              <w:t>the ISIRT should complete the PIR as soon as viable after the resolution of the incident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</w:p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24173D" w:rsidRPr="00AE0FB3" w:rsidRDefault="0024173D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2"/>
      <w:tr w:rsidR="006641DB" w:rsidRPr="00AE0FB3" w:rsidTr="00AE0FB3">
        <w:trPr>
          <w:cantSplit/>
        </w:trPr>
        <w:tc>
          <w:tcPr>
            <w:tcW w:w="7938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41DB" w:rsidRPr="00AE0FB3" w:rsidRDefault="006641DB" w:rsidP="00270E2E">
            <w:pPr>
              <w:pStyle w:val="TableHeading"/>
              <w:widowControl w:val="0"/>
              <w:numPr>
                <w:ilvl w:val="0"/>
                <w:numId w:val="14"/>
              </w:numPr>
              <w:spacing w:before="0"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AE0FB3">
              <w:rPr>
                <w:rFonts w:cs="Arial"/>
                <w:bCs/>
                <w:color w:val="auto"/>
                <w:sz w:val="20"/>
                <w:szCs w:val="20"/>
              </w:rPr>
              <w:t>Processes and procedures</w:t>
            </w:r>
            <w:r w:rsidR="000C594A" w:rsidRPr="00AE0FB3">
              <w:rPr>
                <w:rFonts w:cs="Arial"/>
                <w:bCs/>
                <w:color w:val="auto"/>
                <w:sz w:val="20"/>
                <w:szCs w:val="20"/>
              </w:rPr>
              <w:t xml:space="preserve"> review</w:t>
            </w:r>
          </w:p>
          <w:p w:rsidR="006641DB" w:rsidRPr="00AE0FB3" w:rsidRDefault="00382B9D" w:rsidP="00AE0FB3">
            <w:pPr>
              <w:pStyle w:val="Bullet1"/>
              <w:ind w:left="489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 xml:space="preserve"> </w:t>
            </w:r>
            <w:r w:rsidR="009053E8">
              <w:rPr>
                <w:sz w:val="20"/>
                <w:szCs w:val="20"/>
              </w:rPr>
              <w:t>incident response</w:t>
            </w:r>
            <w:r w:rsidR="00222D53" w:rsidRPr="00AE0FB3">
              <w:rPr>
                <w:sz w:val="20"/>
                <w:szCs w:val="20"/>
              </w:rPr>
              <w:t xml:space="preserve"> process</w:t>
            </w:r>
            <w:r w:rsidR="006641DB" w:rsidRPr="00AE0FB3">
              <w:rPr>
                <w:sz w:val="20"/>
                <w:szCs w:val="20"/>
              </w:rPr>
              <w:t xml:space="preserve"> model refined</w:t>
            </w:r>
          </w:p>
          <w:p w:rsidR="006641DB" w:rsidRPr="00AE0FB3" w:rsidRDefault="006641DB" w:rsidP="00AE0FB3">
            <w:pPr>
              <w:pStyle w:val="Bullet1"/>
              <w:ind w:left="489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tasks refined</w:t>
            </w:r>
          </w:p>
          <w:p w:rsidR="006641DB" w:rsidRPr="00AE0FB3" w:rsidRDefault="006641DB" w:rsidP="00AE0FB3">
            <w:pPr>
              <w:pStyle w:val="Bullet1"/>
              <w:ind w:left="489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responsibilities redefined</w:t>
            </w:r>
          </w:p>
          <w:p w:rsidR="006641DB" w:rsidRPr="00AE0FB3" w:rsidRDefault="006641DB" w:rsidP="00AE0FB3">
            <w:pPr>
              <w:pStyle w:val="Bullet1"/>
              <w:ind w:left="489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incident detection and reporting procedures</w:t>
            </w:r>
          </w:p>
          <w:p w:rsidR="006641DB" w:rsidRPr="00AE0FB3" w:rsidRDefault="006641DB" w:rsidP="00AE0FB3">
            <w:pPr>
              <w:pStyle w:val="Bullet1"/>
              <w:ind w:left="489"/>
              <w:rPr>
                <w:sz w:val="20"/>
                <w:szCs w:val="20"/>
              </w:rPr>
            </w:pPr>
            <w:r w:rsidRPr="00AE0FB3">
              <w:rPr>
                <w:sz w:val="20"/>
                <w:szCs w:val="20"/>
              </w:rPr>
              <w:t>ISIRT help desk policies improved.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</w:p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  <w:p w:rsidR="006641DB" w:rsidRPr="00AE0FB3" w:rsidRDefault="006641DB" w:rsidP="003A195F">
            <w:pPr>
              <w:pStyle w:val="Bulletcircl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0"/>
                <w:szCs w:val="20"/>
              </w:rPr>
            </w:pPr>
            <w:r w:rsidRPr="00AE0F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6BAD">
              <w:rPr>
                <w:rFonts w:cs="Arial"/>
                <w:sz w:val="20"/>
                <w:szCs w:val="20"/>
              </w:rPr>
            </w:r>
            <w:r w:rsidR="00C86BAD">
              <w:rPr>
                <w:rFonts w:cs="Arial"/>
                <w:sz w:val="20"/>
                <w:szCs w:val="20"/>
              </w:rPr>
              <w:fldChar w:fldCharType="separate"/>
            </w:r>
            <w:r w:rsidRPr="00AE0F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46EA2" w:rsidRPr="000957D0" w:rsidRDefault="00946EA2" w:rsidP="00AE0FB3"/>
    <w:sectPr w:rsidR="00946EA2" w:rsidRPr="000957D0" w:rsidSect="00B5132B">
      <w:headerReference w:type="even" r:id="rId8"/>
      <w:pgSz w:w="11906" w:h="16838" w:code="9"/>
      <w:pgMar w:top="1134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BAD" w:rsidRDefault="00C86BAD">
      <w:r>
        <w:separator/>
      </w:r>
    </w:p>
    <w:p w:rsidR="00C86BAD" w:rsidRDefault="00C86BAD"/>
    <w:p w:rsidR="00C86BAD" w:rsidRDefault="00C86BAD"/>
    <w:p w:rsidR="00C86BAD" w:rsidRDefault="00C86BAD"/>
  </w:endnote>
  <w:endnote w:type="continuationSeparator" w:id="0">
    <w:p w:rsidR="00C86BAD" w:rsidRDefault="00C86BAD">
      <w:r>
        <w:continuationSeparator/>
      </w:r>
    </w:p>
    <w:p w:rsidR="00C86BAD" w:rsidRDefault="00C86BAD"/>
    <w:p w:rsidR="00C86BAD" w:rsidRDefault="00C86BAD"/>
    <w:p w:rsidR="00C86BAD" w:rsidRDefault="00C86BAD"/>
  </w:endnote>
  <w:endnote w:type="continuationNotice" w:id="1">
    <w:p w:rsidR="00C86BAD" w:rsidRDefault="00C86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taOT-Nor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BAD" w:rsidRDefault="00C86BAD">
      <w:r>
        <w:separator/>
      </w:r>
    </w:p>
  </w:footnote>
  <w:footnote w:type="continuationSeparator" w:id="0">
    <w:p w:rsidR="00C86BAD" w:rsidRDefault="00C86BAD">
      <w:r>
        <w:continuationSeparator/>
      </w:r>
    </w:p>
  </w:footnote>
  <w:footnote w:type="continuationNotice" w:id="1">
    <w:p w:rsidR="00C86BAD" w:rsidRDefault="00C86B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BAD" w:rsidRDefault="00C86B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0E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C877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BCFE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A659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A61F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3E0B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A79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6E5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C213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BE316D"/>
    <w:multiLevelType w:val="hybridMultilevel"/>
    <w:tmpl w:val="D02473CE"/>
    <w:lvl w:ilvl="0" w:tplc="CFA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393901"/>
    <w:multiLevelType w:val="multilevel"/>
    <w:tmpl w:val="9610500E"/>
    <w:lvl w:ilvl="0">
      <w:start w:val="1"/>
      <w:numFmt w:val="bullet"/>
      <w:pStyle w:val="Tablebulletcircl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315F"/>
      </w:rPr>
    </w:lvl>
    <w:lvl w:ilvl="1">
      <w:start w:val="1"/>
      <w:numFmt w:val="bullet"/>
      <w:pStyle w:val="Tablebullet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2E526B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sz w:val="16"/>
        <w:szCs w:val="16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1" w15:restartNumberingAfterBreak="0">
    <w:nsid w:val="0B805F49"/>
    <w:multiLevelType w:val="multilevel"/>
    <w:tmpl w:val="109EEC26"/>
    <w:lvl w:ilvl="0">
      <w:start w:val="1"/>
      <w:numFmt w:val="none"/>
      <w:suff w:val="nothing"/>
      <w:lvlText w:val="%1"/>
      <w:lvlJc w:val="left"/>
      <w:pPr>
        <w:ind w:left="709" w:firstLine="0"/>
      </w:pPr>
      <w:rPr>
        <w:rFonts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59"/>
        </w:tabs>
        <w:ind w:left="1559" w:hanging="425"/>
      </w:pPr>
      <w:rPr>
        <w:rFonts w:ascii="Courier New" w:hAnsi="Courier New" w:cs="Courier New" w:hint="default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2" w15:restartNumberingAfterBreak="0">
    <w:nsid w:val="127F548B"/>
    <w:multiLevelType w:val="multilevel"/>
    <w:tmpl w:val="1FE884E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color w:val="2E526B"/>
      </w:rPr>
    </w:lvl>
    <w:lvl w:ilvl="2">
      <w:start w:val="1"/>
      <w:numFmt w:val="bullet"/>
      <w:lvlText w:val="▪"/>
      <w:lvlJc w:val="left"/>
      <w:pPr>
        <w:tabs>
          <w:tab w:val="num" w:pos="1985"/>
        </w:tabs>
        <w:ind w:left="1985" w:hanging="426"/>
      </w:pPr>
      <w:rPr>
        <w:rFonts w:ascii="Arial" w:hAnsi="Arial" w:hint="default"/>
        <w:color w:val="2E526B"/>
      </w:rPr>
    </w:lvl>
    <w:lvl w:ilvl="3">
      <w:start w:val="1"/>
      <w:numFmt w:val="none"/>
      <w:suff w:val="nothing"/>
      <w:lvlText w:val="%4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3" w15:restartNumberingAfterBreak="0">
    <w:nsid w:val="18773602"/>
    <w:multiLevelType w:val="multilevel"/>
    <w:tmpl w:val="3D68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98C507D"/>
    <w:multiLevelType w:val="multilevel"/>
    <w:tmpl w:val="C778EB54"/>
    <w:styleLink w:val="Style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827276E"/>
    <w:multiLevelType w:val="hybridMultilevel"/>
    <w:tmpl w:val="A4C2536E"/>
    <w:lvl w:ilvl="0" w:tplc="DB8C3D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322C8"/>
    <w:multiLevelType w:val="hybridMultilevel"/>
    <w:tmpl w:val="384870A8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205" w:hanging="360"/>
      </w:pPr>
    </w:lvl>
    <w:lvl w:ilvl="2" w:tplc="0C09001B" w:tentative="1">
      <w:start w:val="1"/>
      <w:numFmt w:val="lowerRoman"/>
      <w:lvlText w:val="%3."/>
      <w:lvlJc w:val="right"/>
      <w:pPr>
        <w:ind w:left="2925" w:hanging="180"/>
      </w:pPr>
    </w:lvl>
    <w:lvl w:ilvl="3" w:tplc="0C09000F" w:tentative="1">
      <w:start w:val="1"/>
      <w:numFmt w:val="decimal"/>
      <w:lvlText w:val="%4."/>
      <w:lvlJc w:val="left"/>
      <w:pPr>
        <w:ind w:left="3645" w:hanging="360"/>
      </w:pPr>
    </w:lvl>
    <w:lvl w:ilvl="4" w:tplc="0C090019" w:tentative="1">
      <w:start w:val="1"/>
      <w:numFmt w:val="lowerLetter"/>
      <w:lvlText w:val="%5."/>
      <w:lvlJc w:val="left"/>
      <w:pPr>
        <w:ind w:left="4365" w:hanging="360"/>
      </w:pPr>
    </w:lvl>
    <w:lvl w:ilvl="5" w:tplc="0C09001B" w:tentative="1">
      <w:start w:val="1"/>
      <w:numFmt w:val="lowerRoman"/>
      <w:lvlText w:val="%6."/>
      <w:lvlJc w:val="right"/>
      <w:pPr>
        <w:ind w:left="5085" w:hanging="180"/>
      </w:pPr>
    </w:lvl>
    <w:lvl w:ilvl="6" w:tplc="0C09000F" w:tentative="1">
      <w:start w:val="1"/>
      <w:numFmt w:val="decimal"/>
      <w:lvlText w:val="%7."/>
      <w:lvlJc w:val="left"/>
      <w:pPr>
        <w:ind w:left="5805" w:hanging="360"/>
      </w:pPr>
    </w:lvl>
    <w:lvl w:ilvl="7" w:tplc="0C090019" w:tentative="1">
      <w:start w:val="1"/>
      <w:numFmt w:val="lowerLetter"/>
      <w:lvlText w:val="%8."/>
      <w:lvlJc w:val="left"/>
      <w:pPr>
        <w:ind w:left="6525" w:hanging="360"/>
      </w:pPr>
    </w:lvl>
    <w:lvl w:ilvl="8" w:tplc="0C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2D6E1CE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42B1B34"/>
    <w:multiLevelType w:val="multilevel"/>
    <w:tmpl w:val="5C42A8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134"/>
        </w:tabs>
        <w:ind w:left="1134" w:hanging="284"/>
      </w:pPr>
      <w:rPr>
        <w:rFonts w:ascii="Arial" w:hAnsi="Arial" w:hint="default"/>
      </w:rPr>
    </w:lvl>
    <w:lvl w:ilvl="3">
      <w:start w:val="1"/>
      <w:numFmt w:val="none"/>
      <w:suff w:val="nothing"/>
      <w:lvlText w:val="%4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9" w15:restartNumberingAfterBreak="0">
    <w:nsid w:val="38D17631"/>
    <w:multiLevelType w:val="multilevel"/>
    <w:tmpl w:val="0636C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F531EF"/>
    <w:multiLevelType w:val="multilevel"/>
    <w:tmpl w:val="BDB2F01A"/>
    <w:lvl w:ilvl="0">
      <w:start w:val="1"/>
      <w:numFmt w:val="upperLetter"/>
      <w:pStyle w:val="Appendix1"/>
      <w:lvlText w:val="Appendix %1"/>
      <w:lvlJc w:val="left"/>
      <w:pPr>
        <w:tabs>
          <w:tab w:val="num" w:pos="1701"/>
        </w:tabs>
        <w:ind w:left="1701" w:hanging="1701"/>
      </w:pPr>
      <w:rPr>
        <w:rFonts w:hint="default"/>
        <w:caps w:val="0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Appendix3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pStyle w:val="Appendix4"/>
      <w:lvlText w:val=""/>
      <w:lvlJc w:val="right"/>
      <w:pPr>
        <w:tabs>
          <w:tab w:val="num" w:pos="709"/>
        </w:tabs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21" w15:restartNumberingAfterBreak="0">
    <w:nsid w:val="42EE71A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67B0E54"/>
    <w:multiLevelType w:val="hybridMultilevel"/>
    <w:tmpl w:val="DD4A1ADC"/>
    <w:lvl w:ilvl="0" w:tplc="A558A12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552A7"/>
    <w:multiLevelType w:val="multilevel"/>
    <w:tmpl w:val="B7EA22CA"/>
    <w:name w:val="Bullets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103190D"/>
    <w:multiLevelType w:val="hybridMultilevel"/>
    <w:tmpl w:val="853E39DE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1A164A3"/>
    <w:multiLevelType w:val="hybridMultilevel"/>
    <w:tmpl w:val="DC4AB3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B21D4"/>
    <w:multiLevelType w:val="hybridMultilevel"/>
    <w:tmpl w:val="5454B46A"/>
    <w:lvl w:ilvl="0" w:tplc="D348221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621CE"/>
    <w:multiLevelType w:val="multilevel"/>
    <w:tmpl w:val="E4C6059A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28" w15:restartNumberingAfterBreak="0">
    <w:nsid w:val="57BE5FC0"/>
    <w:multiLevelType w:val="multilevel"/>
    <w:tmpl w:val="E02CBC1A"/>
    <w:lvl w:ilvl="0">
      <w:start w:val="1"/>
      <w:numFmt w:val="none"/>
      <w:pStyle w:val="BodyText"/>
      <w:suff w:val="nothing"/>
      <w:lvlText w:val="%1"/>
      <w:lvlJc w:val="left"/>
      <w:pPr>
        <w:ind w:left="709" w:firstLine="0"/>
      </w:pPr>
      <w:rPr>
        <w:rFonts w:hint="default"/>
        <w:color w:val="auto"/>
        <w:sz w:val="20"/>
      </w:rPr>
    </w:lvl>
    <w:lvl w:ilvl="1">
      <w:start w:val="1"/>
      <w:numFmt w:val="decimal"/>
      <w:pStyle w:val="Bullet-Numbered"/>
      <w:lvlText w:val="%2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9" w15:restartNumberingAfterBreak="0">
    <w:nsid w:val="60491025"/>
    <w:multiLevelType w:val="hybridMultilevel"/>
    <w:tmpl w:val="288CFE4A"/>
    <w:lvl w:ilvl="0" w:tplc="FCE6B148">
      <w:start w:val="1"/>
      <w:numFmt w:val="bullet"/>
      <w:pStyle w:val="Bullet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AB4897"/>
    <w:multiLevelType w:val="hybridMultilevel"/>
    <w:tmpl w:val="3CDAE068"/>
    <w:lvl w:ilvl="0" w:tplc="B1E09212">
      <w:start w:val="1"/>
      <w:numFmt w:val="decimal"/>
      <w:pStyle w:val="ListBullet"/>
      <w:lvlText w:val="%1."/>
      <w:lvlJc w:val="left"/>
      <w:pPr>
        <w:ind w:left="720" w:hanging="360"/>
      </w:pPr>
    </w:lvl>
    <w:lvl w:ilvl="1" w:tplc="3036D9C4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077D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6699599C"/>
    <w:multiLevelType w:val="hybridMultilevel"/>
    <w:tmpl w:val="D5C46A08"/>
    <w:lvl w:ilvl="0" w:tplc="261C664C">
      <w:start w:val="1"/>
      <w:numFmt w:val="bullet"/>
      <w:pStyle w:val="Bulletforexecsummary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315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D4505"/>
    <w:multiLevelType w:val="hybridMultilevel"/>
    <w:tmpl w:val="2E68950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C1E7B70"/>
    <w:multiLevelType w:val="multilevel"/>
    <w:tmpl w:val="6958F48C"/>
    <w:lvl w:ilvl="0">
      <w:start w:val="1"/>
      <w:numFmt w:val="none"/>
      <w:pStyle w:val="Table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textnumber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pStyle w:val="tabletextalpha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567" w:firstLine="0"/>
      </w:pPr>
      <w:rPr>
        <w:rFonts w:hint="default"/>
      </w:rPr>
    </w:lvl>
  </w:abstractNum>
  <w:abstractNum w:abstractNumId="35" w15:restartNumberingAfterBreak="0">
    <w:nsid w:val="6D274C02"/>
    <w:multiLevelType w:val="hybridMultilevel"/>
    <w:tmpl w:val="7F100F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1C5473"/>
    <w:multiLevelType w:val="multilevel"/>
    <w:tmpl w:val="A9E8CBB8"/>
    <w:lvl w:ilvl="0">
      <w:start w:val="1"/>
      <w:numFmt w:val="bullet"/>
      <w:pStyle w:val="Bulletcircle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00315F"/>
        <w:sz w:val="20"/>
        <w:szCs w:val="20"/>
      </w:rPr>
    </w:lvl>
    <w:lvl w:ilvl="1">
      <w:start w:val="1"/>
      <w:numFmt w:val="bullet"/>
      <w:pStyle w:val="Bulletdash"/>
      <w:lvlText w:val="–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color w:val="2E526B"/>
      </w:rPr>
    </w:lvl>
    <w:lvl w:ilvl="2">
      <w:start w:val="1"/>
      <w:numFmt w:val="bullet"/>
      <w:pStyle w:val="Bulletopencircle"/>
      <w:lvlText w:val="▪"/>
      <w:lvlJc w:val="left"/>
      <w:pPr>
        <w:tabs>
          <w:tab w:val="num" w:pos="1985"/>
        </w:tabs>
        <w:ind w:left="1985" w:hanging="426"/>
      </w:pPr>
      <w:rPr>
        <w:rFonts w:ascii="Arial" w:hAnsi="Arial" w:hint="default"/>
        <w:color w:val="2E526B"/>
      </w:rPr>
    </w:lvl>
    <w:lvl w:ilvl="3">
      <w:start w:val="1"/>
      <w:numFmt w:val="none"/>
      <w:suff w:val="nothing"/>
      <w:lvlText w:val="%4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37" w15:restartNumberingAfterBreak="0">
    <w:nsid w:val="7AA313B7"/>
    <w:multiLevelType w:val="hybridMultilevel"/>
    <w:tmpl w:val="F42AB59A"/>
    <w:lvl w:ilvl="0" w:tplc="CC383BBA">
      <w:numFmt w:val="bullet"/>
      <w:lvlText w:val="-"/>
      <w:lvlJc w:val="left"/>
      <w:pPr>
        <w:ind w:left="1429" w:hanging="360"/>
      </w:pPr>
      <w:rPr>
        <w:rFonts w:ascii="Verdana" w:eastAsiaTheme="minorHAnsi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D92304"/>
    <w:multiLevelType w:val="multilevel"/>
    <w:tmpl w:val="CA64D8A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00315F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color w:val="2E526B"/>
      </w:rPr>
    </w:lvl>
    <w:lvl w:ilvl="2">
      <w:start w:val="1"/>
      <w:numFmt w:val="bullet"/>
      <w:pStyle w:val="Bullet3"/>
      <w:lvlText w:val="◦"/>
      <w:lvlJc w:val="left"/>
      <w:pPr>
        <w:tabs>
          <w:tab w:val="num" w:pos="1985"/>
        </w:tabs>
        <w:ind w:left="1985" w:hanging="426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%4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39" w15:restartNumberingAfterBreak="0">
    <w:nsid w:val="7FA52860"/>
    <w:multiLevelType w:val="multilevel"/>
    <w:tmpl w:val="E796FA90"/>
    <w:lvl w:ilvl="0">
      <w:start w:val="1"/>
      <w:numFmt w:val="decimal"/>
      <w:pStyle w:val="Policyrequirement"/>
      <w:lvlText w:val="Policy requirement %1:"/>
      <w:lvlJc w:val="left"/>
      <w:pPr>
        <w:tabs>
          <w:tab w:val="num" w:pos="3119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0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FBE627F"/>
    <w:multiLevelType w:val="hybridMultilevel"/>
    <w:tmpl w:val="E4683106"/>
    <w:lvl w:ilvl="0" w:tplc="DB8C3D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17"/>
  </w:num>
  <w:num w:numId="12">
    <w:abstractNumId w:val="31"/>
  </w:num>
  <w:num w:numId="13">
    <w:abstractNumId w:val="20"/>
  </w:num>
  <w:num w:numId="14">
    <w:abstractNumId w:val="34"/>
  </w:num>
  <w:num w:numId="15">
    <w:abstractNumId w:val="32"/>
  </w:num>
  <w:num w:numId="16">
    <w:abstractNumId w:val="36"/>
  </w:num>
  <w:num w:numId="17">
    <w:abstractNumId w:val="28"/>
  </w:num>
  <w:num w:numId="18">
    <w:abstractNumId w:val="27"/>
  </w:num>
  <w:num w:numId="19">
    <w:abstractNumId w:val="10"/>
  </w:num>
  <w:num w:numId="20">
    <w:abstractNumId w:val="12"/>
  </w:num>
  <w:num w:numId="21">
    <w:abstractNumId w:val="38"/>
  </w:num>
  <w:num w:numId="22">
    <w:abstractNumId w:val="14"/>
  </w:num>
  <w:num w:numId="23">
    <w:abstractNumId w:val="30"/>
  </w:num>
  <w:num w:numId="24">
    <w:abstractNumId w:val="11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9"/>
  </w:num>
  <w:num w:numId="28">
    <w:abstractNumId w:val="24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0"/>
  </w:num>
  <w:num w:numId="35">
    <w:abstractNumId w:val="25"/>
  </w:num>
  <w:num w:numId="36">
    <w:abstractNumId w:val="15"/>
  </w:num>
  <w:num w:numId="37">
    <w:abstractNumId w:val="37"/>
  </w:num>
  <w:num w:numId="38">
    <w:abstractNumId w:val="33"/>
  </w:num>
  <w:num w:numId="39">
    <w:abstractNumId w:val="26"/>
  </w:num>
  <w:num w:numId="40">
    <w:abstractNumId w:val="22"/>
  </w:num>
  <w:num w:numId="41">
    <w:abstractNumId w:val="16"/>
  </w:num>
  <w:num w:numId="42">
    <w:abstractNumId w:val="35"/>
  </w:num>
  <w:num w:numId="43">
    <w:abstractNumId w:val="19"/>
  </w:num>
  <w:num w:numId="44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2E"/>
    <w:rsid w:val="0000325F"/>
    <w:rsid w:val="00003A8F"/>
    <w:rsid w:val="000100BD"/>
    <w:rsid w:val="00010D0B"/>
    <w:rsid w:val="000122AE"/>
    <w:rsid w:val="00013A6E"/>
    <w:rsid w:val="00023993"/>
    <w:rsid w:val="0002707A"/>
    <w:rsid w:val="0002775D"/>
    <w:rsid w:val="0003232D"/>
    <w:rsid w:val="0003563D"/>
    <w:rsid w:val="000373DC"/>
    <w:rsid w:val="0004064F"/>
    <w:rsid w:val="00044669"/>
    <w:rsid w:val="000457CC"/>
    <w:rsid w:val="00045ECF"/>
    <w:rsid w:val="00047544"/>
    <w:rsid w:val="00055798"/>
    <w:rsid w:val="000624E0"/>
    <w:rsid w:val="000658E9"/>
    <w:rsid w:val="00067AC8"/>
    <w:rsid w:val="00076AFC"/>
    <w:rsid w:val="000852D2"/>
    <w:rsid w:val="000903F6"/>
    <w:rsid w:val="000957D0"/>
    <w:rsid w:val="000971C7"/>
    <w:rsid w:val="00097A6D"/>
    <w:rsid w:val="000A5897"/>
    <w:rsid w:val="000A6508"/>
    <w:rsid w:val="000A755D"/>
    <w:rsid w:val="000B13CF"/>
    <w:rsid w:val="000B22CE"/>
    <w:rsid w:val="000B62BB"/>
    <w:rsid w:val="000B7C84"/>
    <w:rsid w:val="000C0B75"/>
    <w:rsid w:val="000C594A"/>
    <w:rsid w:val="000D123C"/>
    <w:rsid w:val="000D158A"/>
    <w:rsid w:val="000D2B07"/>
    <w:rsid w:val="000D3FFA"/>
    <w:rsid w:val="000D4505"/>
    <w:rsid w:val="000D5487"/>
    <w:rsid w:val="000E1F70"/>
    <w:rsid w:val="000E2C15"/>
    <w:rsid w:val="000E4CEE"/>
    <w:rsid w:val="000E5D3E"/>
    <w:rsid w:val="000E655A"/>
    <w:rsid w:val="000F03BA"/>
    <w:rsid w:val="000F159E"/>
    <w:rsid w:val="00101D39"/>
    <w:rsid w:val="00102AC2"/>
    <w:rsid w:val="00105449"/>
    <w:rsid w:val="00117392"/>
    <w:rsid w:val="00124AAC"/>
    <w:rsid w:val="001348ED"/>
    <w:rsid w:val="0013660D"/>
    <w:rsid w:val="0013714B"/>
    <w:rsid w:val="00142BBB"/>
    <w:rsid w:val="00143885"/>
    <w:rsid w:val="001457EA"/>
    <w:rsid w:val="00145E41"/>
    <w:rsid w:val="00150A2F"/>
    <w:rsid w:val="00150EA1"/>
    <w:rsid w:val="0015571E"/>
    <w:rsid w:val="00156EB0"/>
    <w:rsid w:val="00160F66"/>
    <w:rsid w:val="00161EDA"/>
    <w:rsid w:val="00162518"/>
    <w:rsid w:val="0016317D"/>
    <w:rsid w:val="001650BA"/>
    <w:rsid w:val="00165DC6"/>
    <w:rsid w:val="0017064B"/>
    <w:rsid w:val="00174956"/>
    <w:rsid w:val="001763F5"/>
    <w:rsid w:val="00176B29"/>
    <w:rsid w:val="00181374"/>
    <w:rsid w:val="00191E69"/>
    <w:rsid w:val="00192F10"/>
    <w:rsid w:val="0019483B"/>
    <w:rsid w:val="0019792A"/>
    <w:rsid w:val="001A239C"/>
    <w:rsid w:val="001A6744"/>
    <w:rsid w:val="001A6C9B"/>
    <w:rsid w:val="001B02EA"/>
    <w:rsid w:val="001B130F"/>
    <w:rsid w:val="001B45D5"/>
    <w:rsid w:val="001B4A13"/>
    <w:rsid w:val="001C3407"/>
    <w:rsid w:val="001C355E"/>
    <w:rsid w:val="001C4EC3"/>
    <w:rsid w:val="001C5E18"/>
    <w:rsid w:val="001C702F"/>
    <w:rsid w:val="001C70C4"/>
    <w:rsid w:val="001C7971"/>
    <w:rsid w:val="001D0AB4"/>
    <w:rsid w:val="001D0B3B"/>
    <w:rsid w:val="001E0B04"/>
    <w:rsid w:val="001E4E73"/>
    <w:rsid w:val="001F0B57"/>
    <w:rsid w:val="001F5F67"/>
    <w:rsid w:val="001F5F8B"/>
    <w:rsid w:val="001F7F6A"/>
    <w:rsid w:val="00202E4E"/>
    <w:rsid w:val="00202FC7"/>
    <w:rsid w:val="002033C3"/>
    <w:rsid w:val="002071CB"/>
    <w:rsid w:val="00212BD0"/>
    <w:rsid w:val="00213943"/>
    <w:rsid w:val="00217165"/>
    <w:rsid w:val="0022094E"/>
    <w:rsid w:val="00222D53"/>
    <w:rsid w:val="00230ABD"/>
    <w:rsid w:val="002335E6"/>
    <w:rsid w:val="00234E67"/>
    <w:rsid w:val="0024173D"/>
    <w:rsid w:val="00246924"/>
    <w:rsid w:val="00250E15"/>
    <w:rsid w:val="00251BA2"/>
    <w:rsid w:val="00252641"/>
    <w:rsid w:val="00252846"/>
    <w:rsid w:val="00256DE1"/>
    <w:rsid w:val="002625E0"/>
    <w:rsid w:val="00262BC5"/>
    <w:rsid w:val="00270E2E"/>
    <w:rsid w:val="002714BB"/>
    <w:rsid w:val="00271B06"/>
    <w:rsid w:val="00273638"/>
    <w:rsid w:val="00277BAF"/>
    <w:rsid w:val="00280BC6"/>
    <w:rsid w:val="002815AE"/>
    <w:rsid w:val="00282E8A"/>
    <w:rsid w:val="00291D95"/>
    <w:rsid w:val="00292C01"/>
    <w:rsid w:val="002931D1"/>
    <w:rsid w:val="00294748"/>
    <w:rsid w:val="00296D8E"/>
    <w:rsid w:val="00296E03"/>
    <w:rsid w:val="002A49E3"/>
    <w:rsid w:val="002A69A8"/>
    <w:rsid w:val="002B014A"/>
    <w:rsid w:val="002B3887"/>
    <w:rsid w:val="002B4138"/>
    <w:rsid w:val="002C1D77"/>
    <w:rsid w:val="002C2BCD"/>
    <w:rsid w:val="002C4084"/>
    <w:rsid w:val="002C64F2"/>
    <w:rsid w:val="002C74DF"/>
    <w:rsid w:val="002D3EE8"/>
    <w:rsid w:val="002D6351"/>
    <w:rsid w:val="002E2746"/>
    <w:rsid w:val="002E4D93"/>
    <w:rsid w:val="002E5DE8"/>
    <w:rsid w:val="002E69E1"/>
    <w:rsid w:val="002F06B9"/>
    <w:rsid w:val="002F118D"/>
    <w:rsid w:val="002F77AE"/>
    <w:rsid w:val="00306F00"/>
    <w:rsid w:val="00306FEA"/>
    <w:rsid w:val="0031308B"/>
    <w:rsid w:val="0031375B"/>
    <w:rsid w:val="003148AB"/>
    <w:rsid w:val="00320A1D"/>
    <w:rsid w:val="00321647"/>
    <w:rsid w:val="00321AFA"/>
    <w:rsid w:val="00325990"/>
    <w:rsid w:val="00334359"/>
    <w:rsid w:val="00335B2D"/>
    <w:rsid w:val="00336C83"/>
    <w:rsid w:val="00340B51"/>
    <w:rsid w:val="003436FE"/>
    <w:rsid w:val="0034633D"/>
    <w:rsid w:val="00354A75"/>
    <w:rsid w:val="00360287"/>
    <w:rsid w:val="0036180C"/>
    <w:rsid w:val="00371258"/>
    <w:rsid w:val="00371AD6"/>
    <w:rsid w:val="00372DE9"/>
    <w:rsid w:val="00375299"/>
    <w:rsid w:val="003759A6"/>
    <w:rsid w:val="00375D67"/>
    <w:rsid w:val="00382B9D"/>
    <w:rsid w:val="00391ED6"/>
    <w:rsid w:val="00392083"/>
    <w:rsid w:val="0039642A"/>
    <w:rsid w:val="003A195F"/>
    <w:rsid w:val="003A26F6"/>
    <w:rsid w:val="003A5399"/>
    <w:rsid w:val="003A5620"/>
    <w:rsid w:val="003A5ED2"/>
    <w:rsid w:val="003B1BB9"/>
    <w:rsid w:val="003B1F14"/>
    <w:rsid w:val="003B1F45"/>
    <w:rsid w:val="003B5C4B"/>
    <w:rsid w:val="003B5C59"/>
    <w:rsid w:val="003C3A7F"/>
    <w:rsid w:val="003C3FBE"/>
    <w:rsid w:val="003C69AC"/>
    <w:rsid w:val="003C775F"/>
    <w:rsid w:val="003D06B1"/>
    <w:rsid w:val="003D12CD"/>
    <w:rsid w:val="003D2B38"/>
    <w:rsid w:val="003D4AEF"/>
    <w:rsid w:val="003E716D"/>
    <w:rsid w:val="003E735F"/>
    <w:rsid w:val="003F177D"/>
    <w:rsid w:val="003F21E3"/>
    <w:rsid w:val="003F220D"/>
    <w:rsid w:val="003F3430"/>
    <w:rsid w:val="003F4D98"/>
    <w:rsid w:val="003F622F"/>
    <w:rsid w:val="00402910"/>
    <w:rsid w:val="00402B9C"/>
    <w:rsid w:val="00405925"/>
    <w:rsid w:val="00406BE9"/>
    <w:rsid w:val="004070A7"/>
    <w:rsid w:val="00407D8F"/>
    <w:rsid w:val="00411D5B"/>
    <w:rsid w:val="004124B4"/>
    <w:rsid w:val="00416978"/>
    <w:rsid w:val="00417DB3"/>
    <w:rsid w:val="004205D1"/>
    <w:rsid w:val="00424400"/>
    <w:rsid w:val="00425443"/>
    <w:rsid w:val="00426FFC"/>
    <w:rsid w:val="004279FC"/>
    <w:rsid w:val="004356CC"/>
    <w:rsid w:val="00437840"/>
    <w:rsid w:val="00440DE4"/>
    <w:rsid w:val="00441CC5"/>
    <w:rsid w:val="00446E17"/>
    <w:rsid w:val="0045554C"/>
    <w:rsid w:val="00456950"/>
    <w:rsid w:val="004623FD"/>
    <w:rsid w:val="00465527"/>
    <w:rsid w:val="0046555D"/>
    <w:rsid w:val="00470275"/>
    <w:rsid w:val="0048288F"/>
    <w:rsid w:val="00485077"/>
    <w:rsid w:val="0048638A"/>
    <w:rsid w:val="004879C5"/>
    <w:rsid w:val="00494EA8"/>
    <w:rsid w:val="004A6FEB"/>
    <w:rsid w:val="004A783F"/>
    <w:rsid w:val="004B11FF"/>
    <w:rsid w:val="004B14A0"/>
    <w:rsid w:val="004B7F2A"/>
    <w:rsid w:val="004C22CB"/>
    <w:rsid w:val="004C22E7"/>
    <w:rsid w:val="004C36D8"/>
    <w:rsid w:val="004C45DD"/>
    <w:rsid w:val="004C4FD2"/>
    <w:rsid w:val="004C694F"/>
    <w:rsid w:val="004D353E"/>
    <w:rsid w:val="004D3880"/>
    <w:rsid w:val="004D63D6"/>
    <w:rsid w:val="004F09D4"/>
    <w:rsid w:val="004F0A9A"/>
    <w:rsid w:val="004F2D6B"/>
    <w:rsid w:val="004F5E6F"/>
    <w:rsid w:val="004F612B"/>
    <w:rsid w:val="004F77CC"/>
    <w:rsid w:val="00503B8B"/>
    <w:rsid w:val="00506597"/>
    <w:rsid w:val="005070CB"/>
    <w:rsid w:val="00513AA8"/>
    <w:rsid w:val="005246C1"/>
    <w:rsid w:val="00527E24"/>
    <w:rsid w:val="00527E46"/>
    <w:rsid w:val="0053138B"/>
    <w:rsid w:val="00537EA2"/>
    <w:rsid w:val="00542983"/>
    <w:rsid w:val="00543A99"/>
    <w:rsid w:val="00544E1E"/>
    <w:rsid w:val="005452FB"/>
    <w:rsid w:val="005530B5"/>
    <w:rsid w:val="00560AFC"/>
    <w:rsid w:val="00560E74"/>
    <w:rsid w:val="00562492"/>
    <w:rsid w:val="00567F1F"/>
    <w:rsid w:val="00570FD5"/>
    <w:rsid w:val="00570FFE"/>
    <w:rsid w:val="00571312"/>
    <w:rsid w:val="005750A7"/>
    <w:rsid w:val="005757D8"/>
    <w:rsid w:val="00575EF1"/>
    <w:rsid w:val="005841C2"/>
    <w:rsid w:val="00584A5F"/>
    <w:rsid w:val="005866FC"/>
    <w:rsid w:val="005868D6"/>
    <w:rsid w:val="005872CF"/>
    <w:rsid w:val="00591588"/>
    <w:rsid w:val="00596495"/>
    <w:rsid w:val="00596E7D"/>
    <w:rsid w:val="005A2A70"/>
    <w:rsid w:val="005A54F1"/>
    <w:rsid w:val="005B100F"/>
    <w:rsid w:val="005B3086"/>
    <w:rsid w:val="005C5AC9"/>
    <w:rsid w:val="005D65A5"/>
    <w:rsid w:val="005E08C8"/>
    <w:rsid w:val="005E45C3"/>
    <w:rsid w:val="005E5065"/>
    <w:rsid w:val="005E52B0"/>
    <w:rsid w:val="005E7B99"/>
    <w:rsid w:val="005F335D"/>
    <w:rsid w:val="005F6078"/>
    <w:rsid w:val="005F7441"/>
    <w:rsid w:val="00601AFD"/>
    <w:rsid w:val="00601C12"/>
    <w:rsid w:val="00610D07"/>
    <w:rsid w:val="00610FC6"/>
    <w:rsid w:val="00611131"/>
    <w:rsid w:val="00616B01"/>
    <w:rsid w:val="006224C0"/>
    <w:rsid w:val="00625A55"/>
    <w:rsid w:val="006303CC"/>
    <w:rsid w:val="006334ED"/>
    <w:rsid w:val="006364EA"/>
    <w:rsid w:val="0064176D"/>
    <w:rsid w:val="00641A40"/>
    <w:rsid w:val="00647D16"/>
    <w:rsid w:val="00650D7A"/>
    <w:rsid w:val="00653A37"/>
    <w:rsid w:val="00656672"/>
    <w:rsid w:val="00663D57"/>
    <w:rsid w:val="006641DB"/>
    <w:rsid w:val="006661F3"/>
    <w:rsid w:val="00673EE5"/>
    <w:rsid w:val="00676FEE"/>
    <w:rsid w:val="00677657"/>
    <w:rsid w:val="00677B28"/>
    <w:rsid w:val="00680847"/>
    <w:rsid w:val="00682C82"/>
    <w:rsid w:val="00683E19"/>
    <w:rsid w:val="006842A4"/>
    <w:rsid w:val="00687511"/>
    <w:rsid w:val="006910B3"/>
    <w:rsid w:val="00691535"/>
    <w:rsid w:val="00695AAC"/>
    <w:rsid w:val="006A3393"/>
    <w:rsid w:val="006A4C11"/>
    <w:rsid w:val="006A4F21"/>
    <w:rsid w:val="006B0AD1"/>
    <w:rsid w:val="006B22B2"/>
    <w:rsid w:val="006B2302"/>
    <w:rsid w:val="006B4340"/>
    <w:rsid w:val="006B6233"/>
    <w:rsid w:val="006C4513"/>
    <w:rsid w:val="006C7A5F"/>
    <w:rsid w:val="006D297F"/>
    <w:rsid w:val="006D51AB"/>
    <w:rsid w:val="006D5D95"/>
    <w:rsid w:val="006E37B9"/>
    <w:rsid w:val="006E6E74"/>
    <w:rsid w:val="006F129A"/>
    <w:rsid w:val="006F41C6"/>
    <w:rsid w:val="006F77F7"/>
    <w:rsid w:val="00700472"/>
    <w:rsid w:val="00700F1D"/>
    <w:rsid w:val="00702C47"/>
    <w:rsid w:val="00705373"/>
    <w:rsid w:val="007061F7"/>
    <w:rsid w:val="00706A30"/>
    <w:rsid w:val="007122E4"/>
    <w:rsid w:val="00712542"/>
    <w:rsid w:val="00713145"/>
    <w:rsid w:val="0072013F"/>
    <w:rsid w:val="00723E05"/>
    <w:rsid w:val="007251B3"/>
    <w:rsid w:val="00727170"/>
    <w:rsid w:val="00732EC2"/>
    <w:rsid w:val="00733482"/>
    <w:rsid w:val="007361B7"/>
    <w:rsid w:val="00741460"/>
    <w:rsid w:val="007416A3"/>
    <w:rsid w:val="00742E5B"/>
    <w:rsid w:val="00743696"/>
    <w:rsid w:val="007437A3"/>
    <w:rsid w:val="007449DC"/>
    <w:rsid w:val="0074781B"/>
    <w:rsid w:val="00750113"/>
    <w:rsid w:val="00750F55"/>
    <w:rsid w:val="00751DE0"/>
    <w:rsid w:val="00754C94"/>
    <w:rsid w:val="00754F1F"/>
    <w:rsid w:val="00755C27"/>
    <w:rsid w:val="00762627"/>
    <w:rsid w:val="007659E1"/>
    <w:rsid w:val="007670E4"/>
    <w:rsid w:val="00767F92"/>
    <w:rsid w:val="00775F86"/>
    <w:rsid w:val="00785E82"/>
    <w:rsid w:val="00785F19"/>
    <w:rsid w:val="007861C3"/>
    <w:rsid w:val="00791CDA"/>
    <w:rsid w:val="00792AF2"/>
    <w:rsid w:val="00793E52"/>
    <w:rsid w:val="007A00F3"/>
    <w:rsid w:val="007A041B"/>
    <w:rsid w:val="007A1E0A"/>
    <w:rsid w:val="007A3856"/>
    <w:rsid w:val="007A6384"/>
    <w:rsid w:val="007A7BB8"/>
    <w:rsid w:val="007B05A5"/>
    <w:rsid w:val="007B1A97"/>
    <w:rsid w:val="007C0D2E"/>
    <w:rsid w:val="007C0FBB"/>
    <w:rsid w:val="007C35E0"/>
    <w:rsid w:val="007C3BE8"/>
    <w:rsid w:val="007C5ED8"/>
    <w:rsid w:val="007D23D6"/>
    <w:rsid w:val="007D572A"/>
    <w:rsid w:val="007D5F3B"/>
    <w:rsid w:val="007D6C4E"/>
    <w:rsid w:val="007E6A6E"/>
    <w:rsid w:val="007F33DE"/>
    <w:rsid w:val="007F5483"/>
    <w:rsid w:val="007F58DC"/>
    <w:rsid w:val="00805402"/>
    <w:rsid w:val="00807081"/>
    <w:rsid w:val="0081071E"/>
    <w:rsid w:val="00816316"/>
    <w:rsid w:val="00826A0D"/>
    <w:rsid w:val="008274BE"/>
    <w:rsid w:val="00827B0E"/>
    <w:rsid w:val="00831408"/>
    <w:rsid w:val="00831C20"/>
    <w:rsid w:val="008328EC"/>
    <w:rsid w:val="00833D18"/>
    <w:rsid w:val="00835906"/>
    <w:rsid w:val="008363A1"/>
    <w:rsid w:val="0083743C"/>
    <w:rsid w:val="00843AA0"/>
    <w:rsid w:val="00846079"/>
    <w:rsid w:val="008463BC"/>
    <w:rsid w:val="0085059F"/>
    <w:rsid w:val="008506AA"/>
    <w:rsid w:val="008519A0"/>
    <w:rsid w:val="00852AED"/>
    <w:rsid w:val="0086113A"/>
    <w:rsid w:val="008645CD"/>
    <w:rsid w:val="0086490F"/>
    <w:rsid w:val="008730F0"/>
    <w:rsid w:val="00883A23"/>
    <w:rsid w:val="00884D2A"/>
    <w:rsid w:val="008876B7"/>
    <w:rsid w:val="0089016D"/>
    <w:rsid w:val="00894A35"/>
    <w:rsid w:val="008952B9"/>
    <w:rsid w:val="008959E0"/>
    <w:rsid w:val="0089752D"/>
    <w:rsid w:val="008A6272"/>
    <w:rsid w:val="008A7846"/>
    <w:rsid w:val="008B322D"/>
    <w:rsid w:val="008B6AEA"/>
    <w:rsid w:val="008C052A"/>
    <w:rsid w:val="008C391F"/>
    <w:rsid w:val="008C3B96"/>
    <w:rsid w:val="008C406A"/>
    <w:rsid w:val="008C5937"/>
    <w:rsid w:val="008C689D"/>
    <w:rsid w:val="008C68F5"/>
    <w:rsid w:val="008D0D25"/>
    <w:rsid w:val="008D467F"/>
    <w:rsid w:val="008D46FB"/>
    <w:rsid w:val="008D6FA7"/>
    <w:rsid w:val="008E1070"/>
    <w:rsid w:val="008E196C"/>
    <w:rsid w:val="008E3100"/>
    <w:rsid w:val="008E63BF"/>
    <w:rsid w:val="008E677F"/>
    <w:rsid w:val="008E72B7"/>
    <w:rsid w:val="008F0DF8"/>
    <w:rsid w:val="008F468B"/>
    <w:rsid w:val="008F6567"/>
    <w:rsid w:val="008F77FB"/>
    <w:rsid w:val="00901D0F"/>
    <w:rsid w:val="0090257C"/>
    <w:rsid w:val="009039E0"/>
    <w:rsid w:val="009053E8"/>
    <w:rsid w:val="009100D8"/>
    <w:rsid w:val="009123BB"/>
    <w:rsid w:val="009125D7"/>
    <w:rsid w:val="009142A2"/>
    <w:rsid w:val="00915729"/>
    <w:rsid w:val="00916A2F"/>
    <w:rsid w:val="00920865"/>
    <w:rsid w:val="00920F3D"/>
    <w:rsid w:val="009228E5"/>
    <w:rsid w:val="0092457F"/>
    <w:rsid w:val="00925FF2"/>
    <w:rsid w:val="00942AC2"/>
    <w:rsid w:val="009445A0"/>
    <w:rsid w:val="00946EA2"/>
    <w:rsid w:val="00947E77"/>
    <w:rsid w:val="009517D9"/>
    <w:rsid w:val="009534F0"/>
    <w:rsid w:val="009570C4"/>
    <w:rsid w:val="009618E8"/>
    <w:rsid w:val="00961DE3"/>
    <w:rsid w:val="009653D8"/>
    <w:rsid w:val="009702EA"/>
    <w:rsid w:val="00973D09"/>
    <w:rsid w:val="00973DE6"/>
    <w:rsid w:val="009755F7"/>
    <w:rsid w:val="00975EF3"/>
    <w:rsid w:val="00977DD6"/>
    <w:rsid w:val="00981E23"/>
    <w:rsid w:val="00983F05"/>
    <w:rsid w:val="00984041"/>
    <w:rsid w:val="0098440E"/>
    <w:rsid w:val="009844D9"/>
    <w:rsid w:val="0098564F"/>
    <w:rsid w:val="0099289D"/>
    <w:rsid w:val="009A18F4"/>
    <w:rsid w:val="009A5B2F"/>
    <w:rsid w:val="009A5B89"/>
    <w:rsid w:val="009B67D2"/>
    <w:rsid w:val="009C0386"/>
    <w:rsid w:val="009C04C0"/>
    <w:rsid w:val="009C2604"/>
    <w:rsid w:val="009D1A88"/>
    <w:rsid w:val="009D2237"/>
    <w:rsid w:val="009D233D"/>
    <w:rsid w:val="009D310A"/>
    <w:rsid w:val="009D3F26"/>
    <w:rsid w:val="009E22E2"/>
    <w:rsid w:val="009E585F"/>
    <w:rsid w:val="009F00D3"/>
    <w:rsid w:val="009F1A73"/>
    <w:rsid w:val="009F289E"/>
    <w:rsid w:val="009F6F5D"/>
    <w:rsid w:val="009F7209"/>
    <w:rsid w:val="00A03266"/>
    <w:rsid w:val="00A03677"/>
    <w:rsid w:val="00A03E05"/>
    <w:rsid w:val="00A03E6E"/>
    <w:rsid w:val="00A049F6"/>
    <w:rsid w:val="00A15137"/>
    <w:rsid w:val="00A155EC"/>
    <w:rsid w:val="00A17977"/>
    <w:rsid w:val="00A17D34"/>
    <w:rsid w:val="00A22ED9"/>
    <w:rsid w:val="00A23244"/>
    <w:rsid w:val="00A2418A"/>
    <w:rsid w:val="00A26026"/>
    <w:rsid w:val="00A27335"/>
    <w:rsid w:val="00A3240D"/>
    <w:rsid w:val="00A32563"/>
    <w:rsid w:val="00A3501F"/>
    <w:rsid w:val="00A37179"/>
    <w:rsid w:val="00A40FF4"/>
    <w:rsid w:val="00A4289A"/>
    <w:rsid w:val="00A42F6E"/>
    <w:rsid w:val="00A46C31"/>
    <w:rsid w:val="00A5303F"/>
    <w:rsid w:val="00A565FA"/>
    <w:rsid w:val="00A57319"/>
    <w:rsid w:val="00A61C5B"/>
    <w:rsid w:val="00A62083"/>
    <w:rsid w:val="00A62500"/>
    <w:rsid w:val="00A700AE"/>
    <w:rsid w:val="00A71094"/>
    <w:rsid w:val="00A711D4"/>
    <w:rsid w:val="00A74A36"/>
    <w:rsid w:val="00A75E2E"/>
    <w:rsid w:val="00A762AC"/>
    <w:rsid w:val="00A822BE"/>
    <w:rsid w:val="00A85504"/>
    <w:rsid w:val="00A9188C"/>
    <w:rsid w:val="00A920B8"/>
    <w:rsid w:val="00A950AC"/>
    <w:rsid w:val="00A95B77"/>
    <w:rsid w:val="00A97C5A"/>
    <w:rsid w:val="00AA4489"/>
    <w:rsid w:val="00AA49F7"/>
    <w:rsid w:val="00AA772E"/>
    <w:rsid w:val="00AB1085"/>
    <w:rsid w:val="00AB3111"/>
    <w:rsid w:val="00AC03F1"/>
    <w:rsid w:val="00AC46E8"/>
    <w:rsid w:val="00AC4C18"/>
    <w:rsid w:val="00AC6763"/>
    <w:rsid w:val="00AC787F"/>
    <w:rsid w:val="00AD0A26"/>
    <w:rsid w:val="00AD3D11"/>
    <w:rsid w:val="00AD6087"/>
    <w:rsid w:val="00AD6220"/>
    <w:rsid w:val="00AD6453"/>
    <w:rsid w:val="00AE0FB3"/>
    <w:rsid w:val="00AE3952"/>
    <w:rsid w:val="00AE6D7D"/>
    <w:rsid w:val="00AE72C8"/>
    <w:rsid w:val="00AF4AF7"/>
    <w:rsid w:val="00AF55DD"/>
    <w:rsid w:val="00B11F4E"/>
    <w:rsid w:val="00B155B4"/>
    <w:rsid w:val="00B21214"/>
    <w:rsid w:val="00B21CFB"/>
    <w:rsid w:val="00B25278"/>
    <w:rsid w:val="00B277B9"/>
    <w:rsid w:val="00B30BCE"/>
    <w:rsid w:val="00B31FA8"/>
    <w:rsid w:val="00B34784"/>
    <w:rsid w:val="00B4053B"/>
    <w:rsid w:val="00B406F2"/>
    <w:rsid w:val="00B44DAE"/>
    <w:rsid w:val="00B45F0B"/>
    <w:rsid w:val="00B5132B"/>
    <w:rsid w:val="00B53029"/>
    <w:rsid w:val="00B5662A"/>
    <w:rsid w:val="00B6132E"/>
    <w:rsid w:val="00B640EA"/>
    <w:rsid w:val="00B70BAE"/>
    <w:rsid w:val="00B727AD"/>
    <w:rsid w:val="00B7315F"/>
    <w:rsid w:val="00B7484C"/>
    <w:rsid w:val="00B75443"/>
    <w:rsid w:val="00B767E0"/>
    <w:rsid w:val="00B775A0"/>
    <w:rsid w:val="00B81345"/>
    <w:rsid w:val="00B83182"/>
    <w:rsid w:val="00B93C2E"/>
    <w:rsid w:val="00B977EA"/>
    <w:rsid w:val="00B97C38"/>
    <w:rsid w:val="00BA1B72"/>
    <w:rsid w:val="00BA350F"/>
    <w:rsid w:val="00BB2720"/>
    <w:rsid w:val="00BB41D1"/>
    <w:rsid w:val="00BB472B"/>
    <w:rsid w:val="00BC0683"/>
    <w:rsid w:val="00BC5531"/>
    <w:rsid w:val="00BC697C"/>
    <w:rsid w:val="00BD0119"/>
    <w:rsid w:val="00BD0C70"/>
    <w:rsid w:val="00BD1C57"/>
    <w:rsid w:val="00BD2960"/>
    <w:rsid w:val="00BD48E2"/>
    <w:rsid w:val="00BE0D46"/>
    <w:rsid w:val="00BE120B"/>
    <w:rsid w:val="00BE32D5"/>
    <w:rsid w:val="00BF083E"/>
    <w:rsid w:val="00BF1129"/>
    <w:rsid w:val="00BF4985"/>
    <w:rsid w:val="00BF5421"/>
    <w:rsid w:val="00BF5745"/>
    <w:rsid w:val="00BF62D8"/>
    <w:rsid w:val="00BF6FA0"/>
    <w:rsid w:val="00C010DB"/>
    <w:rsid w:val="00C0176B"/>
    <w:rsid w:val="00C02707"/>
    <w:rsid w:val="00C039B7"/>
    <w:rsid w:val="00C03CF2"/>
    <w:rsid w:val="00C04112"/>
    <w:rsid w:val="00C04CCD"/>
    <w:rsid w:val="00C2050E"/>
    <w:rsid w:val="00C21003"/>
    <w:rsid w:val="00C24599"/>
    <w:rsid w:val="00C314B4"/>
    <w:rsid w:val="00C3232B"/>
    <w:rsid w:val="00C32D1D"/>
    <w:rsid w:val="00C37B91"/>
    <w:rsid w:val="00C4004B"/>
    <w:rsid w:val="00C400B3"/>
    <w:rsid w:val="00C40C29"/>
    <w:rsid w:val="00C43C82"/>
    <w:rsid w:val="00C4432A"/>
    <w:rsid w:val="00C45E5D"/>
    <w:rsid w:val="00C603A7"/>
    <w:rsid w:val="00C61919"/>
    <w:rsid w:val="00C67359"/>
    <w:rsid w:val="00C67435"/>
    <w:rsid w:val="00C72637"/>
    <w:rsid w:val="00C73DA0"/>
    <w:rsid w:val="00C73F35"/>
    <w:rsid w:val="00C74E7E"/>
    <w:rsid w:val="00C80CC4"/>
    <w:rsid w:val="00C84BC0"/>
    <w:rsid w:val="00C86BAD"/>
    <w:rsid w:val="00C901BE"/>
    <w:rsid w:val="00CA1F92"/>
    <w:rsid w:val="00CA22C8"/>
    <w:rsid w:val="00CA23BE"/>
    <w:rsid w:val="00CA289C"/>
    <w:rsid w:val="00CA30A2"/>
    <w:rsid w:val="00CA4B1E"/>
    <w:rsid w:val="00CA72BA"/>
    <w:rsid w:val="00CA79F6"/>
    <w:rsid w:val="00CB59AB"/>
    <w:rsid w:val="00CB5ADB"/>
    <w:rsid w:val="00CB6BB2"/>
    <w:rsid w:val="00CB7AFA"/>
    <w:rsid w:val="00CC1DE1"/>
    <w:rsid w:val="00CC3E88"/>
    <w:rsid w:val="00CC55BD"/>
    <w:rsid w:val="00CC65BB"/>
    <w:rsid w:val="00CC7907"/>
    <w:rsid w:val="00CD6AF6"/>
    <w:rsid w:val="00CE7C8C"/>
    <w:rsid w:val="00D03634"/>
    <w:rsid w:val="00D03743"/>
    <w:rsid w:val="00D04C3A"/>
    <w:rsid w:val="00D10410"/>
    <w:rsid w:val="00D11D1D"/>
    <w:rsid w:val="00D1459E"/>
    <w:rsid w:val="00D16D58"/>
    <w:rsid w:val="00D23DDF"/>
    <w:rsid w:val="00D24DDF"/>
    <w:rsid w:val="00D31A9C"/>
    <w:rsid w:val="00D321FD"/>
    <w:rsid w:val="00D34416"/>
    <w:rsid w:val="00D35553"/>
    <w:rsid w:val="00D35B3E"/>
    <w:rsid w:val="00D40D58"/>
    <w:rsid w:val="00D431C0"/>
    <w:rsid w:val="00D4635A"/>
    <w:rsid w:val="00D545BE"/>
    <w:rsid w:val="00D65970"/>
    <w:rsid w:val="00D74334"/>
    <w:rsid w:val="00D7518C"/>
    <w:rsid w:val="00D751D9"/>
    <w:rsid w:val="00D76875"/>
    <w:rsid w:val="00D7711E"/>
    <w:rsid w:val="00D771C1"/>
    <w:rsid w:val="00D80235"/>
    <w:rsid w:val="00D80EDA"/>
    <w:rsid w:val="00D826F2"/>
    <w:rsid w:val="00D8607B"/>
    <w:rsid w:val="00D8633A"/>
    <w:rsid w:val="00D929D6"/>
    <w:rsid w:val="00D97333"/>
    <w:rsid w:val="00DA01C9"/>
    <w:rsid w:val="00DA0BD7"/>
    <w:rsid w:val="00DA6BA6"/>
    <w:rsid w:val="00DB10DB"/>
    <w:rsid w:val="00DB273D"/>
    <w:rsid w:val="00DB3444"/>
    <w:rsid w:val="00DB5961"/>
    <w:rsid w:val="00DC65C6"/>
    <w:rsid w:val="00DD27BE"/>
    <w:rsid w:val="00DD2812"/>
    <w:rsid w:val="00DD4464"/>
    <w:rsid w:val="00DD5ED4"/>
    <w:rsid w:val="00DE1014"/>
    <w:rsid w:val="00DE3C2C"/>
    <w:rsid w:val="00DE4F38"/>
    <w:rsid w:val="00DE6BBA"/>
    <w:rsid w:val="00DF03AB"/>
    <w:rsid w:val="00DF21D8"/>
    <w:rsid w:val="00DF617A"/>
    <w:rsid w:val="00E00C17"/>
    <w:rsid w:val="00E03F78"/>
    <w:rsid w:val="00E141FD"/>
    <w:rsid w:val="00E21617"/>
    <w:rsid w:val="00E21E6F"/>
    <w:rsid w:val="00E2415B"/>
    <w:rsid w:val="00E278D3"/>
    <w:rsid w:val="00E322F0"/>
    <w:rsid w:val="00E40290"/>
    <w:rsid w:val="00E42473"/>
    <w:rsid w:val="00E45264"/>
    <w:rsid w:val="00E519A4"/>
    <w:rsid w:val="00E53D65"/>
    <w:rsid w:val="00E55CC8"/>
    <w:rsid w:val="00E56AD1"/>
    <w:rsid w:val="00E622C0"/>
    <w:rsid w:val="00E6416D"/>
    <w:rsid w:val="00E6484B"/>
    <w:rsid w:val="00E70A79"/>
    <w:rsid w:val="00E751F8"/>
    <w:rsid w:val="00E77924"/>
    <w:rsid w:val="00E81F59"/>
    <w:rsid w:val="00E839CE"/>
    <w:rsid w:val="00E91DDC"/>
    <w:rsid w:val="00E92294"/>
    <w:rsid w:val="00E928EA"/>
    <w:rsid w:val="00E94204"/>
    <w:rsid w:val="00E97AFA"/>
    <w:rsid w:val="00E97B21"/>
    <w:rsid w:val="00EA2A20"/>
    <w:rsid w:val="00EA2B80"/>
    <w:rsid w:val="00EA384B"/>
    <w:rsid w:val="00EA4627"/>
    <w:rsid w:val="00EA6654"/>
    <w:rsid w:val="00EB54D2"/>
    <w:rsid w:val="00EC6A08"/>
    <w:rsid w:val="00EC6E0D"/>
    <w:rsid w:val="00EC7963"/>
    <w:rsid w:val="00ED1F31"/>
    <w:rsid w:val="00ED3E28"/>
    <w:rsid w:val="00ED44F7"/>
    <w:rsid w:val="00ED6D99"/>
    <w:rsid w:val="00ED727B"/>
    <w:rsid w:val="00EE390B"/>
    <w:rsid w:val="00EE512E"/>
    <w:rsid w:val="00EE74F6"/>
    <w:rsid w:val="00EF2086"/>
    <w:rsid w:val="00EF4261"/>
    <w:rsid w:val="00F048EC"/>
    <w:rsid w:val="00F05A09"/>
    <w:rsid w:val="00F14574"/>
    <w:rsid w:val="00F21697"/>
    <w:rsid w:val="00F241F4"/>
    <w:rsid w:val="00F34819"/>
    <w:rsid w:val="00F41366"/>
    <w:rsid w:val="00F4173F"/>
    <w:rsid w:val="00F4551C"/>
    <w:rsid w:val="00F54CFC"/>
    <w:rsid w:val="00F607E0"/>
    <w:rsid w:val="00F6474B"/>
    <w:rsid w:val="00F65D1E"/>
    <w:rsid w:val="00F67221"/>
    <w:rsid w:val="00F67C9F"/>
    <w:rsid w:val="00F70F35"/>
    <w:rsid w:val="00F714F0"/>
    <w:rsid w:val="00F71776"/>
    <w:rsid w:val="00F805E1"/>
    <w:rsid w:val="00F8116C"/>
    <w:rsid w:val="00F818D6"/>
    <w:rsid w:val="00F83672"/>
    <w:rsid w:val="00F90EDB"/>
    <w:rsid w:val="00F91A78"/>
    <w:rsid w:val="00F92DD8"/>
    <w:rsid w:val="00F97340"/>
    <w:rsid w:val="00FA05FE"/>
    <w:rsid w:val="00FA1772"/>
    <w:rsid w:val="00FA3ACF"/>
    <w:rsid w:val="00FA4387"/>
    <w:rsid w:val="00FA52B9"/>
    <w:rsid w:val="00FA5517"/>
    <w:rsid w:val="00FA7F89"/>
    <w:rsid w:val="00FB1547"/>
    <w:rsid w:val="00FB45C8"/>
    <w:rsid w:val="00FB5186"/>
    <w:rsid w:val="00FB64ED"/>
    <w:rsid w:val="00FC066D"/>
    <w:rsid w:val="00FC1E4A"/>
    <w:rsid w:val="00FC64FF"/>
    <w:rsid w:val="00FD1DE8"/>
    <w:rsid w:val="00FD3A92"/>
    <w:rsid w:val="00FE77A9"/>
    <w:rsid w:val="00FF3DF4"/>
    <w:rsid w:val="00FF3EF6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D52D67"/>
  <w15:docId w15:val="{F9C5AD3D-D1EA-4D57-B031-3DCA797C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69AC"/>
    <w:pPr>
      <w:spacing w:before="110" w:line="280" w:lineRule="atLeast"/>
      <w:ind w:left="709"/>
    </w:pPr>
    <w:rPr>
      <w:rFonts w:ascii="Arial" w:hAnsi="Arial"/>
      <w:sz w:val="22"/>
    </w:rPr>
  </w:style>
  <w:style w:type="paragraph" w:styleId="Heading1">
    <w:name w:val="heading 1"/>
    <w:next w:val="BodyText"/>
    <w:autoRedefine/>
    <w:qFormat/>
    <w:rsid w:val="006D297F"/>
    <w:pPr>
      <w:keepNext/>
      <w:numPr>
        <w:numId w:val="18"/>
      </w:numPr>
      <w:shd w:val="clear" w:color="auto" w:fill="FFFFFF"/>
      <w:spacing w:before="400" w:after="140"/>
      <w:outlineLvl w:val="0"/>
    </w:pPr>
    <w:rPr>
      <w:rFonts w:ascii="Arial Bold" w:hAnsi="Arial Bold"/>
      <w:b/>
      <w:snapToGrid w:val="0"/>
      <w:color w:val="336699"/>
      <w:kern w:val="28"/>
      <w:sz w:val="36"/>
      <w:szCs w:val="32"/>
      <w:lang w:eastAsia="en-US"/>
    </w:rPr>
  </w:style>
  <w:style w:type="paragraph" w:styleId="Heading2">
    <w:name w:val="heading 2"/>
    <w:basedOn w:val="Heading1"/>
    <w:next w:val="BodyText"/>
    <w:link w:val="Heading2Char"/>
    <w:autoRedefine/>
    <w:qFormat/>
    <w:rsid w:val="00A3240D"/>
    <w:pPr>
      <w:keepNext w:val="0"/>
      <w:numPr>
        <w:ilvl w:val="1"/>
      </w:numPr>
      <w:shd w:val="clear" w:color="auto" w:fill="auto"/>
      <w:spacing w:before="360" w:after="60"/>
      <w:outlineLvl w:val="1"/>
    </w:pPr>
    <w:rPr>
      <w:color w:val="5F5F5F"/>
      <w:sz w:val="28"/>
    </w:rPr>
  </w:style>
  <w:style w:type="paragraph" w:styleId="Heading3">
    <w:name w:val="heading 3"/>
    <w:basedOn w:val="Heading2"/>
    <w:next w:val="BodyText"/>
    <w:link w:val="Heading3Char"/>
    <w:qFormat/>
    <w:rsid w:val="00CA23BE"/>
    <w:pPr>
      <w:numPr>
        <w:ilvl w:val="2"/>
      </w:numPr>
      <w:spacing w:before="280" w:after="80"/>
      <w:outlineLvl w:val="2"/>
    </w:pPr>
    <w:rPr>
      <w:color w:val="auto"/>
      <w:kern w:val="24"/>
      <w:sz w:val="22"/>
      <w:szCs w:val="24"/>
    </w:rPr>
  </w:style>
  <w:style w:type="paragraph" w:styleId="Heading4">
    <w:name w:val="heading 4"/>
    <w:basedOn w:val="Heading3"/>
    <w:next w:val="BodyText"/>
    <w:qFormat/>
    <w:rsid w:val="007D23D6"/>
    <w:pPr>
      <w:keepLines/>
      <w:numPr>
        <w:ilvl w:val="3"/>
      </w:numPr>
      <w:spacing w:before="260" w:after="70"/>
      <w:outlineLvl w:val="3"/>
    </w:pPr>
    <w:rPr>
      <w:i/>
      <w:szCs w:val="22"/>
      <w:lang w:val="en-US" w:eastAsia="en-AU"/>
    </w:rPr>
  </w:style>
  <w:style w:type="paragraph" w:styleId="Heading5">
    <w:name w:val="heading 5"/>
    <w:basedOn w:val="Heading4"/>
    <w:next w:val="BodyText"/>
    <w:qFormat/>
    <w:rsid w:val="007D23D6"/>
    <w:pPr>
      <w:numPr>
        <w:ilvl w:val="4"/>
      </w:numPr>
      <w:spacing w:before="220" w:after="40"/>
      <w:outlineLvl w:val="4"/>
    </w:pPr>
    <w:rPr>
      <w:rFonts w:ascii="Arial" w:hAnsi="Arial"/>
      <w:b w:val="0"/>
    </w:rPr>
  </w:style>
  <w:style w:type="paragraph" w:styleId="Heading6">
    <w:name w:val="heading 6"/>
    <w:basedOn w:val="BodyText"/>
    <w:next w:val="BodyText"/>
    <w:qFormat/>
    <w:rsid w:val="0003232D"/>
    <w:pPr>
      <w:keepNext/>
      <w:keepLines/>
      <w:numPr>
        <w:ilvl w:val="5"/>
        <w:numId w:val="18"/>
      </w:numPr>
      <w:outlineLvl w:val="5"/>
    </w:pPr>
    <w:rPr>
      <w:lang w:val="en-US"/>
    </w:rPr>
  </w:style>
  <w:style w:type="paragraph" w:styleId="Heading7">
    <w:name w:val="heading 7"/>
    <w:basedOn w:val="BodyText"/>
    <w:next w:val="BodyText"/>
    <w:qFormat/>
    <w:rsid w:val="0003232D"/>
    <w:pPr>
      <w:numPr>
        <w:ilvl w:val="6"/>
        <w:numId w:val="18"/>
      </w:numPr>
      <w:jc w:val="both"/>
      <w:outlineLvl w:val="6"/>
    </w:pPr>
    <w:rPr>
      <w:snapToGrid w:val="0"/>
      <w:kern w:val="28"/>
      <w:szCs w:val="22"/>
      <w:lang w:val="en-GB" w:eastAsia="en-US"/>
    </w:rPr>
  </w:style>
  <w:style w:type="paragraph" w:styleId="Heading8">
    <w:name w:val="heading 8"/>
    <w:basedOn w:val="BodyText"/>
    <w:next w:val="BodyText"/>
    <w:qFormat/>
    <w:rsid w:val="0003232D"/>
    <w:pPr>
      <w:numPr>
        <w:ilvl w:val="7"/>
        <w:numId w:val="18"/>
      </w:numPr>
      <w:jc w:val="both"/>
      <w:outlineLvl w:val="7"/>
    </w:pPr>
    <w:rPr>
      <w:snapToGrid w:val="0"/>
      <w:kern w:val="28"/>
      <w:szCs w:val="22"/>
      <w:lang w:val="en-GB" w:eastAsia="en-US"/>
    </w:rPr>
  </w:style>
  <w:style w:type="paragraph" w:styleId="Heading9">
    <w:name w:val="heading 9"/>
    <w:basedOn w:val="BodyText"/>
    <w:next w:val="BodyText"/>
    <w:qFormat/>
    <w:rsid w:val="0003232D"/>
    <w:pPr>
      <w:numPr>
        <w:ilvl w:val="8"/>
        <w:numId w:val="18"/>
      </w:numPr>
      <w:jc w:val="both"/>
      <w:outlineLvl w:val="8"/>
    </w:pPr>
    <w:rPr>
      <w:snapToGrid w:val="0"/>
      <w:kern w:val="28"/>
      <w:szCs w:val="1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semiHidden/>
    <w:rsid w:val="00F34819"/>
    <w:pPr>
      <w:shd w:val="clear" w:color="auto" w:fill="000080"/>
    </w:pPr>
    <w:rPr>
      <w:rFonts w:ascii="Arial" w:hAnsi="Arial" w:cs="Tahoma"/>
      <w:sz w:val="18"/>
    </w:rPr>
  </w:style>
  <w:style w:type="paragraph" w:customStyle="1" w:styleId="Frontpagetitle">
    <w:name w:val="Front page title"/>
    <w:semiHidden/>
    <w:rsid w:val="00CB7AFA"/>
    <w:pPr>
      <w:spacing w:before="720"/>
      <w:jc w:val="right"/>
    </w:pPr>
    <w:rPr>
      <w:rFonts w:ascii="Arial" w:hAnsi="Arial"/>
      <w:b/>
      <w:noProof/>
      <w:sz w:val="56"/>
    </w:rPr>
  </w:style>
  <w:style w:type="character" w:customStyle="1" w:styleId="Securityclassification">
    <w:name w:val="Security classification"/>
    <w:semiHidden/>
    <w:rsid w:val="00650D7A"/>
    <w:rPr>
      <w:color w:val="FF0000"/>
    </w:rPr>
  </w:style>
  <w:style w:type="paragraph" w:customStyle="1" w:styleId="Footerred">
    <w:name w:val="Footer red"/>
    <w:basedOn w:val="Footer"/>
    <w:semiHidden/>
    <w:rsid w:val="00161EDA"/>
    <w:rPr>
      <w:caps/>
      <w:color w:val="FF0000"/>
      <w:sz w:val="16"/>
    </w:rPr>
  </w:style>
  <w:style w:type="paragraph" w:customStyle="1" w:styleId="TableText">
    <w:name w:val="Table Text"/>
    <w:basedOn w:val="BodyText"/>
    <w:rsid w:val="001C3407"/>
    <w:pPr>
      <w:numPr>
        <w:numId w:val="14"/>
      </w:numPr>
      <w:spacing w:before="60" w:after="60" w:line="260" w:lineRule="atLeast"/>
    </w:pPr>
    <w:rPr>
      <w:iCs/>
      <w:kern w:val="28"/>
      <w:sz w:val="20"/>
      <w:lang w:eastAsia="en-US"/>
    </w:rPr>
  </w:style>
  <w:style w:type="character" w:customStyle="1" w:styleId="Reporttitle">
    <w:name w:val="Report title"/>
    <w:semiHidden/>
    <w:rsid w:val="00CA23BE"/>
    <w:rPr>
      <w:rFonts w:ascii="Arial" w:hAnsi="Arial"/>
      <w:b/>
      <w:color w:val="auto"/>
      <w:sz w:val="52"/>
    </w:rPr>
  </w:style>
  <w:style w:type="character" w:customStyle="1" w:styleId="Reportdate">
    <w:name w:val="Report date"/>
    <w:semiHidden/>
    <w:rsid w:val="00CA23BE"/>
    <w:rPr>
      <w:rFonts w:ascii="Arial" w:hAnsi="Arial"/>
      <w:b/>
      <w:color w:val="013861"/>
      <w:sz w:val="22"/>
    </w:rPr>
  </w:style>
  <w:style w:type="character" w:customStyle="1" w:styleId="Versionnumber">
    <w:name w:val="Version number"/>
    <w:semiHidden/>
    <w:rsid w:val="00537EA2"/>
    <w:rPr>
      <w:rFonts w:ascii="Arial" w:hAnsi="Arial"/>
      <w:b/>
      <w:color w:val="013861"/>
      <w:sz w:val="22"/>
    </w:rPr>
  </w:style>
  <w:style w:type="paragraph" w:customStyle="1" w:styleId="TableHeading">
    <w:name w:val="Table Heading"/>
    <w:basedOn w:val="TableText"/>
    <w:rsid w:val="00CA23BE"/>
    <w:pPr>
      <w:numPr>
        <w:numId w:val="0"/>
      </w:numPr>
    </w:pPr>
    <w:rPr>
      <w:color w:val="FFFFFF"/>
      <w:sz w:val="22"/>
      <w:szCs w:val="22"/>
    </w:rPr>
  </w:style>
  <w:style w:type="paragraph" w:customStyle="1" w:styleId="Blankline">
    <w:name w:val="Blank line"/>
    <w:next w:val="BodyText"/>
    <w:link w:val="BlanklineCharChar"/>
    <w:rsid w:val="00143885"/>
    <w:pPr>
      <w:widowControl w:val="0"/>
    </w:pPr>
    <w:rPr>
      <w:rFonts w:ascii="Arial" w:hAnsi="Arial"/>
      <w:sz w:val="12"/>
    </w:rPr>
  </w:style>
  <w:style w:type="character" w:customStyle="1" w:styleId="BlanklineCharChar">
    <w:name w:val="Blank line Char Char"/>
    <w:link w:val="Blankline"/>
    <w:rsid w:val="00143885"/>
    <w:rPr>
      <w:rFonts w:ascii="Arial" w:hAnsi="Arial"/>
      <w:sz w:val="12"/>
      <w:lang w:val="en-AU" w:eastAsia="en-AU" w:bidi="ar-SA"/>
    </w:rPr>
  </w:style>
  <w:style w:type="paragraph" w:styleId="BodyText">
    <w:name w:val="Body Text"/>
    <w:link w:val="BodyTextChar"/>
    <w:rsid w:val="00E21E6F"/>
    <w:pPr>
      <w:numPr>
        <w:numId w:val="17"/>
      </w:numPr>
      <w:spacing w:before="110" w:line="280" w:lineRule="atLeast"/>
    </w:pPr>
    <w:rPr>
      <w:rFonts w:ascii="Arial" w:hAnsi="Arial"/>
      <w:sz w:val="22"/>
    </w:rPr>
  </w:style>
  <w:style w:type="paragraph" w:customStyle="1" w:styleId="Frontpagesubtitle">
    <w:name w:val="Front page subtitle"/>
    <w:basedOn w:val="Frontpagetitle"/>
    <w:semiHidden/>
    <w:rsid w:val="00CB7AFA"/>
    <w:pPr>
      <w:spacing w:before="0"/>
      <w:ind w:right="-108"/>
    </w:pPr>
    <w:rPr>
      <w:i/>
      <w:sz w:val="28"/>
    </w:rPr>
  </w:style>
  <w:style w:type="character" w:styleId="CommentReference">
    <w:name w:val="annotation reference"/>
    <w:semiHidden/>
    <w:rsid w:val="006D5D9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D5D95"/>
    <w:rPr>
      <w:b/>
      <w:bCs/>
    </w:rPr>
  </w:style>
  <w:style w:type="paragraph" w:styleId="BalloonText">
    <w:name w:val="Balloon Text"/>
    <w:basedOn w:val="Normal"/>
    <w:semiHidden/>
    <w:rsid w:val="006D5D95"/>
    <w:rPr>
      <w:rFonts w:ascii="Tahoma" w:hAnsi="Tahoma" w:cs="Tahoma"/>
      <w:sz w:val="16"/>
      <w:szCs w:val="16"/>
    </w:rPr>
  </w:style>
  <w:style w:type="paragraph" w:customStyle="1" w:styleId="Heading1nonumber">
    <w:name w:val="Heading 1 no number"/>
    <w:basedOn w:val="Heading1"/>
    <w:next w:val="Bodystylefordocumentdetails"/>
    <w:rsid w:val="00DF617A"/>
    <w:pPr>
      <w:numPr>
        <w:numId w:val="0"/>
      </w:numPr>
      <w:outlineLvl w:val="9"/>
    </w:pPr>
  </w:style>
  <w:style w:type="paragraph" w:customStyle="1" w:styleId="Bullet-Numbered">
    <w:name w:val="Bullet - Numbered"/>
    <w:basedOn w:val="BodyText"/>
    <w:link w:val="Bullet-NumberedChar"/>
    <w:rsid w:val="00E21E6F"/>
    <w:pPr>
      <w:numPr>
        <w:ilvl w:val="1"/>
      </w:numPr>
      <w:spacing w:before="40" w:after="40"/>
    </w:pPr>
    <w:rPr>
      <w:rFonts w:cs="Times New (W1)"/>
      <w:snapToGrid w:val="0"/>
      <w:szCs w:val="24"/>
      <w:lang w:eastAsia="en-US"/>
    </w:rPr>
  </w:style>
  <w:style w:type="paragraph" w:customStyle="1" w:styleId="TableTextitalics">
    <w:name w:val="Table Text italics"/>
    <w:basedOn w:val="TableText"/>
    <w:semiHidden/>
    <w:rsid w:val="00F34819"/>
    <w:rPr>
      <w:i/>
    </w:rPr>
  </w:style>
  <w:style w:type="paragraph" w:customStyle="1" w:styleId="Appendix1">
    <w:name w:val="Appendix 1"/>
    <w:basedOn w:val="Heading1nonumber"/>
    <w:next w:val="BodyText"/>
    <w:rsid w:val="001C3407"/>
    <w:pPr>
      <w:pageBreakBefore/>
      <w:numPr>
        <w:numId w:val="13"/>
      </w:numPr>
      <w:tabs>
        <w:tab w:val="clear" w:pos="1701"/>
        <w:tab w:val="num" w:pos="360"/>
        <w:tab w:val="left" w:pos="2268"/>
      </w:tabs>
      <w:ind w:left="2268" w:hanging="2268"/>
      <w:outlineLvl w:val="0"/>
    </w:pPr>
    <w:rPr>
      <w:szCs w:val="28"/>
    </w:rPr>
  </w:style>
  <w:style w:type="paragraph" w:customStyle="1" w:styleId="Appendix2">
    <w:name w:val="Appendix 2"/>
    <w:basedOn w:val="Heading2"/>
    <w:next w:val="BodyText"/>
    <w:rsid w:val="00D35B3E"/>
    <w:pPr>
      <w:numPr>
        <w:numId w:val="13"/>
      </w:numPr>
    </w:pPr>
  </w:style>
  <w:style w:type="paragraph" w:customStyle="1" w:styleId="Appendix3">
    <w:name w:val="Appendix 3"/>
    <w:basedOn w:val="Heading3"/>
    <w:next w:val="BodyText"/>
    <w:rsid w:val="00D35B3E"/>
    <w:pPr>
      <w:numPr>
        <w:numId w:val="13"/>
      </w:numPr>
    </w:pPr>
  </w:style>
  <w:style w:type="paragraph" w:customStyle="1" w:styleId="Appendix4">
    <w:name w:val="Appendix 4"/>
    <w:basedOn w:val="Appendix3"/>
    <w:next w:val="BodyText"/>
    <w:semiHidden/>
    <w:rsid w:val="00C4432A"/>
    <w:pPr>
      <w:numPr>
        <w:ilvl w:val="3"/>
      </w:numPr>
    </w:pPr>
    <w:rPr>
      <w:b w:val="0"/>
      <w:i/>
      <w:lang w:val="en-US"/>
    </w:rPr>
  </w:style>
  <w:style w:type="paragraph" w:customStyle="1" w:styleId="Bulletcircle">
    <w:name w:val="Bullet circle"/>
    <w:basedOn w:val="BodyText"/>
    <w:link w:val="BulletcircleChar"/>
    <w:rsid w:val="00045ECF"/>
    <w:pPr>
      <w:numPr>
        <w:numId w:val="16"/>
      </w:numPr>
      <w:spacing w:before="40" w:after="40"/>
    </w:pPr>
    <w:rPr>
      <w:szCs w:val="22"/>
    </w:rPr>
  </w:style>
  <w:style w:type="paragraph" w:customStyle="1" w:styleId="Bulletdash">
    <w:name w:val="Bullet dash"/>
    <w:basedOn w:val="BodyText"/>
    <w:link w:val="BulletdashChar"/>
    <w:rsid w:val="00045ECF"/>
    <w:pPr>
      <w:numPr>
        <w:ilvl w:val="1"/>
        <w:numId w:val="16"/>
      </w:numPr>
      <w:spacing w:before="40" w:after="40"/>
    </w:pPr>
    <w:rPr>
      <w:szCs w:val="22"/>
    </w:rPr>
  </w:style>
  <w:style w:type="paragraph" w:customStyle="1" w:styleId="Bulletopencircle">
    <w:name w:val="Bullet open circle"/>
    <w:basedOn w:val="BodyText"/>
    <w:link w:val="BulletopencircleChar"/>
    <w:rsid w:val="00045ECF"/>
    <w:pPr>
      <w:numPr>
        <w:ilvl w:val="2"/>
        <w:numId w:val="16"/>
      </w:numPr>
      <w:spacing w:before="40" w:after="40"/>
    </w:pPr>
    <w:rPr>
      <w:szCs w:val="22"/>
    </w:rPr>
  </w:style>
  <w:style w:type="paragraph" w:styleId="Footer">
    <w:name w:val="footer"/>
    <w:basedOn w:val="Header"/>
    <w:semiHidden/>
    <w:rsid w:val="00ED3E28"/>
    <w:pPr>
      <w:pBdr>
        <w:top w:val="single" w:sz="4" w:space="3" w:color="auto"/>
        <w:bottom w:val="none" w:sz="0" w:space="0" w:color="auto"/>
      </w:pBdr>
      <w:tabs>
        <w:tab w:val="clear" w:pos="4153"/>
        <w:tab w:val="clear" w:pos="8306"/>
        <w:tab w:val="center" w:pos="4820"/>
        <w:tab w:val="right" w:pos="9639"/>
      </w:tabs>
      <w:jc w:val="both"/>
    </w:pPr>
    <w:rPr>
      <w:snapToGrid w:val="0"/>
      <w:kern w:val="28"/>
      <w:szCs w:val="16"/>
      <w:lang w:eastAsia="en-US"/>
    </w:rPr>
  </w:style>
  <w:style w:type="paragraph" w:styleId="Header">
    <w:name w:val="header"/>
    <w:basedOn w:val="BodyText"/>
    <w:semiHidden/>
    <w:rsid w:val="00CA23BE"/>
    <w:pPr>
      <w:numPr>
        <w:numId w:val="0"/>
      </w:numPr>
      <w:pBdr>
        <w:bottom w:val="single" w:sz="4" w:space="1" w:color="auto"/>
      </w:pBdr>
      <w:tabs>
        <w:tab w:val="center" w:pos="4153"/>
        <w:tab w:val="right" w:pos="8306"/>
      </w:tabs>
      <w:spacing w:before="0" w:line="240" w:lineRule="auto"/>
    </w:pPr>
    <w:rPr>
      <w:sz w:val="18"/>
      <w:szCs w:val="22"/>
    </w:rPr>
  </w:style>
  <w:style w:type="paragraph" w:customStyle="1" w:styleId="Tablebulletcircle">
    <w:name w:val="Table bullet circle"/>
    <w:basedOn w:val="TableText"/>
    <w:rsid w:val="00045ECF"/>
    <w:pPr>
      <w:numPr>
        <w:numId w:val="19"/>
      </w:numPr>
      <w:spacing w:before="40" w:after="40"/>
    </w:pPr>
    <w:rPr>
      <w:szCs w:val="22"/>
      <w:lang w:eastAsia="en-AU"/>
    </w:rPr>
  </w:style>
  <w:style w:type="paragraph" w:customStyle="1" w:styleId="Tablebulletdash">
    <w:name w:val="Table bullet dash"/>
    <w:basedOn w:val="TableText"/>
    <w:rsid w:val="00045ECF"/>
    <w:pPr>
      <w:numPr>
        <w:ilvl w:val="1"/>
        <w:numId w:val="19"/>
      </w:numPr>
      <w:spacing w:before="40" w:after="40"/>
    </w:pPr>
    <w:rPr>
      <w:szCs w:val="22"/>
    </w:rPr>
  </w:style>
  <w:style w:type="paragraph" w:styleId="Title">
    <w:name w:val="Title"/>
    <w:basedOn w:val="Normal"/>
    <w:qFormat/>
    <w:rsid w:val="00F34819"/>
    <w:pPr>
      <w:tabs>
        <w:tab w:val="num" w:pos="720"/>
      </w:tabs>
      <w:suppressAutoHyphens/>
      <w:spacing w:before="240" w:after="60"/>
      <w:ind w:left="720" w:hanging="360"/>
      <w:jc w:val="center"/>
    </w:pPr>
    <w:rPr>
      <w:smallCaps/>
      <w:kern w:val="28"/>
      <w:sz w:val="32"/>
      <w:lang w:val="en-GB"/>
    </w:rPr>
  </w:style>
  <w:style w:type="paragraph" w:styleId="TOC1">
    <w:name w:val="toc 1"/>
    <w:next w:val="Normal"/>
    <w:uiPriority w:val="39"/>
    <w:rsid w:val="001C3407"/>
    <w:pPr>
      <w:tabs>
        <w:tab w:val="left" w:pos="567"/>
        <w:tab w:val="left" w:pos="1418"/>
        <w:tab w:val="right" w:leader="dot" w:pos="9629"/>
      </w:tabs>
      <w:spacing w:before="240" w:after="60"/>
      <w:ind w:left="567" w:right="567" w:hanging="567"/>
    </w:pPr>
    <w:rPr>
      <w:rFonts w:ascii="Arial" w:hAnsi="Arial"/>
      <w:b/>
      <w:noProof/>
      <w:snapToGrid w:val="0"/>
      <w:kern w:val="24"/>
      <w:sz w:val="22"/>
    </w:rPr>
  </w:style>
  <w:style w:type="paragraph" w:styleId="TOC2">
    <w:name w:val="toc 2"/>
    <w:basedOn w:val="Normal"/>
    <w:next w:val="Normal"/>
    <w:autoRedefine/>
    <w:uiPriority w:val="39"/>
    <w:rsid w:val="001C3407"/>
    <w:pPr>
      <w:tabs>
        <w:tab w:val="left" w:pos="1134"/>
        <w:tab w:val="right" w:leader="dot" w:pos="9629"/>
      </w:tabs>
      <w:spacing w:after="60"/>
      <w:ind w:left="1134" w:right="567" w:hanging="567"/>
      <w:jc w:val="both"/>
    </w:pPr>
    <w:rPr>
      <w:noProof/>
      <w:snapToGrid w:val="0"/>
      <w:kern w:val="24"/>
    </w:rPr>
  </w:style>
  <w:style w:type="paragraph" w:styleId="TOC3">
    <w:name w:val="toc 3"/>
    <w:basedOn w:val="Normal"/>
    <w:next w:val="Normal"/>
    <w:autoRedefine/>
    <w:semiHidden/>
    <w:rsid w:val="006C7A5F"/>
    <w:pPr>
      <w:tabs>
        <w:tab w:val="left" w:pos="1980"/>
        <w:tab w:val="right" w:leader="dot" w:pos="9629"/>
      </w:tabs>
      <w:spacing w:after="60"/>
      <w:ind w:left="1980" w:hanging="846"/>
      <w:jc w:val="both"/>
    </w:pPr>
    <w:rPr>
      <w:noProof/>
      <w:snapToGrid w:val="0"/>
      <w:kern w:val="24"/>
      <w:lang w:eastAsia="en-US"/>
    </w:rPr>
  </w:style>
  <w:style w:type="character" w:styleId="Hyperlink">
    <w:name w:val="Hyperlink"/>
    <w:rsid w:val="00571312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571312"/>
    <w:pPr>
      <w:tabs>
        <w:tab w:val="left" w:pos="1134"/>
        <w:tab w:val="left" w:pos="2977"/>
        <w:tab w:val="right" w:leader="dot" w:pos="9629"/>
      </w:tabs>
      <w:ind w:left="1985"/>
      <w:jc w:val="both"/>
    </w:pPr>
    <w:rPr>
      <w:smallCaps/>
      <w:snapToGrid w:val="0"/>
      <w:kern w:val="28"/>
      <w:lang w:eastAsia="en-US"/>
    </w:rPr>
  </w:style>
  <w:style w:type="paragraph" w:styleId="TOC5">
    <w:name w:val="toc 5"/>
    <w:basedOn w:val="Normal"/>
    <w:next w:val="Normal"/>
    <w:autoRedefine/>
    <w:semiHidden/>
    <w:rsid w:val="00571312"/>
    <w:pPr>
      <w:ind w:left="960"/>
    </w:pPr>
  </w:style>
  <w:style w:type="paragraph" w:styleId="TOC6">
    <w:name w:val="toc 6"/>
    <w:basedOn w:val="Normal"/>
    <w:next w:val="Normal"/>
    <w:autoRedefine/>
    <w:semiHidden/>
    <w:rsid w:val="00571312"/>
    <w:pPr>
      <w:ind w:left="1200"/>
    </w:pPr>
  </w:style>
  <w:style w:type="paragraph" w:styleId="TOC7">
    <w:name w:val="toc 7"/>
    <w:basedOn w:val="Normal"/>
    <w:next w:val="Normal"/>
    <w:autoRedefine/>
    <w:semiHidden/>
    <w:rsid w:val="00571312"/>
    <w:pPr>
      <w:ind w:left="1440"/>
    </w:pPr>
  </w:style>
  <w:style w:type="paragraph" w:styleId="TOC8">
    <w:name w:val="toc 8"/>
    <w:basedOn w:val="Normal"/>
    <w:next w:val="Normal"/>
    <w:autoRedefine/>
    <w:semiHidden/>
    <w:rsid w:val="00571312"/>
    <w:pPr>
      <w:ind w:left="1680"/>
    </w:pPr>
  </w:style>
  <w:style w:type="paragraph" w:styleId="TOC9">
    <w:name w:val="toc 9"/>
    <w:basedOn w:val="Normal"/>
    <w:next w:val="Normal"/>
    <w:autoRedefine/>
    <w:semiHidden/>
    <w:rsid w:val="00571312"/>
    <w:pPr>
      <w:ind w:left="1920"/>
    </w:pPr>
  </w:style>
  <w:style w:type="paragraph" w:styleId="Caption">
    <w:name w:val="caption"/>
    <w:basedOn w:val="BodyText"/>
    <w:next w:val="BodyText"/>
    <w:qFormat/>
    <w:rsid w:val="00AB1085"/>
    <w:pPr>
      <w:numPr>
        <w:numId w:val="0"/>
      </w:numPr>
      <w:spacing w:before="220" w:after="330" w:line="260" w:lineRule="atLeast"/>
      <w:ind w:left="709"/>
    </w:pPr>
    <w:rPr>
      <w:bCs/>
      <w:sz w:val="18"/>
    </w:rPr>
  </w:style>
  <w:style w:type="numbering" w:styleId="111111">
    <w:name w:val="Outline List 2"/>
    <w:basedOn w:val="NoList"/>
    <w:semiHidden/>
    <w:rsid w:val="007E6A6E"/>
    <w:pPr>
      <w:numPr>
        <w:numId w:val="10"/>
      </w:numPr>
    </w:pPr>
  </w:style>
  <w:style w:type="numbering" w:styleId="1ai">
    <w:name w:val="Outline List 1"/>
    <w:basedOn w:val="NoList"/>
    <w:semiHidden/>
    <w:rsid w:val="007E6A6E"/>
    <w:pPr>
      <w:numPr>
        <w:numId w:val="11"/>
      </w:numPr>
    </w:pPr>
  </w:style>
  <w:style w:type="numbering" w:styleId="ArticleSection">
    <w:name w:val="Outline List 3"/>
    <w:basedOn w:val="NoList"/>
    <w:semiHidden/>
    <w:rsid w:val="007E6A6E"/>
    <w:pPr>
      <w:numPr>
        <w:numId w:val="12"/>
      </w:numPr>
    </w:pPr>
  </w:style>
  <w:style w:type="paragraph" w:styleId="BlockText">
    <w:name w:val="Block Text"/>
    <w:basedOn w:val="Normal"/>
    <w:semiHidden/>
    <w:rsid w:val="007E6A6E"/>
    <w:pPr>
      <w:spacing w:after="120"/>
      <w:ind w:left="1440" w:right="1440"/>
    </w:pPr>
  </w:style>
  <w:style w:type="paragraph" w:styleId="BodyText2">
    <w:name w:val="Body Text 2"/>
    <w:basedOn w:val="Normal"/>
    <w:semiHidden/>
    <w:rsid w:val="007E6A6E"/>
    <w:pPr>
      <w:spacing w:after="120" w:line="480" w:lineRule="auto"/>
    </w:pPr>
  </w:style>
  <w:style w:type="paragraph" w:styleId="BodyText3">
    <w:name w:val="Body Text 3"/>
    <w:basedOn w:val="Normal"/>
    <w:semiHidden/>
    <w:rsid w:val="007E6A6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64176D"/>
    <w:pPr>
      <w:ind w:firstLine="210"/>
    </w:pPr>
  </w:style>
  <w:style w:type="paragraph" w:styleId="BodyTextIndent">
    <w:name w:val="Body Text Indent"/>
    <w:basedOn w:val="BodyText"/>
    <w:rsid w:val="0015571E"/>
    <w:pPr>
      <w:ind w:left="1134"/>
    </w:pPr>
  </w:style>
  <w:style w:type="paragraph" w:styleId="BodyTextFirstIndent2">
    <w:name w:val="Body Text First Indent 2"/>
    <w:basedOn w:val="BodyTextIndent"/>
    <w:semiHidden/>
    <w:rsid w:val="007E6A6E"/>
    <w:pPr>
      <w:ind w:firstLine="210"/>
    </w:pPr>
  </w:style>
  <w:style w:type="paragraph" w:styleId="BodyTextIndent2">
    <w:name w:val="Body Text Indent 2"/>
    <w:basedOn w:val="Normal"/>
    <w:semiHidden/>
    <w:rsid w:val="007E6A6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E6A6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E6A6E"/>
    <w:pPr>
      <w:ind w:left="4252"/>
    </w:pPr>
  </w:style>
  <w:style w:type="paragraph" w:styleId="CommentText">
    <w:name w:val="annotation text"/>
    <w:basedOn w:val="Normal"/>
    <w:semiHidden/>
    <w:rsid w:val="007E6A6E"/>
  </w:style>
  <w:style w:type="paragraph" w:styleId="Date">
    <w:name w:val="Date"/>
    <w:basedOn w:val="Normal"/>
    <w:next w:val="Normal"/>
    <w:semiHidden/>
    <w:rsid w:val="00CA23BE"/>
  </w:style>
  <w:style w:type="paragraph" w:styleId="E-mailSignature">
    <w:name w:val="E-mail Signature"/>
    <w:basedOn w:val="Normal"/>
    <w:semiHidden/>
    <w:rsid w:val="007E6A6E"/>
  </w:style>
  <w:style w:type="character" w:styleId="Emphasis">
    <w:name w:val="Emphasis"/>
    <w:qFormat/>
    <w:rsid w:val="007E6A6E"/>
    <w:rPr>
      <w:i/>
      <w:iCs/>
    </w:rPr>
  </w:style>
  <w:style w:type="paragraph" w:styleId="EnvelopeAddress">
    <w:name w:val="envelope address"/>
    <w:basedOn w:val="Normal"/>
    <w:semiHidden/>
    <w:rsid w:val="007E6A6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7E6A6E"/>
    <w:rPr>
      <w:rFonts w:cs="Arial"/>
    </w:rPr>
  </w:style>
  <w:style w:type="character" w:styleId="FollowedHyperlink">
    <w:name w:val="FollowedHyperlink"/>
    <w:semiHidden/>
    <w:rsid w:val="007E6A6E"/>
    <w:rPr>
      <w:color w:val="800080"/>
      <w:u w:val="single"/>
    </w:rPr>
  </w:style>
  <w:style w:type="character" w:styleId="FootnoteReference">
    <w:name w:val="footnote reference"/>
    <w:semiHidden/>
    <w:rsid w:val="007E6A6E"/>
    <w:rPr>
      <w:vertAlign w:val="superscript"/>
    </w:rPr>
  </w:style>
  <w:style w:type="paragraph" w:styleId="FootnoteText">
    <w:name w:val="footnote text"/>
    <w:basedOn w:val="BodyText"/>
    <w:semiHidden/>
    <w:rsid w:val="00F92DD8"/>
    <w:pPr>
      <w:numPr>
        <w:numId w:val="0"/>
      </w:numPr>
      <w:spacing w:after="60" w:line="240" w:lineRule="auto"/>
    </w:pPr>
    <w:rPr>
      <w:sz w:val="18"/>
    </w:rPr>
  </w:style>
  <w:style w:type="character" w:styleId="HTMLAcronym">
    <w:name w:val="HTML Acronym"/>
    <w:basedOn w:val="DefaultParagraphFont"/>
    <w:semiHidden/>
    <w:rsid w:val="007E6A6E"/>
  </w:style>
  <w:style w:type="paragraph" w:styleId="HTMLAddress">
    <w:name w:val="HTML Address"/>
    <w:basedOn w:val="Normal"/>
    <w:semiHidden/>
    <w:rsid w:val="007E6A6E"/>
    <w:rPr>
      <w:i/>
      <w:iCs/>
    </w:rPr>
  </w:style>
  <w:style w:type="character" w:styleId="HTMLCite">
    <w:name w:val="HTML Cite"/>
    <w:semiHidden/>
    <w:rsid w:val="007E6A6E"/>
    <w:rPr>
      <w:i/>
      <w:iCs/>
    </w:rPr>
  </w:style>
  <w:style w:type="character" w:styleId="HTMLCode">
    <w:name w:val="HTML Code"/>
    <w:semiHidden/>
    <w:rsid w:val="007E6A6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6A6E"/>
    <w:rPr>
      <w:i/>
      <w:iCs/>
    </w:rPr>
  </w:style>
  <w:style w:type="character" w:styleId="HTMLKeyboard">
    <w:name w:val="HTML Keyboard"/>
    <w:semiHidden/>
    <w:rsid w:val="007E6A6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E6A6E"/>
    <w:rPr>
      <w:rFonts w:ascii="Courier New" w:hAnsi="Courier New" w:cs="Courier New"/>
    </w:rPr>
  </w:style>
  <w:style w:type="character" w:styleId="HTMLSample">
    <w:name w:val="HTML Sample"/>
    <w:semiHidden/>
    <w:rsid w:val="007E6A6E"/>
    <w:rPr>
      <w:rFonts w:ascii="Courier New" w:hAnsi="Courier New" w:cs="Courier New"/>
    </w:rPr>
  </w:style>
  <w:style w:type="character" w:styleId="HTMLTypewriter">
    <w:name w:val="HTML Typewriter"/>
    <w:semiHidden/>
    <w:rsid w:val="007E6A6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6A6E"/>
    <w:rPr>
      <w:i/>
      <w:iCs/>
    </w:rPr>
  </w:style>
  <w:style w:type="character" w:styleId="LineNumber">
    <w:name w:val="line number"/>
    <w:basedOn w:val="DefaultParagraphFont"/>
    <w:semiHidden/>
    <w:rsid w:val="007E6A6E"/>
  </w:style>
  <w:style w:type="paragraph" w:styleId="List">
    <w:name w:val="List"/>
    <w:basedOn w:val="Normal"/>
    <w:semiHidden/>
    <w:rsid w:val="007E6A6E"/>
    <w:pPr>
      <w:ind w:left="283" w:hanging="283"/>
    </w:pPr>
  </w:style>
  <w:style w:type="paragraph" w:styleId="List2">
    <w:name w:val="List 2"/>
    <w:basedOn w:val="Normal"/>
    <w:semiHidden/>
    <w:rsid w:val="007E6A6E"/>
    <w:pPr>
      <w:ind w:left="566" w:hanging="283"/>
    </w:pPr>
  </w:style>
  <w:style w:type="paragraph" w:styleId="List3">
    <w:name w:val="List 3"/>
    <w:basedOn w:val="Normal"/>
    <w:semiHidden/>
    <w:rsid w:val="007E6A6E"/>
    <w:pPr>
      <w:ind w:left="849" w:hanging="283"/>
    </w:pPr>
  </w:style>
  <w:style w:type="paragraph" w:styleId="List4">
    <w:name w:val="List 4"/>
    <w:basedOn w:val="Normal"/>
    <w:semiHidden/>
    <w:rsid w:val="007E6A6E"/>
    <w:pPr>
      <w:ind w:left="1132" w:hanging="283"/>
    </w:pPr>
  </w:style>
  <w:style w:type="paragraph" w:styleId="List5">
    <w:name w:val="List 5"/>
    <w:basedOn w:val="Normal"/>
    <w:semiHidden/>
    <w:rsid w:val="007E6A6E"/>
    <w:pPr>
      <w:ind w:left="1415" w:hanging="283"/>
    </w:pPr>
  </w:style>
  <w:style w:type="paragraph" w:styleId="ListBullet">
    <w:name w:val="List Bullet"/>
    <w:basedOn w:val="Normal"/>
    <w:autoRedefine/>
    <w:rsid w:val="00AF55DD"/>
    <w:pPr>
      <w:numPr>
        <w:numId w:val="23"/>
      </w:numPr>
      <w:ind w:left="1134" w:hanging="425"/>
    </w:pPr>
  </w:style>
  <w:style w:type="paragraph" w:styleId="ListBullet2">
    <w:name w:val="List Bullet 2"/>
    <w:basedOn w:val="Normal"/>
    <w:autoRedefine/>
    <w:rsid w:val="007E6A6E"/>
    <w:pPr>
      <w:numPr>
        <w:numId w:val="1"/>
      </w:numPr>
    </w:pPr>
  </w:style>
  <w:style w:type="paragraph" w:styleId="ListBullet3">
    <w:name w:val="List Bullet 3"/>
    <w:basedOn w:val="Normal"/>
    <w:autoRedefine/>
    <w:rsid w:val="007E6A6E"/>
    <w:pPr>
      <w:numPr>
        <w:numId w:val="2"/>
      </w:numPr>
    </w:pPr>
  </w:style>
  <w:style w:type="paragraph" w:styleId="ListBullet4">
    <w:name w:val="List Bullet 4"/>
    <w:basedOn w:val="Normal"/>
    <w:autoRedefine/>
    <w:rsid w:val="007E6A6E"/>
    <w:pPr>
      <w:numPr>
        <w:numId w:val="3"/>
      </w:numPr>
    </w:pPr>
  </w:style>
  <w:style w:type="paragraph" w:styleId="ListBullet5">
    <w:name w:val="List Bullet 5"/>
    <w:basedOn w:val="Normal"/>
    <w:autoRedefine/>
    <w:rsid w:val="007E6A6E"/>
    <w:pPr>
      <w:numPr>
        <w:numId w:val="4"/>
      </w:numPr>
    </w:pPr>
  </w:style>
  <w:style w:type="paragraph" w:styleId="ListContinue">
    <w:name w:val="List Continue"/>
    <w:basedOn w:val="Normal"/>
    <w:semiHidden/>
    <w:rsid w:val="007E6A6E"/>
    <w:pPr>
      <w:spacing w:after="120"/>
      <w:ind w:left="283"/>
    </w:pPr>
  </w:style>
  <w:style w:type="paragraph" w:styleId="ListContinue2">
    <w:name w:val="List Continue 2"/>
    <w:basedOn w:val="Normal"/>
    <w:semiHidden/>
    <w:rsid w:val="007E6A6E"/>
    <w:pPr>
      <w:spacing w:after="120"/>
      <w:ind w:left="566"/>
    </w:pPr>
  </w:style>
  <w:style w:type="paragraph" w:styleId="ListContinue3">
    <w:name w:val="List Continue 3"/>
    <w:basedOn w:val="Normal"/>
    <w:semiHidden/>
    <w:rsid w:val="007E6A6E"/>
    <w:pPr>
      <w:spacing w:after="120"/>
      <w:ind w:left="849"/>
    </w:pPr>
  </w:style>
  <w:style w:type="paragraph" w:styleId="ListContinue4">
    <w:name w:val="List Continue 4"/>
    <w:basedOn w:val="Normal"/>
    <w:semiHidden/>
    <w:rsid w:val="007E6A6E"/>
    <w:pPr>
      <w:spacing w:after="120"/>
      <w:ind w:left="1132"/>
    </w:pPr>
  </w:style>
  <w:style w:type="paragraph" w:styleId="ListContinue5">
    <w:name w:val="List Continue 5"/>
    <w:basedOn w:val="Normal"/>
    <w:semiHidden/>
    <w:rsid w:val="007E6A6E"/>
    <w:pPr>
      <w:spacing w:after="120"/>
      <w:ind w:left="1415"/>
    </w:pPr>
  </w:style>
  <w:style w:type="paragraph" w:styleId="ListNumber">
    <w:name w:val="List Number"/>
    <w:basedOn w:val="Normal"/>
    <w:rsid w:val="007E6A6E"/>
    <w:pPr>
      <w:numPr>
        <w:numId w:val="5"/>
      </w:numPr>
    </w:pPr>
  </w:style>
  <w:style w:type="paragraph" w:styleId="ListNumber2">
    <w:name w:val="List Number 2"/>
    <w:basedOn w:val="Normal"/>
    <w:rsid w:val="007E6A6E"/>
    <w:pPr>
      <w:numPr>
        <w:numId w:val="6"/>
      </w:numPr>
    </w:pPr>
  </w:style>
  <w:style w:type="paragraph" w:styleId="ListNumber3">
    <w:name w:val="List Number 3"/>
    <w:basedOn w:val="Normal"/>
    <w:rsid w:val="007E6A6E"/>
    <w:pPr>
      <w:numPr>
        <w:numId w:val="7"/>
      </w:numPr>
    </w:pPr>
  </w:style>
  <w:style w:type="paragraph" w:styleId="ListNumber4">
    <w:name w:val="List Number 4"/>
    <w:basedOn w:val="Normal"/>
    <w:rsid w:val="007E6A6E"/>
    <w:pPr>
      <w:numPr>
        <w:numId w:val="8"/>
      </w:numPr>
    </w:pPr>
  </w:style>
  <w:style w:type="paragraph" w:styleId="ListNumber5">
    <w:name w:val="List Number 5"/>
    <w:basedOn w:val="Normal"/>
    <w:rsid w:val="007E6A6E"/>
    <w:pPr>
      <w:numPr>
        <w:numId w:val="9"/>
      </w:numPr>
    </w:pPr>
  </w:style>
  <w:style w:type="paragraph" w:styleId="MessageHeader">
    <w:name w:val="Message Header"/>
    <w:basedOn w:val="Normal"/>
    <w:semiHidden/>
    <w:rsid w:val="007E6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1C3407"/>
    <w:rPr>
      <w:sz w:val="24"/>
      <w:szCs w:val="24"/>
    </w:rPr>
  </w:style>
  <w:style w:type="paragraph" w:styleId="NormalIndent">
    <w:name w:val="Normal Indent"/>
    <w:basedOn w:val="Normal"/>
    <w:semiHidden/>
    <w:rsid w:val="007E6A6E"/>
    <w:pPr>
      <w:ind w:left="720"/>
    </w:pPr>
  </w:style>
  <w:style w:type="paragraph" w:styleId="NoteHeading">
    <w:name w:val="Note Heading"/>
    <w:basedOn w:val="Normal"/>
    <w:next w:val="Normal"/>
    <w:semiHidden/>
    <w:rsid w:val="007E6A6E"/>
  </w:style>
  <w:style w:type="character" w:styleId="PageNumber">
    <w:name w:val="page number"/>
    <w:basedOn w:val="DefaultParagraphFont"/>
    <w:semiHidden/>
    <w:rsid w:val="007E6A6E"/>
  </w:style>
  <w:style w:type="paragraph" w:styleId="PlainText">
    <w:name w:val="Plain Text"/>
    <w:basedOn w:val="Normal"/>
    <w:semiHidden/>
    <w:rsid w:val="007E6A6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E6A6E"/>
  </w:style>
  <w:style w:type="paragraph" w:styleId="Signature">
    <w:name w:val="Signature"/>
    <w:basedOn w:val="Normal"/>
    <w:semiHidden/>
    <w:rsid w:val="007E6A6E"/>
    <w:pPr>
      <w:ind w:left="4252"/>
    </w:pPr>
  </w:style>
  <w:style w:type="character" w:styleId="Strong">
    <w:name w:val="Strong"/>
    <w:qFormat/>
    <w:rsid w:val="007E6A6E"/>
    <w:rPr>
      <w:b/>
      <w:bCs/>
    </w:rPr>
  </w:style>
  <w:style w:type="paragraph" w:styleId="Subtitle">
    <w:name w:val="Subtitle"/>
    <w:basedOn w:val="Normal"/>
    <w:qFormat/>
    <w:rsid w:val="007E6A6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7E6A6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6A6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6A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E6A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6A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6A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6A6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E6A6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6A6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6A6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E6A6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6A6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6A6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6A6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6A6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E6A6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E6A6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E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E6A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6A6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6A6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6A6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6A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6A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6A6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6A6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E6A6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6A6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6A6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6A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6A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6A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6A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6A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E6A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E6A6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E6A6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6A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E6A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6A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E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E6A6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6A6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E6A6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QGEAtable">
    <w:name w:val="QGEA table"/>
    <w:basedOn w:val="TableNormal"/>
    <w:rsid w:val="006334ED"/>
    <w:rPr>
      <w:rFonts w:ascii="Arial" w:hAnsi="Arial"/>
    </w:rPr>
    <w:tblPr>
      <w:tblInd w:w="709" w:type="dxa"/>
      <w:tblBorders>
        <w:top w:val="single" w:sz="4" w:space="0" w:color="3B6E8F"/>
        <w:left w:val="single" w:sz="4" w:space="0" w:color="3B6E8F"/>
        <w:bottom w:val="single" w:sz="4" w:space="0" w:color="3B6E8F"/>
        <w:right w:val="single" w:sz="4" w:space="0" w:color="3B6E8F"/>
        <w:insideH w:val="single" w:sz="4" w:space="0" w:color="3B6E8F"/>
        <w:insideV w:val="single" w:sz="4" w:space="0" w:color="3B6E8F"/>
      </w:tblBorders>
      <w:tblCellMar>
        <w:left w:w="57" w:type="dxa"/>
        <w:right w:w="51" w:type="dxa"/>
      </w:tblCellMar>
    </w:tblPr>
    <w:trPr>
      <w:cantSplit/>
    </w:trPr>
    <w:tcPr>
      <w:tcMar>
        <w:top w:w="28" w:type="dxa"/>
        <w:left w:w="85" w:type="dxa"/>
        <w:bottom w:w="28" w:type="dxa"/>
        <w:right w:w="85" w:type="dxa"/>
      </w:tcMar>
    </w:tcPr>
    <w:tblStylePr w:type="firstRow">
      <w:rPr>
        <w:rFonts w:ascii="Arial" w:hAnsi="Arial"/>
        <w:b w:val="0"/>
        <w:i w:val="0"/>
        <w:color w:val="auto"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FFFFFF"/>
          <w:tl2br w:val="nil"/>
          <w:tr2bl w:val="nil"/>
        </w:tcBorders>
        <w:shd w:val="clear" w:color="auto" w:fill="3B6E8F"/>
      </w:tcPr>
    </w:tblStylePr>
  </w:style>
  <w:style w:type="paragraph" w:customStyle="1" w:styleId="Bodystylefordocumentdetails">
    <w:name w:val="Body style for document details"/>
    <w:basedOn w:val="BodyText"/>
    <w:semiHidden/>
    <w:rsid w:val="001C3407"/>
    <w:pPr>
      <w:numPr>
        <w:numId w:val="0"/>
      </w:numPr>
      <w:spacing w:line="240" w:lineRule="atLeast"/>
    </w:pPr>
  </w:style>
  <w:style w:type="paragraph" w:customStyle="1" w:styleId="Heading2nonumber">
    <w:name w:val="Heading 2 no number"/>
    <w:basedOn w:val="Heading2"/>
    <w:next w:val="Bodystylefordocumentdetails"/>
    <w:rsid w:val="00CA23BE"/>
    <w:pPr>
      <w:numPr>
        <w:ilvl w:val="0"/>
        <w:numId w:val="0"/>
      </w:numPr>
      <w:outlineLvl w:val="9"/>
    </w:pPr>
  </w:style>
  <w:style w:type="paragraph" w:customStyle="1" w:styleId="Bulletforexecsummary">
    <w:name w:val="Bullet for exec summary"/>
    <w:basedOn w:val="Bulletcircle"/>
    <w:rsid w:val="00045ECF"/>
    <w:pPr>
      <w:numPr>
        <w:numId w:val="15"/>
      </w:numPr>
    </w:pPr>
  </w:style>
  <w:style w:type="paragraph" w:customStyle="1" w:styleId="Image">
    <w:name w:val="Image"/>
    <w:basedOn w:val="BodyText"/>
    <w:next w:val="Caption"/>
    <w:rsid w:val="001C3407"/>
    <w:pPr>
      <w:keepNext/>
      <w:numPr>
        <w:numId w:val="0"/>
      </w:numPr>
      <w:spacing w:before="0" w:line="240" w:lineRule="auto"/>
      <w:ind w:left="709"/>
    </w:pPr>
  </w:style>
  <w:style w:type="paragraph" w:styleId="TableofFigures">
    <w:name w:val="table of figures"/>
    <w:uiPriority w:val="99"/>
    <w:rsid w:val="001C3407"/>
    <w:pPr>
      <w:spacing w:before="60" w:after="60"/>
      <w:ind w:right="567"/>
    </w:pPr>
    <w:rPr>
      <w:rFonts w:ascii="Arial" w:hAnsi="Arial"/>
      <w:sz w:val="22"/>
      <w:szCs w:val="24"/>
    </w:rPr>
  </w:style>
  <w:style w:type="character" w:customStyle="1" w:styleId="Artefacttype">
    <w:name w:val="Artefact type"/>
    <w:semiHidden/>
    <w:rsid w:val="009F7209"/>
  </w:style>
  <w:style w:type="paragraph" w:customStyle="1" w:styleId="Guidancetext">
    <w:name w:val="Guidance text"/>
    <w:basedOn w:val="BodyText"/>
    <w:semiHidden/>
    <w:rsid w:val="001C3407"/>
    <w:pPr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CC"/>
      <w:spacing w:line="260" w:lineRule="atLeast"/>
    </w:pPr>
    <w:rPr>
      <w:sz w:val="20"/>
      <w:lang w:eastAsia="en-US"/>
    </w:rPr>
  </w:style>
  <w:style w:type="character" w:customStyle="1" w:styleId="Reportstatus">
    <w:name w:val="Report status"/>
    <w:semiHidden/>
    <w:rsid w:val="00CA23BE"/>
    <w:rPr>
      <w:rFonts w:ascii="Arial" w:hAnsi="Arial"/>
      <w:b/>
      <w:color w:val="013861"/>
      <w:sz w:val="22"/>
    </w:rPr>
  </w:style>
  <w:style w:type="character" w:customStyle="1" w:styleId="Heading2Char">
    <w:name w:val="Heading 2 Char"/>
    <w:link w:val="Heading2"/>
    <w:rsid w:val="00A3240D"/>
    <w:rPr>
      <w:rFonts w:ascii="Arial Bold" w:hAnsi="Arial Bold"/>
      <w:b/>
      <w:snapToGrid w:val="0"/>
      <w:color w:val="5F5F5F"/>
      <w:kern w:val="28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E21E6F"/>
    <w:rPr>
      <w:rFonts w:ascii="Arial" w:hAnsi="Arial"/>
      <w:sz w:val="22"/>
    </w:rPr>
  </w:style>
  <w:style w:type="paragraph" w:customStyle="1" w:styleId="TitlePageOptionalTextLine">
    <w:name w:val="Title Page Optional Text Line"/>
    <w:basedOn w:val="Normal"/>
    <w:link w:val="TitlePageOptionalTextLineChar"/>
    <w:rsid w:val="00CA23BE"/>
    <w:rPr>
      <w:color w:val="FFFFFF"/>
      <w:sz w:val="30"/>
      <w:szCs w:val="24"/>
      <w:lang w:eastAsia="en-US"/>
    </w:rPr>
  </w:style>
  <w:style w:type="paragraph" w:customStyle="1" w:styleId="tabletextnumber">
    <w:name w:val="table text number"/>
    <w:basedOn w:val="TableText"/>
    <w:rsid w:val="001C3407"/>
    <w:pPr>
      <w:numPr>
        <w:ilvl w:val="1"/>
      </w:numPr>
      <w:spacing w:before="40" w:after="40"/>
    </w:pPr>
  </w:style>
  <w:style w:type="paragraph" w:customStyle="1" w:styleId="tabletextalpha">
    <w:name w:val="table text alpha"/>
    <w:basedOn w:val="TableText"/>
    <w:rsid w:val="001C3407"/>
    <w:pPr>
      <w:numPr>
        <w:ilvl w:val="2"/>
      </w:numPr>
      <w:spacing w:before="40" w:after="40"/>
    </w:pPr>
  </w:style>
  <w:style w:type="paragraph" w:customStyle="1" w:styleId="TitlePageSubtitle">
    <w:name w:val="Title Page Subtitle"/>
    <w:basedOn w:val="Normal"/>
    <w:rsid w:val="00CA23BE"/>
    <w:pPr>
      <w:spacing w:after="60"/>
    </w:pPr>
    <w:rPr>
      <w:color w:val="FFFFFF"/>
      <w:sz w:val="40"/>
      <w:szCs w:val="24"/>
      <w:lang w:eastAsia="en-US"/>
    </w:rPr>
  </w:style>
  <w:style w:type="paragraph" w:customStyle="1" w:styleId="Titlepageheading">
    <w:name w:val="Title page heading"/>
    <w:basedOn w:val="TitlePageSubtitle"/>
    <w:next w:val="TitlePageSubtitle"/>
    <w:rsid w:val="00506597"/>
    <w:pPr>
      <w:pBdr>
        <w:bottom w:val="single" w:sz="4" w:space="1" w:color="5F5F5F"/>
      </w:pBdr>
      <w:spacing w:before="2400" w:after="240" w:line="264" w:lineRule="auto"/>
    </w:pPr>
    <w:rPr>
      <w:rFonts w:cs="Arial"/>
      <w:color w:val="4D4D4D"/>
      <w:sz w:val="72"/>
    </w:rPr>
  </w:style>
  <w:style w:type="character" w:customStyle="1" w:styleId="TitlePageOptionalTextLineChar">
    <w:name w:val="Title Page Optional Text Line Char"/>
    <w:link w:val="TitlePageOptionalTextLine"/>
    <w:rsid w:val="00506597"/>
    <w:rPr>
      <w:rFonts w:ascii="Arial" w:hAnsi="Arial"/>
      <w:color w:val="FFFFFF"/>
      <w:sz w:val="30"/>
      <w:szCs w:val="24"/>
      <w:lang w:eastAsia="en-US"/>
    </w:rPr>
  </w:style>
  <w:style w:type="table" w:customStyle="1" w:styleId="Table-LowInk">
    <w:name w:val="Table - Low Ink"/>
    <w:basedOn w:val="TableNormal"/>
    <w:rsid w:val="007D23D6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/>
        <w:color w:val="auto"/>
        <w:sz w:val="24"/>
      </w:rPr>
      <w:tblPr>
        <w:tblCellMar>
          <w:top w:w="0" w:type="dxa"/>
          <w:left w:w="113" w:type="dxa"/>
          <w:bottom w:w="28" w:type="dxa"/>
          <w:right w:w="113" w:type="dxa"/>
        </w:tblCellMar>
      </w:tblPr>
      <w:tcPr>
        <w:tcBorders>
          <w:top w:val="single" w:sz="4" w:space="0" w:color="C0C0C0"/>
          <w:left w:val="single" w:sz="4" w:space="0" w:color="C0C0C0"/>
          <w:bottom w:val="single" w:sz="18" w:space="0" w:color="C0C0C0"/>
          <w:right w:val="single" w:sz="4" w:space="0" w:color="C0C0C0"/>
          <w:insideH w:val="single" w:sz="18" w:space="0" w:color="C0C0C0"/>
          <w:insideV w:val="single" w:sz="4" w:space="0" w:color="C0C0C0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Tabletext0">
    <w:name w:val="Table text"/>
    <w:basedOn w:val="Normal"/>
    <w:rsid w:val="007D23D6"/>
    <w:pPr>
      <w:spacing w:before="20" w:after="20" w:line="264" w:lineRule="auto"/>
    </w:pPr>
    <w:rPr>
      <w:lang w:eastAsia="en-US"/>
    </w:rPr>
  </w:style>
  <w:style w:type="paragraph" w:customStyle="1" w:styleId="Tableheadings">
    <w:name w:val="Table headings"/>
    <w:basedOn w:val="Normal"/>
    <w:rsid w:val="007D23D6"/>
    <w:pPr>
      <w:spacing w:before="180" w:after="60" w:line="264" w:lineRule="auto"/>
    </w:pPr>
    <w:rPr>
      <w:szCs w:val="24"/>
      <w:lang w:eastAsia="en-US"/>
    </w:rPr>
  </w:style>
  <w:style w:type="paragraph" w:customStyle="1" w:styleId="Bullet3">
    <w:name w:val="Bullet3"/>
    <w:basedOn w:val="Bulletopencircle"/>
    <w:link w:val="Bullet3Char"/>
    <w:qFormat/>
    <w:rsid w:val="00702C47"/>
    <w:pPr>
      <w:numPr>
        <w:numId w:val="21"/>
      </w:numPr>
    </w:pPr>
  </w:style>
  <w:style w:type="paragraph" w:customStyle="1" w:styleId="Bullet2">
    <w:name w:val="Bullet2"/>
    <w:basedOn w:val="Bulletdash"/>
    <w:link w:val="Bullet2Char"/>
    <w:qFormat/>
    <w:rsid w:val="00702C47"/>
  </w:style>
  <w:style w:type="character" w:customStyle="1" w:styleId="BulletopencircleChar">
    <w:name w:val="Bullet open circle Char"/>
    <w:link w:val="Bulletopencircle"/>
    <w:rsid w:val="00702C47"/>
    <w:rPr>
      <w:rFonts w:ascii="Arial" w:hAnsi="Arial"/>
      <w:sz w:val="22"/>
      <w:szCs w:val="22"/>
    </w:rPr>
  </w:style>
  <w:style w:type="character" w:customStyle="1" w:styleId="Bullet3Char">
    <w:name w:val="Bullet3 Char"/>
    <w:link w:val="Bullet3"/>
    <w:rsid w:val="00702C47"/>
    <w:rPr>
      <w:rFonts w:ascii="Arial" w:hAnsi="Arial"/>
      <w:sz w:val="22"/>
      <w:szCs w:val="22"/>
    </w:rPr>
  </w:style>
  <w:style w:type="character" w:customStyle="1" w:styleId="BulletdashChar">
    <w:name w:val="Bullet dash Char"/>
    <w:link w:val="Bulletdash"/>
    <w:rsid w:val="00702C47"/>
    <w:rPr>
      <w:rFonts w:ascii="Arial" w:hAnsi="Arial"/>
      <w:sz w:val="22"/>
      <w:szCs w:val="22"/>
    </w:rPr>
  </w:style>
  <w:style w:type="character" w:customStyle="1" w:styleId="Bullet2Char">
    <w:name w:val="Bullet2 Char"/>
    <w:link w:val="Bullet2"/>
    <w:rsid w:val="00702C47"/>
    <w:rPr>
      <w:rFonts w:ascii="Arial" w:hAnsi="Arial"/>
      <w:sz w:val="22"/>
      <w:szCs w:val="22"/>
    </w:rPr>
  </w:style>
  <w:style w:type="paragraph" w:customStyle="1" w:styleId="QGEA">
    <w:name w:val="QGEA"/>
    <w:basedOn w:val="Normal"/>
    <w:rsid w:val="005E7B99"/>
    <w:pPr>
      <w:widowControl w:val="0"/>
      <w:suppressAutoHyphens/>
      <w:autoSpaceDE w:val="0"/>
      <w:autoSpaceDN w:val="0"/>
      <w:adjustRightInd w:val="0"/>
      <w:spacing w:before="1200" w:line="288" w:lineRule="auto"/>
      <w:textAlignment w:val="center"/>
    </w:pPr>
    <w:rPr>
      <w:rFonts w:cs="MetaOT-Norm"/>
      <w:color w:val="003E68"/>
      <w:spacing w:val="-2"/>
      <w:sz w:val="34"/>
      <w:lang w:val="en-GB"/>
    </w:rPr>
  </w:style>
  <w:style w:type="character" w:customStyle="1" w:styleId="Titlepageinfo">
    <w:name w:val="Title page info"/>
    <w:rsid w:val="005E7B99"/>
    <w:rPr>
      <w:color w:val="003E68"/>
      <w:sz w:val="30"/>
    </w:rPr>
  </w:style>
  <w:style w:type="numbering" w:customStyle="1" w:styleId="StyleNumbered">
    <w:name w:val="Style Numbered"/>
    <w:basedOn w:val="NoList"/>
    <w:rsid w:val="005E7B99"/>
    <w:pPr>
      <w:numPr>
        <w:numId w:val="22"/>
      </w:numPr>
    </w:pPr>
  </w:style>
  <w:style w:type="character" w:customStyle="1" w:styleId="BodyTextChar1">
    <w:name w:val="Body Text Char1"/>
    <w:rsid w:val="006641DB"/>
    <w:rPr>
      <w:rFonts w:ascii="Arial" w:hAnsi="Arial"/>
      <w:sz w:val="22"/>
      <w:lang w:val="en-AU" w:eastAsia="en-AU" w:bidi="ar-SA"/>
    </w:rPr>
  </w:style>
  <w:style w:type="character" w:customStyle="1" w:styleId="Heading3Char">
    <w:name w:val="Heading 3 Char"/>
    <w:link w:val="Heading3"/>
    <w:rsid w:val="006641DB"/>
    <w:rPr>
      <w:rFonts w:ascii="Arial Bold" w:hAnsi="Arial Bold"/>
      <w:b/>
      <w:snapToGrid w:val="0"/>
      <w:kern w:val="24"/>
      <w:sz w:val="22"/>
      <w:szCs w:val="24"/>
      <w:lang w:eastAsia="en-US"/>
    </w:rPr>
  </w:style>
  <w:style w:type="character" w:customStyle="1" w:styleId="Bullet-NumberedChar">
    <w:name w:val="Bullet - Numbered Char"/>
    <w:link w:val="Bullet-Numbered"/>
    <w:rsid w:val="006641DB"/>
    <w:rPr>
      <w:rFonts w:ascii="Arial" w:hAnsi="Arial" w:cs="Times New (W1)"/>
      <w:snapToGrid w:val="0"/>
      <w:sz w:val="22"/>
      <w:szCs w:val="24"/>
      <w:lang w:eastAsia="en-US"/>
    </w:rPr>
  </w:style>
  <w:style w:type="paragraph" w:customStyle="1" w:styleId="Policyrequirement">
    <w:name w:val="Policy requirement"/>
    <w:next w:val="BodyText"/>
    <w:rsid w:val="006641DB"/>
    <w:pPr>
      <w:numPr>
        <w:numId w:val="27"/>
      </w:numPr>
      <w:spacing w:before="360" w:after="60"/>
    </w:pPr>
    <w:rPr>
      <w:rFonts w:ascii="Arial (W1)" w:hAnsi="Arial (W1)"/>
      <w:b/>
      <w:snapToGrid w:val="0"/>
      <w:color w:val="013861"/>
      <w:kern w:val="28"/>
      <w:sz w:val="28"/>
      <w:szCs w:val="32"/>
      <w:lang w:eastAsia="en-US"/>
    </w:rPr>
  </w:style>
  <w:style w:type="paragraph" w:styleId="Revision">
    <w:name w:val="Revision"/>
    <w:hidden/>
    <w:uiPriority w:val="99"/>
    <w:semiHidden/>
    <w:rsid w:val="006641D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928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3EE5"/>
    <w:rPr>
      <w:color w:val="808080"/>
      <w:shd w:val="clear" w:color="auto" w:fill="E6E6E6"/>
    </w:rPr>
  </w:style>
  <w:style w:type="paragraph" w:customStyle="1" w:styleId="Bullet1">
    <w:name w:val="Bullet1"/>
    <w:basedOn w:val="Bulletcircle"/>
    <w:link w:val="Bullet1Char"/>
    <w:qFormat/>
    <w:rsid w:val="003C69AC"/>
    <w:pPr>
      <w:numPr>
        <w:numId w:val="44"/>
      </w:numPr>
      <w:ind w:hanging="357"/>
    </w:pPr>
  </w:style>
  <w:style w:type="character" w:styleId="IntenseEmphasis">
    <w:name w:val="Intense Emphasis"/>
    <w:basedOn w:val="DefaultParagraphFont"/>
    <w:uiPriority w:val="21"/>
    <w:qFormat/>
    <w:rsid w:val="005E08C8"/>
    <w:rPr>
      <w:i/>
      <w:iCs/>
      <w:color w:val="4F81BD" w:themeColor="accent1"/>
    </w:rPr>
  </w:style>
  <w:style w:type="character" w:customStyle="1" w:styleId="BulletcircleChar">
    <w:name w:val="Bullet circle Char"/>
    <w:basedOn w:val="BodyTextChar"/>
    <w:link w:val="Bulletcircle"/>
    <w:rsid w:val="006D297F"/>
    <w:rPr>
      <w:rFonts w:ascii="Arial" w:hAnsi="Arial"/>
      <w:sz w:val="22"/>
      <w:szCs w:val="22"/>
    </w:rPr>
  </w:style>
  <w:style w:type="character" w:customStyle="1" w:styleId="Bullet1Char">
    <w:name w:val="Bullet1 Char"/>
    <w:basedOn w:val="BulletcircleChar"/>
    <w:link w:val="Bullet1"/>
    <w:rsid w:val="003C69A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18\Information%20security%20incident%20management%20guideline%20v1%200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8642-269E-40FE-8356-514689F9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security incident management guideline v1 0 1</Template>
  <TotalTime>0</TotalTime>
  <Pages>3</Pages>
  <Words>626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management guideline v3.0.0</vt:lpstr>
    </vt:vector>
  </TitlesOfParts>
  <Company>QGCIO</Company>
  <LinksUpToDate>false</LinksUpToDate>
  <CharactersWithSpaces>5279</CharactersWithSpaces>
  <SharedDoc>false</SharedDoc>
  <HLinks>
    <vt:vector size="84" baseType="variant">
      <vt:variant>
        <vt:i4>1769529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_Toc220983342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_Toc242600057</vt:lpwstr>
      </vt:variant>
      <vt:variant>
        <vt:i4>1441853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_Toc337112813</vt:lpwstr>
      </vt:variant>
      <vt:variant>
        <vt:i4>1441853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_Toc337112812</vt:lpwstr>
      </vt:variant>
      <vt:variant>
        <vt:i4>1441853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_Toc337112811</vt:lpwstr>
      </vt:variant>
      <vt:variant>
        <vt:i4>1441853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_Toc337112810</vt:lpwstr>
      </vt:variant>
      <vt:variant>
        <vt:i4>1507389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_Toc337112809</vt:lpwstr>
      </vt:variant>
      <vt:variant>
        <vt:i4>1507389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_Toc337112808</vt:lpwstr>
      </vt:variant>
      <vt:variant>
        <vt:i4>1507389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_Toc337112807</vt:lpwstr>
      </vt:variant>
      <vt:variant>
        <vt:i4>1507389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_Toc337112806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_Toc337112805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_Toc337112804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_Toc337112803</vt:lpwstr>
      </vt:variant>
      <vt:variant>
        <vt:i4>3014716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http://creativecommons.org/licenses/by/2.5/au/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management guideline v3.0.0</dc:title>
  <dc:subject>QGEA generic report</dc:subject>
  <dc:creator>IRWIN Lisa</dc:creator>
  <cp:lastModifiedBy>Lisa Irwin</cp:lastModifiedBy>
  <cp:revision>2</cp:revision>
  <cp:lastPrinted>2011-02-16T03:33:00Z</cp:lastPrinted>
  <dcterms:created xsi:type="dcterms:W3CDTF">2018-09-03T05:42:00Z</dcterms:created>
  <dcterms:modified xsi:type="dcterms:W3CDTF">2018-09-03T05:42:00Z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2.0.0</vt:lpwstr>
  </property>
  <property fmtid="{D5CDD505-2E9C-101B-9397-08002B2CF9AE}" pid="3" name="Date completed">
    <vt:lpwstr>19 June 2010</vt:lpwstr>
  </property>
  <property fmtid="{D5CDD505-2E9C-101B-9397-08002B2CF9AE}" pid="4" name="Template">
    <vt:lpwstr>QGEA generic report</vt:lpwstr>
  </property>
</Properties>
</file>