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BEDC2" w14:textId="77777777" w:rsidR="00303702" w:rsidRDefault="00303702" w:rsidP="00303702">
      <w:pPr>
        <w:pStyle w:val="Default"/>
      </w:pPr>
    </w:p>
    <w:p w14:paraId="6691FB81" w14:textId="28FF5FF1" w:rsidR="003469A0" w:rsidRDefault="003469A0" w:rsidP="00853A1F">
      <w:pPr>
        <w:widowControl w:val="0"/>
        <w:jc w:val="center"/>
        <w:rPr>
          <w:b/>
        </w:rPr>
      </w:pPr>
      <w:r>
        <w:rPr>
          <w:b/>
          <w:bCs/>
          <w:sz w:val="23"/>
          <w:szCs w:val="23"/>
        </w:rPr>
        <w:t xml:space="preserve">Template – </w:t>
      </w:r>
      <w:r w:rsidR="00E025D5">
        <w:rPr>
          <w:b/>
          <w:bCs/>
          <w:sz w:val="23"/>
          <w:szCs w:val="23"/>
        </w:rPr>
        <w:t>C</w:t>
      </w:r>
      <w:r w:rsidR="001227C9">
        <w:rPr>
          <w:b/>
          <w:bCs/>
          <w:sz w:val="23"/>
          <w:szCs w:val="23"/>
        </w:rPr>
        <w:t>ONVERSION APPROVAL – FIXED TERM TEMP</w:t>
      </w:r>
      <w:r>
        <w:rPr>
          <w:b/>
          <w:bCs/>
          <w:sz w:val="23"/>
          <w:szCs w:val="23"/>
        </w:rPr>
        <w:t xml:space="preserve"> </w:t>
      </w:r>
      <w:r w:rsidR="00DC42C2">
        <w:rPr>
          <w:b/>
          <w:bCs/>
          <w:sz w:val="23"/>
          <w:szCs w:val="23"/>
        </w:rPr>
        <w:t>[</w:t>
      </w:r>
      <w:r w:rsidRPr="00B43DD8">
        <w:rPr>
          <w:b/>
          <w:highlight w:val="yellow"/>
        </w:rPr>
        <w:t xml:space="preserve">DELETE </w:t>
      </w:r>
      <w:r>
        <w:rPr>
          <w:b/>
          <w:highlight w:val="yellow"/>
        </w:rPr>
        <w:t xml:space="preserve">HEADING </w:t>
      </w:r>
      <w:r w:rsidRPr="00B43DD8">
        <w:rPr>
          <w:b/>
          <w:highlight w:val="yellow"/>
        </w:rPr>
        <w:t>WHEN FINALISING LETTER]</w:t>
      </w:r>
    </w:p>
    <w:p w14:paraId="488D174C" w14:textId="7A341A7B" w:rsidR="00303702" w:rsidRDefault="00303702" w:rsidP="00303702">
      <w:pPr>
        <w:pStyle w:val="Default"/>
        <w:rPr>
          <w:sz w:val="23"/>
          <w:szCs w:val="23"/>
        </w:rPr>
      </w:pPr>
    </w:p>
    <w:p w14:paraId="1CCD8B69" w14:textId="77777777" w:rsidR="009739F0" w:rsidRDefault="009739F0" w:rsidP="009739F0">
      <w:pPr>
        <w:widowControl w:val="0"/>
        <w:rPr>
          <w:noProof/>
          <w:sz w:val="20"/>
        </w:rPr>
      </w:pPr>
    </w:p>
    <w:p w14:paraId="146A08D9" w14:textId="77777777" w:rsidR="009739F0" w:rsidRDefault="009739F0" w:rsidP="009739F0">
      <w:pPr>
        <w:widowControl w:val="0"/>
        <w:rPr>
          <w:noProof/>
          <w:sz w:val="20"/>
          <w:highlight w:val="yellow"/>
        </w:rPr>
      </w:pPr>
    </w:p>
    <w:p w14:paraId="42E22E2B" w14:textId="77777777" w:rsidR="009739F0" w:rsidRPr="00AB3968" w:rsidRDefault="009739F0" w:rsidP="009739F0">
      <w:pPr>
        <w:widowControl w:val="0"/>
        <w:rPr>
          <w:noProof/>
          <w:sz w:val="20"/>
          <w:highlight w:val="yellow"/>
        </w:rPr>
      </w:pPr>
    </w:p>
    <w:p w14:paraId="7A121071" w14:textId="77777777" w:rsidR="009739F0" w:rsidRPr="00853A1F" w:rsidRDefault="009739F0" w:rsidP="009739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A1F">
        <w:rPr>
          <w:rStyle w:val="normaltextrun"/>
          <w:rFonts w:ascii="Arial" w:hAnsi="Arial" w:cs="Arial"/>
          <w:color w:val="000000"/>
          <w:sz w:val="22"/>
          <w:szCs w:val="22"/>
        </w:rPr>
        <w:t>Dear </w:t>
      </w:r>
      <w:r w:rsidRPr="00853A1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[insert name]</w:t>
      </w:r>
      <w:r w:rsidRPr="00853A1F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853A1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188ACF" w14:textId="5A53EA16" w:rsidR="009739F0" w:rsidRPr="00853A1F" w:rsidRDefault="00101A10" w:rsidP="009739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A1F">
        <w:rPr>
          <w:rFonts w:cs="Arial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CADCF1" wp14:editId="7E67A6B7">
                <wp:simplePos x="0" y="0"/>
                <wp:positionH relativeFrom="margin">
                  <wp:align>left</wp:align>
                </wp:positionH>
                <wp:positionV relativeFrom="paragraph">
                  <wp:posOffset>341630</wp:posOffset>
                </wp:positionV>
                <wp:extent cx="5871845" cy="1130300"/>
                <wp:effectExtent l="0" t="0" r="146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13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D9AD1" w14:textId="43E5ECCB" w:rsidR="009739F0" w:rsidRDefault="009739F0" w:rsidP="009739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Your request to be </w:t>
                            </w:r>
                            <w:r w:rsidR="001227C9">
                              <w:t xml:space="preserve">converted </w:t>
                            </w:r>
                            <w:r>
                              <w:t>to permanent employment has been approved</w:t>
                            </w:r>
                          </w:p>
                          <w:p w14:paraId="46F90A95" w14:textId="6F4D5F6A" w:rsidR="009739F0" w:rsidRDefault="00A14354" w:rsidP="009739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Subject to your agreement, y</w:t>
                            </w:r>
                            <w:r w:rsidR="009739F0">
                              <w:t xml:space="preserve">our conversion will take effect from </w:t>
                            </w:r>
                            <w:r w:rsidR="009739F0" w:rsidRPr="00DD53AB">
                              <w:rPr>
                                <w:highlight w:val="yellow"/>
                              </w:rPr>
                              <w:t>[INSERT DATE]</w:t>
                            </w:r>
                          </w:p>
                          <w:p w14:paraId="0BC30F92" w14:textId="07C72472" w:rsidR="00F92F14" w:rsidRDefault="00A14354" w:rsidP="009739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bookmarkStart w:id="0" w:name="_Hlk52967063"/>
                            <w:r w:rsidRPr="008A6FAC">
                              <w:rPr>
                                <w:highlight w:val="yellow"/>
                              </w:rPr>
                              <w:t xml:space="preserve">[INSERT </w:t>
                            </w:r>
                            <w:r>
                              <w:rPr>
                                <w:highlight w:val="yellow"/>
                              </w:rPr>
                              <w:t>IF FULL</w:t>
                            </w:r>
                            <w:r w:rsidR="007B5FCC">
                              <w:rPr>
                                <w:highlight w:val="yellow"/>
                              </w:rPr>
                              <w:t>-</w:t>
                            </w:r>
                            <w:r>
                              <w:rPr>
                                <w:highlight w:val="yellow"/>
                              </w:rPr>
                              <w:t xml:space="preserve">TIME </w:t>
                            </w:r>
                            <w:r w:rsidRPr="008A6FAC">
                              <w:rPr>
                                <w:highlight w:val="yellow"/>
                              </w:rPr>
                              <w:t xml:space="preserve">HOURS </w:t>
                            </w:r>
                            <w:r w:rsidRPr="00AB0562">
                              <w:rPr>
                                <w:highlight w:val="yellow"/>
                              </w:rPr>
                              <w:t>NOT OFFERED</w:t>
                            </w:r>
                            <w:r w:rsidRPr="007B5FCC">
                              <w:rPr>
                                <w:highlight w:val="yellow"/>
                              </w:rPr>
                              <w:t>]</w:t>
                            </w:r>
                            <w:bookmarkEnd w:id="0"/>
                            <w:r w:rsidR="007B5FCC">
                              <w:t xml:space="preserve"> </w:t>
                            </w:r>
                            <w:r w:rsidR="00A74922">
                              <w:t>T</w:t>
                            </w:r>
                            <w:r w:rsidR="00F92F14">
                              <w:t xml:space="preserve">he permanent hours of work offered are: </w:t>
                            </w:r>
                            <w:bookmarkStart w:id="1" w:name="_Hlk52967250"/>
                            <w:r w:rsidR="00F92F14" w:rsidRPr="00AB0562">
                              <w:rPr>
                                <w:highlight w:val="yellow"/>
                              </w:rPr>
                              <w:t>[INSERT HOURS OF WORK</w:t>
                            </w:r>
                            <w:r w:rsidRPr="00AB0562">
                              <w:rPr>
                                <w:highlight w:val="yellow"/>
                              </w:rPr>
                              <w:t xml:space="preserve"> PER WEEK/FORTNIG</w:t>
                            </w:r>
                            <w:r w:rsidRPr="007B5FCC">
                              <w:rPr>
                                <w:highlight w:val="yellow"/>
                              </w:rPr>
                              <w:t>HT</w:t>
                            </w:r>
                            <w:r w:rsidR="00F92F14" w:rsidRPr="007B5FCC">
                              <w:rPr>
                                <w:highlight w:val="yellow"/>
                              </w:rPr>
                              <w:t>]</w:t>
                            </w:r>
                            <w:bookmarkEnd w:id="1"/>
                          </w:p>
                          <w:p w14:paraId="5B17DAFB" w14:textId="76D42F2B" w:rsidR="009739F0" w:rsidRDefault="00BB216A" w:rsidP="00DC42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details of</w:t>
                            </w:r>
                            <w:r w:rsidR="00913CFE">
                              <w:t xml:space="preserve"> your </w:t>
                            </w:r>
                            <w:r>
                              <w:t xml:space="preserve">permanent appointment </w:t>
                            </w:r>
                            <w:r w:rsidR="007F6ECF">
                              <w:t xml:space="preserve">offer </w:t>
                            </w:r>
                            <w:r>
                              <w:t>are</w:t>
                            </w:r>
                            <w:r w:rsidR="00913CFE">
                              <w:t xml:space="preserve"> enclosed</w:t>
                            </w:r>
                            <w:r w:rsidR="00101A10">
                              <w:t xml:space="preserve"> at the end of this letter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AD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9pt;width:462.35pt;height:89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8+JQ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">
                <v:textbox>
                  <w:txbxContent>
                    <w:p w14:paraId="0A0D9AD1" w14:textId="43E5ECCB" w:rsidR="009739F0" w:rsidRDefault="009739F0" w:rsidP="009739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Your request to be </w:t>
                      </w:r>
                      <w:r w:rsidR="001227C9">
                        <w:t xml:space="preserve">converted </w:t>
                      </w:r>
                      <w:r>
                        <w:t>to permanent employment has been approved</w:t>
                      </w:r>
                    </w:p>
                    <w:p w14:paraId="46F90A95" w14:textId="6F4D5F6A" w:rsidR="009739F0" w:rsidRDefault="00A14354" w:rsidP="009739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Subject to your agreement, y</w:t>
                      </w:r>
                      <w:r w:rsidR="009739F0">
                        <w:t xml:space="preserve">our conversion will take effect from </w:t>
                      </w:r>
                      <w:r w:rsidR="009739F0" w:rsidRPr="00DD53AB">
                        <w:rPr>
                          <w:highlight w:val="yellow"/>
                        </w:rPr>
                        <w:t>[INSERT DATE]</w:t>
                      </w:r>
                    </w:p>
                    <w:p w14:paraId="0BC30F92" w14:textId="07C72472" w:rsidR="00F92F14" w:rsidRDefault="00A14354" w:rsidP="009739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bookmarkStart w:id="2" w:name="_Hlk52967063"/>
                      <w:r w:rsidRPr="008A6FAC">
                        <w:rPr>
                          <w:highlight w:val="yellow"/>
                        </w:rPr>
                        <w:t xml:space="preserve">[INSERT </w:t>
                      </w:r>
                      <w:r>
                        <w:rPr>
                          <w:highlight w:val="yellow"/>
                        </w:rPr>
                        <w:t>IF FULL</w:t>
                      </w:r>
                      <w:r w:rsidR="007B5FCC">
                        <w:rPr>
                          <w:highlight w:val="yellow"/>
                        </w:rPr>
                        <w:t>-</w:t>
                      </w:r>
                      <w:r>
                        <w:rPr>
                          <w:highlight w:val="yellow"/>
                        </w:rPr>
                        <w:t xml:space="preserve">TIME </w:t>
                      </w:r>
                      <w:r w:rsidRPr="008A6FAC">
                        <w:rPr>
                          <w:highlight w:val="yellow"/>
                        </w:rPr>
                        <w:t xml:space="preserve">HOURS </w:t>
                      </w:r>
                      <w:r w:rsidRPr="00AB0562">
                        <w:rPr>
                          <w:highlight w:val="yellow"/>
                        </w:rPr>
                        <w:t>NOT OFFERED</w:t>
                      </w:r>
                      <w:r w:rsidRPr="007B5FCC">
                        <w:rPr>
                          <w:highlight w:val="yellow"/>
                        </w:rPr>
                        <w:t>]</w:t>
                      </w:r>
                      <w:bookmarkEnd w:id="2"/>
                      <w:r w:rsidR="007B5FCC">
                        <w:t xml:space="preserve"> </w:t>
                      </w:r>
                      <w:r w:rsidR="00A74922">
                        <w:t>T</w:t>
                      </w:r>
                      <w:r w:rsidR="00F92F14">
                        <w:t xml:space="preserve">he permanent hours of work offered are: </w:t>
                      </w:r>
                      <w:bookmarkStart w:id="3" w:name="_Hlk52967250"/>
                      <w:r w:rsidR="00F92F14" w:rsidRPr="00AB0562">
                        <w:rPr>
                          <w:highlight w:val="yellow"/>
                        </w:rPr>
                        <w:t>[INSERT HOURS OF WORK</w:t>
                      </w:r>
                      <w:r w:rsidRPr="00AB0562">
                        <w:rPr>
                          <w:highlight w:val="yellow"/>
                        </w:rPr>
                        <w:t xml:space="preserve"> PER WEEK/FORTNIG</w:t>
                      </w:r>
                      <w:r w:rsidRPr="007B5FCC">
                        <w:rPr>
                          <w:highlight w:val="yellow"/>
                        </w:rPr>
                        <w:t>HT</w:t>
                      </w:r>
                      <w:r w:rsidR="00F92F14" w:rsidRPr="007B5FCC">
                        <w:rPr>
                          <w:highlight w:val="yellow"/>
                        </w:rPr>
                        <w:t>]</w:t>
                      </w:r>
                      <w:bookmarkEnd w:id="3"/>
                    </w:p>
                    <w:p w14:paraId="5B17DAFB" w14:textId="76D42F2B" w:rsidR="009739F0" w:rsidRDefault="00BB216A" w:rsidP="00DC42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details of</w:t>
                      </w:r>
                      <w:r w:rsidR="00913CFE">
                        <w:t xml:space="preserve"> your </w:t>
                      </w:r>
                      <w:r>
                        <w:t xml:space="preserve">permanent appointment </w:t>
                      </w:r>
                      <w:r w:rsidR="007F6ECF">
                        <w:t xml:space="preserve">offer </w:t>
                      </w:r>
                      <w:r>
                        <w:t>are</w:t>
                      </w:r>
                      <w:r w:rsidR="00913CFE">
                        <w:t xml:space="preserve"> enclosed</w:t>
                      </w:r>
                      <w:r w:rsidR="00101A10">
                        <w:t xml:space="preserve"> at the end of this letter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39F0" w:rsidRPr="00853A1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986F46D" w14:textId="534E50E1" w:rsidR="00497F06" w:rsidRPr="00853A1F" w:rsidRDefault="00303702" w:rsidP="00303702">
      <w:pPr>
        <w:pStyle w:val="Default"/>
        <w:rPr>
          <w:sz w:val="22"/>
          <w:szCs w:val="22"/>
        </w:rPr>
      </w:pPr>
      <w:r w:rsidRPr="00853A1F">
        <w:rPr>
          <w:sz w:val="22"/>
          <w:szCs w:val="22"/>
        </w:rPr>
        <w:t xml:space="preserve">I have completed the review of your fixed term temporary employment and am pleased to </w:t>
      </w:r>
      <w:r w:rsidR="00A14354">
        <w:rPr>
          <w:sz w:val="22"/>
          <w:szCs w:val="22"/>
        </w:rPr>
        <w:t>let you know</w:t>
      </w:r>
      <w:r w:rsidR="00A14354" w:rsidRPr="00853A1F">
        <w:rPr>
          <w:sz w:val="22"/>
          <w:szCs w:val="22"/>
        </w:rPr>
        <w:t xml:space="preserve"> </w:t>
      </w:r>
      <w:r w:rsidRPr="00853A1F">
        <w:rPr>
          <w:sz w:val="22"/>
          <w:szCs w:val="22"/>
        </w:rPr>
        <w:t xml:space="preserve">that, if you agree, you will be converted to permanent employment in the role of </w:t>
      </w:r>
      <w:r w:rsidRPr="00853A1F">
        <w:rPr>
          <w:sz w:val="22"/>
          <w:szCs w:val="22"/>
          <w:highlight w:val="yellow"/>
        </w:rPr>
        <w:t>[ROLE NAME, BUSINESS UNIT, AGENCY</w:t>
      </w:r>
      <w:r w:rsidR="0016691C" w:rsidRPr="00AB0562">
        <w:rPr>
          <w:sz w:val="22"/>
          <w:szCs w:val="22"/>
          <w:highlight w:val="yellow"/>
        </w:rPr>
        <w:t>, INCLUDE HOURS OFFERED AND BASIS FOR OFFERING THOSE HOURS</w:t>
      </w:r>
      <w:r w:rsidR="00A74922" w:rsidRPr="00AB0562">
        <w:rPr>
          <w:sz w:val="22"/>
          <w:szCs w:val="22"/>
          <w:highlight w:val="yellow"/>
        </w:rPr>
        <w:t xml:space="preserve"> WHERE LESS THAN FULL TIME</w:t>
      </w:r>
      <w:r w:rsidRPr="00853A1F">
        <w:rPr>
          <w:sz w:val="22"/>
          <w:szCs w:val="22"/>
          <w:highlight w:val="yellow"/>
        </w:rPr>
        <w:t>]</w:t>
      </w:r>
      <w:r w:rsidRPr="00853A1F">
        <w:rPr>
          <w:sz w:val="22"/>
          <w:szCs w:val="22"/>
        </w:rPr>
        <w:t xml:space="preserve">, with effect from </w:t>
      </w:r>
      <w:r w:rsidRPr="00853A1F">
        <w:rPr>
          <w:sz w:val="22"/>
          <w:szCs w:val="22"/>
          <w:highlight w:val="yellow"/>
        </w:rPr>
        <w:t>[DATE OF CONVERSION]</w:t>
      </w:r>
      <w:r w:rsidRPr="00853A1F">
        <w:rPr>
          <w:sz w:val="22"/>
          <w:szCs w:val="22"/>
        </w:rPr>
        <w:t xml:space="preserve">. </w:t>
      </w:r>
    </w:p>
    <w:p w14:paraId="1434E59F" w14:textId="05DB1A07" w:rsidR="00234AD2" w:rsidRDefault="00234AD2" w:rsidP="00303702">
      <w:pPr>
        <w:pStyle w:val="Default"/>
        <w:rPr>
          <w:sz w:val="22"/>
          <w:szCs w:val="22"/>
        </w:rPr>
      </w:pPr>
    </w:p>
    <w:p w14:paraId="036F8D59" w14:textId="77777777" w:rsidR="00101A10" w:rsidRDefault="00A74922" w:rsidP="00303702">
      <w:pPr>
        <w:pStyle w:val="Default"/>
      </w:pPr>
      <w:r w:rsidRPr="008A6FAC">
        <w:rPr>
          <w:highlight w:val="yellow"/>
        </w:rPr>
        <w:t xml:space="preserve">[INSERT </w:t>
      </w:r>
      <w:r>
        <w:rPr>
          <w:highlight w:val="yellow"/>
        </w:rPr>
        <w:t xml:space="preserve">IF FULL TIME </w:t>
      </w:r>
      <w:r w:rsidRPr="008A6FAC">
        <w:rPr>
          <w:highlight w:val="yellow"/>
        </w:rPr>
        <w:t xml:space="preserve">HOURS NOT </w:t>
      </w:r>
      <w:r w:rsidRPr="0009749B">
        <w:rPr>
          <w:highlight w:val="yellow"/>
        </w:rPr>
        <w:t>OFFERED</w:t>
      </w:r>
      <w:r w:rsidR="0009749B" w:rsidRPr="00AB0562">
        <w:rPr>
          <w:highlight w:val="yellow"/>
        </w:rPr>
        <w:t xml:space="preserve"> AND HOURS OFFERED LESS THAN THE GREATER OF THE CURRENT HOURS OR THE AVERAGE HOURS WORKED OVER THE PRECEDING TWO YEARS</w:t>
      </w:r>
      <w:r w:rsidRPr="00AB0562">
        <w:rPr>
          <w:highlight w:val="yellow"/>
        </w:rPr>
        <w:t>]</w:t>
      </w:r>
    </w:p>
    <w:p w14:paraId="53FAA44A" w14:textId="7DCDCBCD" w:rsidR="0009749B" w:rsidRDefault="0009749B" w:rsidP="003037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have decided to convert you at </w:t>
      </w:r>
      <w:r w:rsidRPr="008A6FAC">
        <w:rPr>
          <w:highlight w:val="yellow"/>
        </w:rPr>
        <w:t>[INSERT HOURS OF WORK PER WEEK/FORTNIGHT</w:t>
      </w:r>
      <w:r w:rsidRPr="007B5FCC">
        <w:rPr>
          <w:highlight w:val="yellow"/>
        </w:rPr>
        <w:t>]</w:t>
      </w:r>
      <w:r w:rsidR="004E4847">
        <w:t xml:space="preserve">. </w:t>
      </w:r>
      <w:r w:rsidR="004E4847" w:rsidRPr="00AB0562">
        <w:rPr>
          <w:sz w:val="22"/>
          <w:szCs w:val="22"/>
        </w:rPr>
        <w:t>These hours are fewer than the [averag</w:t>
      </w:r>
      <w:r w:rsidR="004E4847">
        <w:rPr>
          <w:sz w:val="22"/>
          <w:szCs w:val="22"/>
        </w:rPr>
        <w:t>e hours you have worked over the last two years]</w:t>
      </w:r>
      <w:r w:rsidR="00E52A6F">
        <w:rPr>
          <w:sz w:val="22"/>
          <w:szCs w:val="22"/>
        </w:rPr>
        <w:t xml:space="preserve"> </w:t>
      </w:r>
      <w:r w:rsidR="004E4847">
        <w:rPr>
          <w:sz w:val="22"/>
          <w:szCs w:val="22"/>
        </w:rPr>
        <w:t xml:space="preserve">[hours you worked last week] </w:t>
      </w:r>
      <w:r w:rsidR="004E4847" w:rsidRPr="00AB0562">
        <w:rPr>
          <w:sz w:val="22"/>
          <w:szCs w:val="22"/>
          <w:highlight w:val="yellow"/>
        </w:rPr>
        <w:t>[LEAVE WHICHEVER THE GREATER HOURS]</w:t>
      </w:r>
      <w:r w:rsidR="004E4847">
        <w:rPr>
          <w:sz w:val="22"/>
          <w:szCs w:val="22"/>
        </w:rPr>
        <w:t>. The reason I have offered these hours is [</w:t>
      </w:r>
      <w:r w:rsidR="00E52A6F" w:rsidRPr="00AB0562">
        <w:rPr>
          <w:sz w:val="22"/>
          <w:szCs w:val="22"/>
          <w:highlight w:val="yellow"/>
        </w:rPr>
        <w:t>EXCEPTIONAL CIRCUMSTANCES THE BASIS FOR THE LESSER HOURS]</w:t>
      </w:r>
      <w:r w:rsidR="00E52A6F">
        <w:rPr>
          <w:sz w:val="22"/>
          <w:szCs w:val="22"/>
        </w:rPr>
        <w:t>.</w:t>
      </w:r>
    </w:p>
    <w:p w14:paraId="6A74D25E" w14:textId="77777777" w:rsidR="00E52A6F" w:rsidRPr="004E4847" w:rsidRDefault="00E52A6F" w:rsidP="00303702">
      <w:pPr>
        <w:pStyle w:val="Default"/>
        <w:rPr>
          <w:sz w:val="22"/>
          <w:szCs w:val="22"/>
        </w:rPr>
      </w:pPr>
    </w:p>
    <w:p w14:paraId="60447D15" w14:textId="55F3E3A3" w:rsidR="00A72351" w:rsidRPr="00853A1F" w:rsidRDefault="00537033" w:rsidP="00A72351">
      <w:pPr>
        <w:rPr>
          <w:rFonts w:eastAsiaTheme="minorHAnsi"/>
          <w:szCs w:val="22"/>
        </w:rPr>
      </w:pPr>
      <w:r w:rsidRPr="00853A1F">
        <w:rPr>
          <w:rFonts w:eastAsiaTheme="minorHAnsi"/>
          <w:szCs w:val="22"/>
        </w:rPr>
        <w:t xml:space="preserve">You </w:t>
      </w:r>
      <w:r w:rsidR="00BB216A">
        <w:rPr>
          <w:rFonts w:eastAsiaTheme="minorHAnsi"/>
          <w:szCs w:val="22"/>
        </w:rPr>
        <w:t>may</w:t>
      </w:r>
      <w:r w:rsidRPr="00853A1F">
        <w:rPr>
          <w:rFonts w:eastAsiaTheme="minorHAnsi"/>
          <w:szCs w:val="22"/>
        </w:rPr>
        <w:t xml:space="preserve"> appeal</w:t>
      </w:r>
      <w:r w:rsidR="00BB216A">
        <w:rPr>
          <w:rFonts w:eastAsiaTheme="minorHAnsi"/>
          <w:szCs w:val="22"/>
        </w:rPr>
        <w:t xml:space="preserve"> th</w:t>
      </w:r>
      <w:r w:rsidR="00101A10">
        <w:rPr>
          <w:rFonts w:eastAsiaTheme="minorHAnsi"/>
          <w:szCs w:val="22"/>
        </w:rPr>
        <w:t>e</w:t>
      </w:r>
      <w:r w:rsidR="00BB216A">
        <w:rPr>
          <w:rFonts w:eastAsiaTheme="minorHAnsi"/>
          <w:szCs w:val="22"/>
        </w:rPr>
        <w:t xml:space="preserve"> decision</w:t>
      </w:r>
      <w:r w:rsidR="00101A10">
        <w:rPr>
          <w:rFonts w:eastAsiaTheme="minorHAnsi"/>
          <w:szCs w:val="22"/>
        </w:rPr>
        <w:t xml:space="preserve"> about the hours offered</w:t>
      </w:r>
      <w:r w:rsidR="00BB216A">
        <w:rPr>
          <w:rFonts w:eastAsiaTheme="minorHAnsi"/>
          <w:szCs w:val="22"/>
        </w:rPr>
        <w:t>, and I have included additional information about the appeal process and your appeal rights at the end of this letter.</w:t>
      </w:r>
      <w:r w:rsidR="00A72351" w:rsidRPr="00853A1F">
        <w:rPr>
          <w:rFonts w:eastAsiaTheme="minorHAnsi"/>
          <w:szCs w:val="22"/>
        </w:rPr>
        <w:t xml:space="preserve"> </w:t>
      </w:r>
    </w:p>
    <w:p w14:paraId="73E016E1" w14:textId="77777777" w:rsidR="00F56D5C" w:rsidRPr="00853A1F" w:rsidRDefault="00F56D5C" w:rsidP="00A72351">
      <w:pPr>
        <w:rPr>
          <w:rFonts w:eastAsiaTheme="minorHAnsi"/>
          <w:szCs w:val="22"/>
        </w:rPr>
      </w:pPr>
    </w:p>
    <w:p w14:paraId="20AA38BD" w14:textId="324BD2FA" w:rsidR="00303702" w:rsidRPr="00853A1F" w:rsidRDefault="00303702" w:rsidP="00303702">
      <w:pPr>
        <w:pStyle w:val="Default"/>
        <w:rPr>
          <w:sz w:val="22"/>
          <w:szCs w:val="22"/>
        </w:rPr>
      </w:pPr>
      <w:r w:rsidRPr="00853A1F">
        <w:rPr>
          <w:sz w:val="22"/>
          <w:szCs w:val="22"/>
        </w:rPr>
        <w:t xml:space="preserve">I would also like to take this opportunity to thank you for the contribution you have made to </w:t>
      </w:r>
      <w:r w:rsidRPr="00853A1F">
        <w:rPr>
          <w:sz w:val="22"/>
          <w:szCs w:val="22"/>
          <w:highlight w:val="yellow"/>
        </w:rPr>
        <w:t>[AGENCY]</w:t>
      </w:r>
      <w:r w:rsidRPr="00853A1F">
        <w:rPr>
          <w:sz w:val="22"/>
          <w:szCs w:val="22"/>
        </w:rPr>
        <w:t xml:space="preserve"> and look forward to working with you on an ongoing basis. </w:t>
      </w:r>
    </w:p>
    <w:p w14:paraId="17EF5108" w14:textId="77777777" w:rsidR="00303702" w:rsidRPr="00853A1F" w:rsidRDefault="00303702" w:rsidP="00303702">
      <w:pPr>
        <w:pStyle w:val="Default"/>
        <w:rPr>
          <w:sz w:val="22"/>
          <w:szCs w:val="22"/>
        </w:rPr>
      </w:pPr>
    </w:p>
    <w:p w14:paraId="3D4F7597" w14:textId="4A568461" w:rsidR="00303702" w:rsidRPr="00853A1F" w:rsidRDefault="00303702" w:rsidP="00303702">
      <w:pPr>
        <w:pStyle w:val="Default"/>
        <w:rPr>
          <w:sz w:val="22"/>
          <w:szCs w:val="22"/>
        </w:rPr>
      </w:pPr>
      <w:r w:rsidRPr="00853A1F">
        <w:rPr>
          <w:sz w:val="22"/>
          <w:szCs w:val="22"/>
        </w:rPr>
        <w:t>If you have any questions about the contents of this letter</w:t>
      </w:r>
      <w:r w:rsidR="000735F2" w:rsidRPr="00853A1F">
        <w:rPr>
          <w:sz w:val="22"/>
          <w:szCs w:val="22"/>
        </w:rPr>
        <w:t>,</w:t>
      </w:r>
      <w:r w:rsidRPr="00853A1F">
        <w:rPr>
          <w:sz w:val="22"/>
          <w:szCs w:val="22"/>
        </w:rPr>
        <w:t xml:space="preserve"> </w:t>
      </w:r>
      <w:r w:rsidR="0061368E" w:rsidRPr="00853A1F">
        <w:rPr>
          <w:rStyle w:val="normaltextrun"/>
          <w:sz w:val="22"/>
          <w:szCs w:val="22"/>
        </w:rPr>
        <w:t>or do not wish to be converted to permanent employment, please contact </w:t>
      </w:r>
      <w:r w:rsidR="0061368E" w:rsidRPr="00853A1F">
        <w:rPr>
          <w:rStyle w:val="normaltextrun"/>
          <w:sz w:val="22"/>
          <w:szCs w:val="22"/>
          <w:shd w:val="clear" w:color="auto" w:fill="FFFF00"/>
        </w:rPr>
        <w:t>[CONTACT NAME]</w:t>
      </w:r>
      <w:r w:rsidR="0061368E" w:rsidRPr="00853A1F">
        <w:rPr>
          <w:rStyle w:val="normaltextrun"/>
          <w:sz w:val="22"/>
          <w:szCs w:val="22"/>
        </w:rPr>
        <w:t> on </w:t>
      </w:r>
      <w:r w:rsidR="0061368E" w:rsidRPr="00853A1F">
        <w:rPr>
          <w:rStyle w:val="normaltextrun"/>
          <w:sz w:val="22"/>
          <w:szCs w:val="22"/>
          <w:shd w:val="clear" w:color="auto" w:fill="FFFF00"/>
        </w:rPr>
        <w:t>[TELEPHONE NUMBER]</w:t>
      </w:r>
      <w:r w:rsidR="0061368E" w:rsidRPr="00853A1F">
        <w:rPr>
          <w:rStyle w:val="normaltextrun"/>
          <w:sz w:val="22"/>
          <w:szCs w:val="22"/>
        </w:rPr>
        <w:t>.</w:t>
      </w:r>
      <w:r w:rsidRPr="00853A1F">
        <w:rPr>
          <w:sz w:val="22"/>
          <w:szCs w:val="22"/>
        </w:rPr>
        <w:t xml:space="preserve"> </w:t>
      </w:r>
    </w:p>
    <w:p w14:paraId="14EED2E9" w14:textId="77777777" w:rsidR="00F76370" w:rsidRPr="00853A1F" w:rsidRDefault="00F76370" w:rsidP="00303702">
      <w:pPr>
        <w:pStyle w:val="Default"/>
        <w:rPr>
          <w:sz w:val="22"/>
          <w:szCs w:val="22"/>
        </w:rPr>
      </w:pPr>
    </w:p>
    <w:p w14:paraId="2C5EEDE9" w14:textId="647C7058" w:rsidR="00303702" w:rsidRPr="00853A1F" w:rsidRDefault="00303702" w:rsidP="00303702">
      <w:pPr>
        <w:pStyle w:val="Default"/>
        <w:rPr>
          <w:sz w:val="22"/>
          <w:szCs w:val="22"/>
        </w:rPr>
      </w:pPr>
      <w:r w:rsidRPr="00853A1F">
        <w:rPr>
          <w:sz w:val="22"/>
          <w:szCs w:val="22"/>
        </w:rPr>
        <w:t xml:space="preserve">Yours sincerely </w:t>
      </w:r>
    </w:p>
    <w:p w14:paraId="08E7B9B3" w14:textId="5718B713" w:rsidR="00303702" w:rsidRPr="00853A1F" w:rsidRDefault="00303702" w:rsidP="00303702">
      <w:pPr>
        <w:pStyle w:val="Default"/>
        <w:rPr>
          <w:sz w:val="22"/>
          <w:szCs w:val="22"/>
        </w:rPr>
      </w:pPr>
    </w:p>
    <w:p w14:paraId="6A3449EA" w14:textId="43C9E808" w:rsidR="00AD2006" w:rsidRPr="00853A1F" w:rsidRDefault="00AD2006" w:rsidP="00303702">
      <w:pPr>
        <w:pStyle w:val="Default"/>
        <w:rPr>
          <w:sz w:val="22"/>
          <w:szCs w:val="22"/>
        </w:rPr>
      </w:pPr>
    </w:p>
    <w:p w14:paraId="0CBF43F2" w14:textId="77777777" w:rsidR="00AD2006" w:rsidRPr="00853A1F" w:rsidRDefault="00AD2006" w:rsidP="00303702">
      <w:pPr>
        <w:pStyle w:val="Default"/>
        <w:rPr>
          <w:sz w:val="22"/>
          <w:szCs w:val="22"/>
        </w:rPr>
      </w:pPr>
    </w:p>
    <w:p w14:paraId="50D9C522" w14:textId="7EB1DFE8" w:rsidR="00303702" w:rsidRPr="00853A1F" w:rsidRDefault="00303702" w:rsidP="00303702">
      <w:pPr>
        <w:pStyle w:val="Default"/>
        <w:rPr>
          <w:sz w:val="22"/>
          <w:szCs w:val="22"/>
        </w:rPr>
      </w:pPr>
      <w:r w:rsidRPr="00853A1F">
        <w:rPr>
          <w:sz w:val="22"/>
          <w:szCs w:val="22"/>
        </w:rPr>
        <w:t xml:space="preserve">Decision Maker </w:t>
      </w:r>
    </w:p>
    <w:p w14:paraId="4D6C79C0" w14:textId="61D58E4D" w:rsidR="00317F05" w:rsidRPr="00853A1F" w:rsidRDefault="00303702" w:rsidP="00303702">
      <w:pPr>
        <w:rPr>
          <w:rFonts w:ascii="Calibri" w:hAnsi="Calibri" w:cs="Calibri"/>
          <w:b/>
          <w:bCs/>
          <w:szCs w:val="22"/>
        </w:rPr>
      </w:pPr>
      <w:r w:rsidRPr="00853A1F">
        <w:rPr>
          <w:rFonts w:ascii="Calibri" w:hAnsi="Calibri" w:cs="Calibri"/>
          <w:b/>
          <w:bCs/>
          <w:szCs w:val="22"/>
          <w:highlight w:val="yellow"/>
        </w:rPr>
        <w:t>[Address Block]</w:t>
      </w:r>
    </w:p>
    <w:p w14:paraId="58C11336" w14:textId="020AE666" w:rsidR="00F219E5" w:rsidRPr="00853A1F" w:rsidRDefault="00F219E5" w:rsidP="00303702">
      <w:pPr>
        <w:rPr>
          <w:rFonts w:ascii="Calibri" w:hAnsi="Calibri" w:cs="Calibri"/>
          <w:b/>
          <w:bCs/>
          <w:szCs w:val="22"/>
        </w:rPr>
      </w:pPr>
    </w:p>
    <w:p w14:paraId="5165F3FB" w14:textId="4448D8A3" w:rsidR="00C64D4A" w:rsidRDefault="00C64D4A">
      <w:pPr>
        <w:spacing w:after="160" w:line="259" w:lineRule="auto"/>
        <w:rPr>
          <w:szCs w:val="22"/>
        </w:rPr>
      </w:pPr>
      <w:r w:rsidRPr="00853A1F">
        <w:rPr>
          <w:szCs w:val="22"/>
        </w:rPr>
        <w:br w:type="page"/>
      </w:r>
    </w:p>
    <w:p w14:paraId="0FE95A7B" w14:textId="02136392" w:rsidR="00101A10" w:rsidRPr="00AB0562" w:rsidRDefault="00101A10" w:rsidP="00101A10">
      <w:pPr>
        <w:pStyle w:val="Default"/>
        <w:rPr>
          <w:b/>
          <w:bCs/>
          <w:sz w:val="22"/>
          <w:szCs w:val="22"/>
        </w:rPr>
      </w:pPr>
      <w:r w:rsidRPr="00AB0562">
        <w:rPr>
          <w:b/>
          <w:bCs/>
          <w:sz w:val="22"/>
          <w:szCs w:val="22"/>
        </w:rPr>
        <w:lastRenderedPageBreak/>
        <w:t>Appointment information</w:t>
      </w:r>
    </w:p>
    <w:p w14:paraId="3CDF7DA7" w14:textId="77777777" w:rsidR="00101A10" w:rsidRPr="00853A1F" w:rsidRDefault="00101A10" w:rsidP="00101A10">
      <w:pPr>
        <w:pStyle w:val="Default"/>
        <w:rPr>
          <w:sz w:val="22"/>
          <w:szCs w:val="22"/>
        </w:rPr>
      </w:pPr>
    </w:p>
    <w:p w14:paraId="0640E074" w14:textId="64E4508D" w:rsidR="00101A10" w:rsidRPr="00853A1F" w:rsidRDefault="00101A10" w:rsidP="00101A10">
      <w:pPr>
        <w:pStyle w:val="Default"/>
        <w:rPr>
          <w:sz w:val="22"/>
          <w:szCs w:val="22"/>
        </w:rPr>
      </w:pPr>
      <w:r w:rsidRPr="00853A1F">
        <w:rPr>
          <w:sz w:val="22"/>
          <w:szCs w:val="22"/>
          <w:highlight w:val="yellow"/>
        </w:rPr>
        <w:t>[OUTLINE USUAL APPOINTMENT INFORMATION].</w:t>
      </w:r>
    </w:p>
    <w:p w14:paraId="39ABBCF5" w14:textId="25F31CBF" w:rsidR="00BB216A" w:rsidRDefault="00BB216A">
      <w:pPr>
        <w:spacing w:after="160" w:line="259" w:lineRule="auto"/>
        <w:rPr>
          <w:szCs w:val="22"/>
        </w:rPr>
      </w:pPr>
    </w:p>
    <w:p w14:paraId="7AA297F6" w14:textId="4AACAAA2" w:rsidR="00101A10" w:rsidRDefault="00101A10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14:paraId="26EA2C27" w14:textId="77777777" w:rsidR="006A187B" w:rsidRDefault="006A187B" w:rsidP="006A187B">
      <w:pPr>
        <w:spacing w:after="200"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Additional information</w:t>
      </w:r>
    </w:p>
    <w:p w14:paraId="00ACA206" w14:textId="77777777" w:rsidR="006A187B" w:rsidRDefault="006A187B" w:rsidP="006A187B">
      <w:pPr>
        <w:widowControl w:val="0"/>
        <w:spacing w:after="60"/>
        <w:rPr>
          <w:rFonts w:cs="Arial"/>
          <w:b/>
          <w:szCs w:val="22"/>
        </w:rPr>
      </w:pPr>
      <w:r>
        <w:rPr>
          <w:rFonts w:cs="Arial"/>
          <w:b/>
          <w:szCs w:val="22"/>
        </w:rPr>
        <w:t>Decision making framework</w:t>
      </w:r>
    </w:p>
    <w:p w14:paraId="79D06916" w14:textId="04EB89B9" w:rsidR="006A187B" w:rsidRDefault="006A187B" w:rsidP="006A187B">
      <w:pPr>
        <w:widowControl w:val="0"/>
        <w:spacing w:after="60"/>
        <w:rPr>
          <w:rFonts w:cs="Arial"/>
          <w:szCs w:val="22"/>
        </w:rPr>
      </w:pPr>
      <w:r>
        <w:rPr>
          <w:rFonts w:cs="Arial"/>
          <w:szCs w:val="22"/>
        </w:rPr>
        <w:t>This review</w:t>
      </w:r>
      <w:r w:rsidRPr="0076499A">
        <w:rPr>
          <w:rFonts w:cs="Arial"/>
          <w:szCs w:val="22"/>
        </w:rPr>
        <w:t xml:space="preserve"> is conducted in accordance with </w:t>
      </w:r>
      <w:r>
        <w:rPr>
          <w:rFonts w:cs="Arial"/>
          <w:szCs w:val="22"/>
        </w:rPr>
        <w:t xml:space="preserve">the </w:t>
      </w:r>
      <w:r w:rsidRPr="00AB0562">
        <w:rPr>
          <w:rFonts w:cs="Arial"/>
          <w:i/>
          <w:iCs/>
          <w:szCs w:val="22"/>
        </w:rPr>
        <w:t>Public Service Act 2008</w:t>
      </w:r>
      <w:r>
        <w:rPr>
          <w:rFonts w:cs="Arial"/>
          <w:szCs w:val="22"/>
        </w:rPr>
        <w:t xml:space="preserve"> </w:t>
      </w:r>
      <w:r w:rsidR="00C61FDD">
        <w:rPr>
          <w:rFonts w:cs="Arial"/>
          <w:szCs w:val="22"/>
        </w:rPr>
        <w:t xml:space="preserve">(PS Act) </w:t>
      </w:r>
      <w:r>
        <w:rPr>
          <w:rFonts w:cs="Arial"/>
          <w:szCs w:val="22"/>
        </w:rPr>
        <w:t>and the Fixed term temporary</w:t>
      </w:r>
      <w:r w:rsidRPr="0076499A">
        <w:rPr>
          <w:rFonts w:cs="Arial"/>
          <w:szCs w:val="22"/>
        </w:rPr>
        <w:t xml:space="preserve"> employment</w:t>
      </w:r>
      <w:r>
        <w:rPr>
          <w:rFonts w:cs="Arial"/>
          <w:szCs w:val="22"/>
        </w:rPr>
        <w:t xml:space="preserve"> directive 09/20</w:t>
      </w:r>
      <w:r w:rsidRPr="0076499A">
        <w:rPr>
          <w:rFonts w:cs="Arial"/>
          <w:szCs w:val="22"/>
        </w:rPr>
        <w:t xml:space="preserve">. The </w:t>
      </w:r>
      <w:r w:rsidR="00AB0562">
        <w:rPr>
          <w:rFonts w:cs="Arial"/>
          <w:szCs w:val="22"/>
        </w:rPr>
        <w:t xml:space="preserve">PS Act is available at: </w:t>
      </w:r>
      <w:hyperlink r:id="rId10" w:history="1">
        <w:r w:rsidR="00AB0562" w:rsidRPr="00BA2F5D">
          <w:rPr>
            <w:rStyle w:val="Hyperlink"/>
            <w:rFonts w:cs="Arial"/>
            <w:szCs w:val="22"/>
          </w:rPr>
          <w:t>https://www.legislation.qld.gov.au/view/html/inforce/current/act-2008-038</w:t>
        </w:r>
      </w:hyperlink>
      <w:r w:rsidR="00AB0562">
        <w:rPr>
          <w:rFonts w:cs="Arial"/>
          <w:szCs w:val="22"/>
        </w:rPr>
        <w:t xml:space="preserve"> and the </w:t>
      </w:r>
      <w:r w:rsidRPr="0076499A">
        <w:rPr>
          <w:rFonts w:cs="Arial"/>
          <w:szCs w:val="22"/>
        </w:rPr>
        <w:t xml:space="preserve">directive is available at </w:t>
      </w:r>
      <w:hyperlink r:id="rId11" w:history="1">
        <w:r>
          <w:rPr>
            <w:rStyle w:val="Hyperlink"/>
          </w:rPr>
          <w:t>https://www.forgov.qld.gov.au/documents/directive/0920/temporary-employment</w:t>
        </w:r>
      </w:hyperlink>
    </w:p>
    <w:p w14:paraId="2E84B2E7" w14:textId="77777777" w:rsidR="006A187B" w:rsidRPr="00AB0562" w:rsidRDefault="006A187B" w:rsidP="006A187B">
      <w:pPr>
        <w:widowControl w:val="0"/>
        <w:spacing w:after="60"/>
        <w:rPr>
          <w:rFonts w:cs="Arial"/>
          <w:bCs/>
          <w:szCs w:val="22"/>
        </w:rPr>
      </w:pPr>
    </w:p>
    <w:p w14:paraId="05E74F3B" w14:textId="10AF4207" w:rsidR="006A187B" w:rsidRDefault="006A187B" w:rsidP="006A187B">
      <w:pPr>
        <w:widowControl w:val="0"/>
        <w:spacing w:after="60"/>
        <w:rPr>
          <w:rFonts w:cs="Arial"/>
          <w:b/>
          <w:szCs w:val="22"/>
        </w:rPr>
      </w:pPr>
      <w:r>
        <w:rPr>
          <w:rFonts w:cs="Arial"/>
          <w:b/>
          <w:szCs w:val="22"/>
        </w:rPr>
        <w:t>Appeal rights</w:t>
      </w:r>
    </w:p>
    <w:p w14:paraId="7FED089A" w14:textId="49765252" w:rsidR="006A187B" w:rsidRDefault="006A187B" w:rsidP="006A187B">
      <w:pPr>
        <w:widowControl w:val="0"/>
        <w:spacing w:after="60"/>
        <w:rPr>
          <w:rFonts w:cs="Arial"/>
          <w:szCs w:val="22"/>
        </w:rPr>
      </w:pPr>
    </w:p>
    <w:p w14:paraId="19A38B93" w14:textId="513FD13F" w:rsidR="00C61FDD" w:rsidRDefault="00041766" w:rsidP="00C61FDD">
      <w:pPr>
        <w:pStyle w:val="Numberedlist2"/>
        <w:numPr>
          <w:ilvl w:val="0"/>
          <w:numId w:val="0"/>
        </w:numPr>
        <w:spacing w:line="240" w:lineRule="auto"/>
        <w:contextualSpacing w:val="0"/>
        <w:rPr>
          <w:rFonts w:eastAsia="Times New Roman" w:cs="Arial"/>
          <w:sz w:val="22"/>
          <w:szCs w:val="22"/>
          <w:lang w:bidi="he-IL"/>
        </w:rPr>
      </w:pPr>
      <w:r w:rsidRPr="00AB0562">
        <w:rPr>
          <w:rFonts w:eastAsia="Times New Roman" w:cs="Arial"/>
          <w:sz w:val="22"/>
          <w:szCs w:val="22"/>
          <w:lang w:bidi="he-IL"/>
        </w:rPr>
        <w:t xml:space="preserve">Section 194(1)(e)(ii) </w:t>
      </w:r>
      <w:r w:rsidR="00C61FDD">
        <w:rPr>
          <w:rFonts w:eastAsia="Times New Roman" w:cs="Arial"/>
          <w:sz w:val="22"/>
          <w:szCs w:val="22"/>
          <w:lang w:bidi="he-IL"/>
        </w:rPr>
        <w:t xml:space="preserve">of the PS Act and clause 11.3 of the </w:t>
      </w:r>
      <w:r w:rsidR="00C61FDD" w:rsidRPr="00F95B06">
        <w:rPr>
          <w:rFonts w:eastAsia="Times New Roman" w:cs="Arial"/>
          <w:sz w:val="22"/>
          <w:szCs w:val="22"/>
          <w:lang w:bidi="he-IL"/>
        </w:rPr>
        <w:t>Fixed term temporary employment directive 09/20</w:t>
      </w:r>
      <w:r w:rsidR="00C61FDD">
        <w:rPr>
          <w:rFonts w:eastAsia="Times New Roman" w:cs="Arial"/>
          <w:sz w:val="22"/>
          <w:szCs w:val="22"/>
          <w:lang w:bidi="he-IL"/>
        </w:rPr>
        <w:t xml:space="preserve"> </w:t>
      </w:r>
      <w:r w:rsidRPr="00AB0562">
        <w:rPr>
          <w:rFonts w:eastAsia="Times New Roman" w:cs="Arial"/>
          <w:sz w:val="22"/>
          <w:szCs w:val="22"/>
          <w:lang w:bidi="he-IL"/>
        </w:rPr>
        <w:t>provide</w:t>
      </w:r>
      <w:r w:rsidR="00C61FDD">
        <w:rPr>
          <w:rFonts w:eastAsia="Times New Roman" w:cs="Arial"/>
          <w:sz w:val="22"/>
          <w:szCs w:val="22"/>
          <w:lang w:bidi="he-IL"/>
        </w:rPr>
        <w:t xml:space="preserve"> that a fixed term temporary employee may </w:t>
      </w:r>
      <w:r w:rsidR="00C61FDD" w:rsidRPr="00C61FDD">
        <w:rPr>
          <w:rFonts w:eastAsia="Times New Roman" w:cs="Arial"/>
          <w:sz w:val="22"/>
          <w:szCs w:val="22"/>
          <w:lang w:bidi="he-IL"/>
        </w:rPr>
        <w:t>appeal a</w:t>
      </w:r>
      <w:r w:rsidR="00C61FDD">
        <w:rPr>
          <w:rFonts w:eastAsia="Times New Roman" w:cs="Arial"/>
          <w:sz w:val="22"/>
          <w:szCs w:val="22"/>
          <w:lang w:bidi="he-IL"/>
        </w:rPr>
        <w:t>n</w:t>
      </w:r>
      <w:r w:rsidR="00C61FDD" w:rsidRPr="00C61FDD">
        <w:rPr>
          <w:rFonts w:eastAsia="Times New Roman" w:cs="Arial"/>
          <w:sz w:val="22"/>
          <w:szCs w:val="22"/>
          <w:lang w:bidi="he-IL"/>
        </w:rPr>
        <w:t xml:space="preserve"> offer made under section 149B(3)(b) for conversion to permanent employment as a general employee on tenure or a public service officer in the circumstances where the hours of work offered are less than the hours required to be offered by clause 7.4.</w:t>
      </w:r>
    </w:p>
    <w:p w14:paraId="7FEFB826" w14:textId="77777777" w:rsidR="00C61FDD" w:rsidRPr="00AB0562" w:rsidRDefault="00C61FDD" w:rsidP="00C61FDD">
      <w:pPr>
        <w:widowControl w:val="0"/>
        <w:spacing w:after="60"/>
        <w:rPr>
          <w:rFonts w:cs="Arial"/>
          <w:szCs w:val="22"/>
          <w:u w:val="single"/>
        </w:rPr>
      </w:pPr>
      <w:r w:rsidRPr="00AB0562">
        <w:rPr>
          <w:rFonts w:cs="Arial"/>
          <w:szCs w:val="22"/>
          <w:u w:val="single"/>
        </w:rPr>
        <w:t>Clause 7.4</w:t>
      </w:r>
    </w:p>
    <w:p w14:paraId="131D09B6" w14:textId="5B0F2A57" w:rsidR="00C61FDD" w:rsidRPr="00C61FDD" w:rsidRDefault="00C61FDD" w:rsidP="00AB0562">
      <w:pPr>
        <w:widowControl w:val="0"/>
        <w:spacing w:after="60"/>
        <w:rPr>
          <w:rFonts w:cs="Arial"/>
          <w:szCs w:val="22"/>
        </w:rPr>
      </w:pPr>
      <w:r w:rsidRPr="00C61FDD">
        <w:rPr>
          <w:rFonts w:cs="Arial"/>
          <w:szCs w:val="22"/>
        </w:rPr>
        <w:t xml:space="preserve">Unless there are exceptional circumstances, when deciding the hours of work to be offered when converting an employee under section 149(3)(b), the chief executive should offer hours of work that </w:t>
      </w:r>
      <w:r w:rsidR="00550610">
        <w:rPr>
          <w:rFonts w:cs="Arial"/>
          <w:szCs w:val="22"/>
        </w:rPr>
        <w:t>are</w:t>
      </w:r>
      <w:r w:rsidRPr="00C61FDD">
        <w:rPr>
          <w:rFonts w:cs="Arial"/>
          <w:szCs w:val="22"/>
        </w:rPr>
        <w:t xml:space="preserve"> no less than the greater of the following amounts:</w:t>
      </w:r>
    </w:p>
    <w:p w14:paraId="5C0A3ED1" w14:textId="7C809C32" w:rsidR="00C61FDD" w:rsidRPr="00C61FDD" w:rsidRDefault="00C61FDD" w:rsidP="00AB0562">
      <w:pPr>
        <w:widowControl w:val="0"/>
        <w:spacing w:after="60"/>
        <w:ind w:left="426" w:hanging="426"/>
        <w:rPr>
          <w:rFonts w:cs="Arial"/>
          <w:szCs w:val="22"/>
        </w:rPr>
      </w:pPr>
      <w:r w:rsidRPr="00C61FDD">
        <w:rPr>
          <w:rFonts w:cs="Arial"/>
          <w:szCs w:val="22"/>
        </w:rPr>
        <w:t>(a)</w:t>
      </w:r>
      <w:r w:rsidR="00AB0562">
        <w:rPr>
          <w:rFonts w:cs="Arial"/>
          <w:szCs w:val="22"/>
        </w:rPr>
        <w:tab/>
      </w:r>
      <w:r w:rsidRPr="00C61FDD">
        <w:rPr>
          <w:rFonts w:cs="Arial"/>
          <w:szCs w:val="22"/>
        </w:rPr>
        <w:t>the hours worked by the employee in the continuing role or role that is substantially the same, in the week immediately before the chief executive’s decision</w:t>
      </w:r>
    </w:p>
    <w:p w14:paraId="4614D943" w14:textId="6CF5195B" w:rsidR="00041766" w:rsidRPr="0076499A" w:rsidRDefault="00C61FDD" w:rsidP="00AB0562">
      <w:pPr>
        <w:widowControl w:val="0"/>
        <w:spacing w:after="60"/>
        <w:ind w:left="426" w:hanging="426"/>
        <w:rPr>
          <w:rFonts w:cs="Arial"/>
          <w:szCs w:val="22"/>
        </w:rPr>
      </w:pPr>
      <w:r w:rsidRPr="00C61FDD">
        <w:rPr>
          <w:rFonts w:cs="Arial"/>
          <w:szCs w:val="22"/>
        </w:rPr>
        <w:t>(b)</w:t>
      </w:r>
      <w:r w:rsidR="00AB0562">
        <w:rPr>
          <w:rFonts w:cs="Arial"/>
          <w:szCs w:val="22"/>
        </w:rPr>
        <w:tab/>
      </w:r>
      <w:r w:rsidRPr="00C61FDD">
        <w:rPr>
          <w:rFonts w:cs="Arial"/>
          <w:szCs w:val="22"/>
        </w:rPr>
        <w:t>the average hours per week worked by the employee in the continuing role or role that is substantially the same, over the last two years.</w:t>
      </w:r>
    </w:p>
    <w:p w14:paraId="7D8E8D94" w14:textId="77777777" w:rsidR="00F156AA" w:rsidRDefault="00F156AA" w:rsidP="006A187B">
      <w:pPr>
        <w:widowControl w:val="0"/>
        <w:spacing w:after="60"/>
        <w:rPr>
          <w:rFonts w:cs="Arial"/>
          <w:szCs w:val="22"/>
        </w:rPr>
      </w:pPr>
    </w:p>
    <w:p w14:paraId="4370018B" w14:textId="60DA72F4" w:rsidR="006A187B" w:rsidRDefault="006A187B" w:rsidP="006A187B">
      <w:pPr>
        <w:widowControl w:val="0"/>
        <w:spacing w:after="60"/>
      </w:pPr>
      <w:r>
        <w:rPr>
          <w:rFonts w:cs="Arial"/>
          <w:szCs w:val="22"/>
        </w:rPr>
        <w:t xml:space="preserve">There are </w:t>
      </w:r>
      <w:r w:rsidR="00041766">
        <w:rPr>
          <w:rFonts w:cs="Arial"/>
          <w:szCs w:val="22"/>
        </w:rPr>
        <w:t xml:space="preserve">also </w:t>
      </w:r>
      <w:r>
        <w:rPr>
          <w:rFonts w:cs="Arial"/>
          <w:szCs w:val="22"/>
        </w:rPr>
        <w:t>procedural requirements, such as time</w:t>
      </w:r>
      <w:r w:rsidR="00041766">
        <w:rPr>
          <w:rFonts w:cs="Arial"/>
          <w:szCs w:val="22"/>
        </w:rPr>
        <w:t xml:space="preserve"> limits</w:t>
      </w:r>
      <w:r>
        <w:rPr>
          <w:rFonts w:cs="Arial"/>
          <w:szCs w:val="22"/>
        </w:rPr>
        <w:t xml:space="preserve">, under the </w:t>
      </w:r>
      <w:r>
        <w:rPr>
          <w:rFonts w:cs="Arial"/>
          <w:i/>
          <w:szCs w:val="22"/>
        </w:rPr>
        <w:t xml:space="preserve">Industrial Relations Act 2016 </w:t>
      </w:r>
      <w:r>
        <w:rPr>
          <w:rFonts w:cs="Arial"/>
          <w:szCs w:val="22"/>
        </w:rPr>
        <w:t>that must be met to appeal this decision.</w:t>
      </w:r>
      <w:r>
        <w:rPr>
          <w:rFonts w:cs="Arial"/>
          <w:i/>
          <w:szCs w:val="22"/>
        </w:rPr>
        <w:t xml:space="preserve"> </w:t>
      </w:r>
      <w:r>
        <w:rPr>
          <w:rFonts w:cs="Arial"/>
          <w:szCs w:val="22"/>
        </w:rPr>
        <w:t xml:space="preserve">Further information is available in the Queensland Industrial Relations Commission’s public service appeals guide at: </w:t>
      </w:r>
      <w:hyperlink r:id="rId12" w:history="1">
        <w:r w:rsidR="00041766" w:rsidRPr="004E1345">
          <w:rPr>
            <w:rStyle w:val="Hyperlink"/>
          </w:rPr>
          <w:t>https://www.qirc.gov.au/public-service-appeals</w:t>
        </w:r>
      </w:hyperlink>
      <w:r>
        <w:t>.</w:t>
      </w:r>
    </w:p>
    <w:p w14:paraId="4376C7FF" w14:textId="77777777" w:rsidR="00352FA6" w:rsidRPr="00352FA6" w:rsidRDefault="00352FA6" w:rsidP="00352FA6">
      <w:pPr>
        <w:tabs>
          <w:tab w:val="left" w:pos="720"/>
          <w:tab w:val="center" w:pos="4320"/>
          <w:tab w:val="right" w:pos="8640"/>
        </w:tabs>
        <w:rPr>
          <w:rFonts w:cs="Arial"/>
          <w:szCs w:val="22"/>
        </w:rPr>
      </w:pPr>
    </w:p>
    <w:p w14:paraId="3EE3528F" w14:textId="77777777" w:rsidR="00352FA6" w:rsidRPr="00352FA6" w:rsidRDefault="00352FA6" w:rsidP="00352FA6">
      <w:pPr>
        <w:widowControl w:val="0"/>
        <w:spacing w:after="60"/>
        <w:rPr>
          <w:rFonts w:cs="Arial"/>
          <w:b/>
          <w:bCs/>
          <w:szCs w:val="22"/>
        </w:rPr>
      </w:pPr>
      <w:r w:rsidRPr="00352FA6">
        <w:rPr>
          <w:rFonts w:cs="Arial"/>
          <w:b/>
          <w:bCs/>
          <w:szCs w:val="22"/>
        </w:rPr>
        <w:t>Human rights</w:t>
      </w:r>
    </w:p>
    <w:p w14:paraId="31E31862" w14:textId="77777777" w:rsidR="00352FA6" w:rsidRPr="00352FA6" w:rsidRDefault="00352FA6" w:rsidP="00352FA6">
      <w:pPr>
        <w:tabs>
          <w:tab w:val="left" w:pos="720"/>
          <w:tab w:val="center" w:pos="4320"/>
          <w:tab w:val="right" w:pos="8640"/>
        </w:tabs>
      </w:pPr>
    </w:p>
    <w:p w14:paraId="702B38AC" w14:textId="77777777" w:rsidR="00352FA6" w:rsidRPr="00352FA6" w:rsidRDefault="00352FA6" w:rsidP="00352FA6">
      <w:pPr>
        <w:tabs>
          <w:tab w:val="left" w:pos="720"/>
          <w:tab w:val="center" w:pos="4320"/>
          <w:tab w:val="right" w:pos="8640"/>
        </w:tabs>
      </w:pPr>
      <w:r w:rsidRPr="00352FA6">
        <w:t xml:space="preserve">Under the </w:t>
      </w:r>
      <w:r w:rsidRPr="00352FA6">
        <w:rPr>
          <w:i/>
          <w:iCs/>
        </w:rPr>
        <w:t>Human Rights Act 2019</w:t>
      </w:r>
      <w:r w:rsidRPr="00352FA6">
        <w:t>, decision makers have an obligation to act and make decisions in a way that is compatible with human rights, and when making a decision under this directive, to give proper consideration to human rights.</w:t>
      </w:r>
    </w:p>
    <w:p w14:paraId="452A0CDB" w14:textId="77777777" w:rsidR="00352FA6" w:rsidRPr="00352FA6" w:rsidRDefault="00352FA6" w:rsidP="00352FA6">
      <w:pPr>
        <w:tabs>
          <w:tab w:val="left" w:pos="720"/>
          <w:tab w:val="center" w:pos="4320"/>
          <w:tab w:val="right" w:pos="8640"/>
        </w:tabs>
      </w:pPr>
    </w:p>
    <w:p w14:paraId="793BF676" w14:textId="77777777" w:rsidR="00352FA6" w:rsidRPr="00352FA6" w:rsidRDefault="00352FA6" w:rsidP="00352FA6">
      <w:pPr>
        <w:tabs>
          <w:tab w:val="left" w:pos="720"/>
          <w:tab w:val="center" w:pos="4320"/>
          <w:tab w:val="right" w:pos="8640"/>
        </w:tabs>
      </w:pPr>
      <w:r w:rsidRPr="00352FA6">
        <w:t xml:space="preserve">If you consider that a relevant human right has not been </w:t>
      </w:r>
      <w:proofErr w:type="gramStart"/>
      <w:r w:rsidRPr="00352FA6">
        <w:t>taken into account</w:t>
      </w:r>
      <w:proofErr w:type="gramEnd"/>
      <w:r w:rsidRPr="00352FA6">
        <w:t xml:space="preserve"> in making this decision, you may make a complaint using your agency’s process for making a human rights complaint. If you appeal a decision, you can include information about your human rights complaint.</w:t>
      </w:r>
    </w:p>
    <w:p w14:paraId="0C6B02F5" w14:textId="77777777" w:rsidR="00352FA6" w:rsidRPr="00352FA6" w:rsidRDefault="00352FA6" w:rsidP="00352FA6">
      <w:pPr>
        <w:tabs>
          <w:tab w:val="left" w:pos="720"/>
          <w:tab w:val="center" w:pos="4320"/>
          <w:tab w:val="right" w:pos="8640"/>
        </w:tabs>
      </w:pPr>
    </w:p>
    <w:p w14:paraId="005D2EAD" w14:textId="77777777" w:rsidR="00352FA6" w:rsidRPr="00352FA6" w:rsidRDefault="00352FA6" w:rsidP="00352FA6">
      <w:pPr>
        <w:tabs>
          <w:tab w:val="left" w:pos="720"/>
          <w:tab w:val="center" w:pos="4320"/>
          <w:tab w:val="right" w:pos="8640"/>
        </w:tabs>
      </w:pPr>
      <w:r w:rsidRPr="00352FA6">
        <w:t xml:space="preserve">Further information about your human rights is available: </w:t>
      </w:r>
      <w:hyperlink r:id="rId13" w:history="1">
        <w:r w:rsidRPr="00352FA6">
          <w:rPr>
            <w:color w:val="0000FF"/>
            <w:u w:val="single"/>
          </w:rPr>
          <w:t>https://www.qhrc.qld.gov.au/your-rights/human-rights-law</w:t>
        </w:r>
      </w:hyperlink>
      <w:r w:rsidRPr="00352FA6">
        <w:t>.</w:t>
      </w:r>
    </w:p>
    <w:p w14:paraId="22C206FE" w14:textId="77777777" w:rsidR="00352FA6" w:rsidRDefault="00352FA6" w:rsidP="00AB0562">
      <w:pPr>
        <w:spacing w:after="160" w:line="259" w:lineRule="auto"/>
      </w:pPr>
    </w:p>
    <w:sectPr w:rsidR="00352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2D73C" w14:textId="77777777" w:rsidR="00A519A4" w:rsidRDefault="00A519A4" w:rsidP="00F56D5C">
      <w:r>
        <w:separator/>
      </w:r>
    </w:p>
  </w:endnote>
  <w:endnote w:type="continuationSeparator" w:id="0">
    <w:p w14:paraId="458E5EBE" w14:textId="77777777" w:rsidR="00A519A4" w:rsidRDefault="00A519A4" w:rsidP="00F56D5C">
      <w:r>
        <w:continuationSeparator/>
      </w:r>
    </w:p>
  </w:endnote>
  <w:endnote w:type="continuationNotice" w:id="1">
    <w:p w14:paraId="765C5E83" w14:textId="77777777" w:rsidR="00A519A4" w:rsidRDefault="00A51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A9558" w14:textId="77777777" w:rsidR="00A519A4" w:rsidRDefault="00A519A4" w:rsidP="00F56D5C">
      <w:r>
        <w:separator/>
      </w:r>
    </w:p>
  </w:footnote>
  <w:footnote w:type="continuationSeparator" w:id="0">
    <w:p w14:paraId="7094A4D3" w14:textId="77777777" w:rsidR="00A519A4" w:rsidRDefault="00A519A4" w:rsidP="00F56D5C">
      <w:r>
        <w:continuationSeparator/>
      </w:r>
    </w:p>
  </w:footnote>
  <w:footnote w:type="continuationNotice" w:id="1">
    <w:p w14:paraId="13D43905" w14:textId="77777777" w:rsidR="00A519A4" w:rsidRDefault="00A519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71C1"/>
    <w:multiLevelType w:val="hybridMultilevel"/>
    <w:tmpl w:val="375641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7A92"/>
    <w:multiLevelType w:val="multilevel"/>
    <w:tmpl w:val="1624E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619B34F5"/>
    <w:multiLevelType w:val="hybridMultilevel"/>
    <w:tmpl w:val="B21C5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E322F"/>
    <w:multiLevelType w:val="hybridMultilevel"/>
    <w:tmpl w:val="DEF62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25D6F"/>
    <w:multiLevelType w:val="multilevel"/>
    <w:tmpl w:val="16EE3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02"/>
    <w:rsid w:val="00041766"/>
    <w:rsid w:val="00064A81"/>
    <w:rsid w:val="000735F2"/>
    <w:rsid w:val="0009749B"/>
    <w:rsid w:val="0010149F"/>
    <w:rsid w:val="00101A10"/>
    <w:rsid w:val="001227C9"/>
    <w:rsid w:val="00153319"/>
    <w:rsid w:val="0016691C"/>
    <w:rsid w:val="0017574F"/>
    <w:rsid w:val="00187BE9"/>
    <w:rsid w:val="001D7EA2"/>
    <w:rsid w:val="00234AD2"/>
    <w:rsid w:val="002B5ADF"/>
    <w:rsid w:val="002F2546"/>
    <w:rsid w:val="00303702"/>
    <w:rsid w:val="00317F05"/>
    <w:rsid w:val="00331654"/>
    <w:rsid w:val="00335FFF"/>
    <w:rsid w:val="003448A9"/>
    <w:rsid w:val="003469A0"/>
    <w:rsid w:val="00352FA6"/>
    <w:rsid w:val="0038247C"/>
    <w:rsid w:val="003904B9"/>
    <w:rsid w:val="003A17F3"/>
    <w:rsid w:val="00482E7B"/>
    <w:rsid w:val="00497F06"/>
    <w:rsid w:val="004E4847"/>
    <w:rsid w:val="004E5EC4"/>
    <w:rsid w:val="004F1370"/>
    <w:rsid w:val="005312C5"/>
    <w:rsid w:val="00537033"/>
    <w:rsid w:val="00550610"/>
    <w:rsid w:val="005F41BA"/>
    <w:rsid w:val="005F7324"/>
    <w:rsid w:val="0060148E"/>
    <w:rsid w:val="0061368E"/>
    <w:rsid w:val="006275BB"/>
    <w:rsid w:val="00696765"/>
    <w:rsid w:val="006A187B"/>
    <w:rsid w:val="006F0916"/>
    <w:rsid w:val="007703A8"/>
    <w:rsid w:val="007716C0"/>
    <w:rsid w:val="007B5FCC"/>
    <w:rsid w:val="007C4FEE"/>
    <w:rsid w:val="007F6ECF"/>
    <w:rsid w:val="00853A1F"/>
    <w:rsid w:val="008A168A"/>
    <w:rsid w:val="009132DA"/>
    <w:rsid w:val="00913CFE"/>
    <w:rsid w:val="00945B96"/>
    <w:rsid w:val="009739F0"/>
    <w:rsid w:val="009B1D63"/>
    <w:rsid w:val="009F4219"/>
    <w:rsid w:val="00A14354"/>
    <w:rsid w:val="00A50260"/>
    <w:rsid w:val="00A519A4"/>
    <w:rsid w:val="00A72351"/>
    <w:rsid w:val="00A74922"/>
    <w:rsid w:val="00AB0562"/>
    <w:rsid w:val="00AD2006"/>
    <w:rsid w:val="00B446B2"/>
    <w:rsid w:val="00BB216A"/>
    <w:rsid w:val="00C003E3"/>
    <w:rsid w:val="00C61FDD"/>
    <w:rsid w:val="00C64D4A"/>
    <w:rsid w:val="00CA61A4"/>
    <w:rsid w:val="00CA7ECB"/>
    <w:rsid w:val="00CC753E"/>
    <w:rsid w:val="00D52658"/>
    <w:rsid w:val="00DC42C2"/>
    <w:rsid w:val="00E025D5"/>
    <w:rsid w:val="00E27F4B"/>
    <w:rsid w:val="00E52A6F"/>
    <w:rsid w:val="00E739A2"/>
    <w:rsid w:val="00E832DE"/>
    <w:rsid w:val="00EE7901"/>
    <w:rsid w:val="00F156AA"/>
    <w:rsid w:val="00F219E5"/>
    <w:rsid w:val="00F22093"/>
    <w:rsid w:val="00F56D5C"/>
    <w:rsid w:val="00F60E34"/>
    <w:rsid w:val="00F76370"/>
    <w:rsid w:val="00F92F14"/>
    <w:rsid w:val="00FB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CBEB"/>
  <w15:chartTrackingRefBased/>
  <w15:docId w15:val="{CF5963F3-C09D-41B4-804D-E2217DA7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9F0"/>
    <w:pPr>
      <w:spacing w:after="0" w:line="240" w:lineRule="auto"/>
    </w:pPr>
    <w:rPr>
      <w:rFonts w:ascii="Arial" w:eastAsia="Times New Roman" w:hAnsi="Arial" w:cs="Times New Roman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3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0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9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9F0"/>
    <w:rPr>
      <w:rFonts w:ascii="Arial" w:eastAsia="Times New Roman" w:hAnsi="Arial" w:cs="Times New Roman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9739F0"/>
    <w:pPr>
      <w:ind w:left="720"/>
      <w:contextualSpacing/>
    </w:pPr>
  </w:style>
  <w:style w:type="paragraph" w:customStyle="1" w:styleId="paragraph">
    <w:name w:val="paragraph"/>
    <w:basedOn w:val="Normal"/>
    <w:rsid w:val="009739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 w:bidi="ar-SA"/>
    </w:rPr>
  </w:style>
  <w:style w:type="character" w:customStyle="1" w:styleId="normaltextrun">
    <w:name w:val="normaltextrun"/>
    <w:basedOn w:val="DefaultParagraphFont"/>
    <w:rsid w:val="009739F0"/>
  </w:style>
  <w:style w:type="character" w:customStyle="1" w:styleId="eop">
    <w:name w:val="eop"/>
    <w:basedOn w:val="DefaultParagraphFont"/>
    <w:rsid w:val="009739F0"/>
  </w:style>
  <w:style w:type="paragraph" w:customStyle="1" w:styleId="Numberedlist2">
    <w:name w:val="Numbered list 2"/>
    <w:basedOn w:val="Normal"/>
    <w:link w:val="Numberedlist2Char"/>
    <w:qFormat/>
    <w:rsid w:val="00A72351"/>
    <w:pPr>
      <w:keepNext/>
      <w:keepLines/>
      <w:numPr>
        <w:ilvl w:val="1"/>
        <w:numId w:val="3"/>
      </w:numPr>
      <w:spacing w:before="80" w:after="120" w:line="264" w:lineRule="auto"/>
      <w:contextualSpacing/>
      <w:outlineLvl w:val="2"/>
    </w:pPr>
    <w:rPr>
      <w:rFonts w:eastAsiaTheme="majorEastAsia" w:cstheme="minorBidi"/>
      <w:sz w:val="20"/>
      <w:szCs w:val="21"/>
      <w:lang w:bidi="ar-SA"/>
    </w:rPr>
  </w:style>
  <w:style w:type="character" w:customStyle="1" w:styleId="Numberedlist2Char">
    <w:name w:val="Numbered list 2 Char"/>
    <w:basedOn w:val="DefaultParagraphFont"/>
    <w:link w:val="Numberedlist2"/>
    <w:rsid w:val="00A72351"/>
    <w:rPr>
      <w:rFonts w:ascii="Arial" w:eastAsiaTheme="majorEastAsia" w:hAnsi="Arial"/>
      <w:sz w:val="20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D5C"/>
    <w:rPr>
      <w:rFonts w:asciiTheme="minorHAnsi" w:eastAsiaTheme="minorHAnsi" w:hAnsiTheme="minorHAnsi" w:cstheme="minorBidi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D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6D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312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2C5"/>
    <w:rPr>
      <w:rFonts w:ascii="Arial" w:eastAsia="Times New Roman" w:hAnsi="Arial" w:cs="Times New Roman"/>
      <w:b/>
      <w:bCs/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5F4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1BA"/>
    <w:rPr>
      <w:rFonts w:ascii="Arial" w:eastAsia="Times New Roman" w:hAnsi="Arial" w:cs="Times New Roman"/>
      <w:szCs w:val="20"/>
      <w:lang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5F4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1BA"/>
    <w:rPr>
      <w:rFonts w:ascii="Arial" w:eastAsia="Times New Roman" w:hAnsi="Arial" w:cs="Times New Roman"/>
      <w:szCs w:val="20"/>
      <w:lang w:bidi="he-IL"/>
    </w:rPr>
  </w:style>
  <w:style w:type="character" w:styleId="Hyperlink">
    <w:name w:val="Hyperlink"/>
    <w:unhideWhenUsed/>
    <w:rsid w:val="006A18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737">
          <w:blockQuote w:val="1"/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328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7806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2875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4012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462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42156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2142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6820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9896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5246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6631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8219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461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qhrc.qld.gov.au/your-rights/human-rights-la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qirc.gov.au/public-service-appe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gov.qld.gov.au/documents/directive/0920/temporary-employm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egislation.qld.gov.au/view/html/inforce/current/act-2008-0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371A76C57CE419EC8A3BA35E1122D" ma:contentTypeVersion="7" ma:contentTypeDescription="Create a new document." ma:contentTypeScope="" ma:versionID="13885eb67afe8ee9bc799e6bfd638539">
  <xsd:schema xmlns:xsd="http://www.w3.org/2001/XMLSchema" xmlns:xs="http://www.w3.org/2001/XMLSchema" xmlns:p="http://schemas.microsoft.com/office/2006/metadata/properties" xmlns:ns2="349dcae6-1c55-46da-a023-c4c9ff23e2d0" xmlns:ns3="6e2d4c12-3607-4393-9d89-8b07dc70eafd" targetNamespace="http://schemas.microsoft.com/office/2006/metadata/properties" ma:root="true" ma:fieldsID="52c199acdf5c73376219e4ff02e38ea2" ns2:_="" ns3:_="">
    <xsd:import namespace="349dcae6-1c55-46da-a023-c4c9ff23e2d0"/>
    <xsd:import namespace="6e2d4c12-3607-4393-9d89-8b07dc70e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cae6-1c55-46da-a023-c4c9ff23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4c12-3607-4393-9d89-8b07dc70e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BA741-2075-448A-8C59-5F1B27DBF56A}">
  <ds:schemaRefs>
    <ds:schemaRef ds:uri="http://purl.org/dc/elements/1.1/"/>
    <ds:schemaRef ds:uri="http://schemas.microsoft.com/office/2006/metadata/properties"/>
    <ds:schemaRef ds:uri="http://purl.org/dc/terms/"/>
    <ds:schemaRef ds:uri="349dcae6-1c55-46da-a023-c4c9ff23e2d0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e2d4c12-3607-4393-9d89-8b07dc70ea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75E420-5E51-4554-9830-7D4D5873A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dcae6-1c55-46da-a023-c4c9ff23e2d0"/>
    <ds:schemaRef ds:uri="6e2d4c12-3607-4393-9d89-8b07dc70e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41BA6-9706-404D-8449-D47E158BF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Commission | Queensland Government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term temporary employment APPROVAL Template letter</dc:title>
  <dc:subject>Fixed term temporary employment APPROVAL Template letter</dc:subject>
  <dc:creator>Public Service Commission | Queensland Government</dc:creator>
  <cp:keywords>Fixed term temporary employment APPROVAL Template letter</cp:keywords>
  <dc:description/>
  <cp:lastModifiedBy>Ben Toussaint</cp:lastModifiedBy>
  <cp:revision>59</cp:revision>
  <dcterms:created xsi:type="dcterms:W3CDTF">2020-08-05T02:06:00Z</dcterms:created>
  <dcterms:modified xsi:type="dcterms:W3CDTF">2020-10-16T05:27:00Z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0x0101001D9371A76C57CE419EC8A3BA35E1122D</vt:lpwstr>
  </property>
</Properties>
</file>