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12DF" w14:textId="77777777" w:rsidR="009F6AA0" w:rsidRDefault="009F6AA0" w:rsidP="009F6AA0"/>
    <w:p w14:paraId="7131AB42" w14:textId="77777777" w:rsidR="009F6AA0" w:rsidRDefault="009F6AA0" w:rsidP="009F6AA0"/>
    <w:p w14:paraId="1983F04D" w14:textId="77777777" w:rsidR="009F6AA0" w:rsidRDefault="009F6AA0" w:rsidP="009F6AA0"/>
    <w:p w14:paraId="75A66E0B" w14:textId="77777777" w:rsidR="009F6AA0" w:rsidRDefault="009F6AA0" w:rsidP="009F6AA0"/>
    <w:p w14:paraId="0CD8A56B" w14:textId="77777777" w:rsidR="009F6AA0" w:rsidRDefault="009F6AA0" w:rsidP="009F6AA0"/>
    <w:p w14:paraId="6E4EB271" w14:textId="77777777" w:rsidR="009F6AA0" w:rsidRDefault="009F6AA0" w:rsidP="009F6AA0"/>
    <w:p w14:paraId="5C207835" w14:textId="77777777" w:rsidR="009F6AA0" w:rsidRDefault="009F6AA0" w:rsidP="009F6AA0"/>
    <w:p w14:paraId="64B07D77" w14:textId="77777777" w:rsidR="009F6AA0" w:rsidRDefault="009F6AA0" w:rsidP="00FE7DEB">
      <w:pPr>
        <w:pStyle w:val="ListParagraph"/>
        <w:ind w:left="0"/>
      </w:pPr>
    </w:p>
    <w:p w14:paraId="61CA33DE" w14:textId="77777777" w:rsidR="009F6AA0" w:rsidRDefault="009F6AA0" w:rsidP="009F6AA0"/>
    <w:p w14:paraId="2534AC3C" w14:textId="77777777" w:rsidR="009F6AA0" w:rsidRDefault="009F6AA0" w:rsidP="009F6AA0"/>
    <w:p w14:paraId="70C03271" w14:textId="77777777" w:rsidR="009F6AA0" w:rsidRDefault="009F6AA0" w:rsidP="009F6AA0"/>
    <w:p w14:paraId="185BFF2E" w14:textId="77777777" w:rsidR="00FA69F5" w:rsidRDefault="00FA69F5" w:rsidP="009F6AA0"/>
    <w:p w14:paraId="1C59515E" w14:textId="77777777" w:rsidR="009F6AA0" w:rsidRDefault="007F548A" w:rsidP="009F6AA0">
      <w:r w:rsidRPr="0054353F">
        <w:rPr>
          <w:rFonts w:cs="Arial"/>
          <w:noProof/>
          <w:sz w:val="88"/>
          <w:szCs w:val="88"/>
          <w:lang w:val="en-US" w:eastAsia="en-US"/>
        </w:rPr>
        <mc:AlternateContent>
          <mc:Choice Requires="wps">
            <w:drawing>
              <wp:anchor distT="0" distB="0" distL="114300" distR="114300" simplePos="0" relativeHeight="251661312" behindDoc="0" locked="0" layoutInCell="1" allowOverlap="1" wp14:anchorId="6459519B" wp14:editId="519C977A">
                <wp:simplePos x="0" y="0"/>
                <wp:positionH relativeFrom="column">
                  <wp:posOffset>-136765</wp:posOffset>
                </wp:positionH>
                <wp:positionV relativeFrom="paragraph">
                  <wp:posOffset>121285</wp:posOffset>
                </wp:positionV>
                <wp:extent cx="347980" cy="353060"/>
                <wp:effectExtent l="0" t="19050" r="0" b="85090"/>
                <wp:wrapNone/>
                <wp:docPr id="4" name="Teardrop 4"/>
                <wp:cNvGraphicFramePr/>
                <a:graphic xmlns:a="http://schemas.openxmlformats.org/drawingml/2006/main">
                  <a:graphicData uri="http://schemas.microsoft.com/office/word/2010/wordprocessingShape">
                    <wps:wsp>
                      <wps:cNvSpPr/>
                      <wps:spPr>
                        <a:xfrm rot="8100000">
                          <a:off x="0" y="0"/>
                          <a:ext cx="347980" cy="3530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FA26393" id="Teardrop 4" o:spid="_x0000_s1026" style="position:absolute;margin-left:-10.75pt;margin-top:9.55pt;width:27.4pt;height:27.8pt;rotation:135;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98961;154186,44863;347980,0;308372,198961;154186,353060;0,198961" o:connectangles="0,0,0,0,0,0"/>
              </v:shape>
            </w:pict>
          </mc:Fallback>
        </mc:AlternateContent>
      </w:r>
    </w:p>
    <w:p w14:paraId="29934BD5" w14:textId="77777777" w:rsidR="009F6AA0" w:rsidRPr="00AB3D76" w:rsidRDefault="009F6AA0" w:rsidP="009F6AA0"/>
    <w:p w14:paraId="12D0E533" w14:textId="77777777" w:rsidR="009F6AA0" w:rsidRPr="00AB3D76" w:rsidRDefault="009F6AA0" w:rsidP="009F6AA0"/>
    <w:p w14:paraId="72F59F8E" w14:textId="77777777" w:rsidR="009F6AA0" w:rsidRPr="00AB3D76" w:rsidRDefault="009F6AA0" w:rsidP="009F6AA0"/>
    <w:p w14:paraId="53F6F61B" w14:textId="1E1D2E81" w:rsidR="009F6AA0" w:rsidRPr="00AB3D76" w:rsidRDefault="002F1FF8" w:rsidP="00AB3D76">
      <w:pPr>
        <w:pStyle w:val="Title"/>
        <w:spacing w:after="240"/>
        <w:rPr>
          <w:rStyle w:val="DocTitle"/>
          <w:color w:val="auto"/>
        </w:rPr>
      </w:pPr>
      <w:r>
        <w:rPr>
          <w:rStyle w:val="DocTitle"/>
          <w:color w:val="auto"/>
        </w:rPr>
        <w:t>Commission Chief Executive guideline</w:t>
      </w:r>
    </w:p>
    <w:p w14:paraId="4091DD86" w14:textId="777AFC79" w:rsidR="00AB3D76" w:rsidRPr="00AB3D76" w:rsidRDefault="002F1FF8" w:rsidP="00DA20A3">
      <w:pPr>
        <w:pStyle w:val="Subtitle"/>
        <w:rPr>
          <w:rStyle w:val="DocProjectName"/>
        </w:rPr>
      </w:pPr>
      <w:r>
        <w:rPr>
          <w:rStyle w:val="DocSubTitle"/>
          <w:color w:val="auto"/>
        </w:rPr>
        <w:t>Managing employee health, safety and wellbeing – independent medical examinations (</w:t>
      </w:r>
      <w:r w:rsidRPr="002F1FF8">
        <w:rPr>
          <w:rStyle w:val="DocSubTitle"/>
          <w:i/>
          <w:color w:val="auto"/>
        </w:rPr>
        <w:t>Public Service Act 2008</w:t>
      </w:r>
      <w:r>
        <w:rPr>
          <w:rStyle w:val="DocSubTitle"/>
          <w:color w:val="auto"/>
        </w:rPr>
        <w:t>)</w:t>
      </w:r>
    </w:p>
    <w:p w14:paraId="36EC3379" w14:textId="77777777" w:rsidR="00AB3D76" w:rsidRPr="00AB3D76" w:rsidRDefault="00AB3D76" w:rsidP="00FA69F5">
      <w:pPr>
        <w:rPr>
          <w:rStyle w:val="DocProjectName"/>
        </w:rPr>
      </w:pPr>
    </w:p>
    <w:p w14:paraId="1E7F81F9" w14:textId="77777777" w:rsidR="00AB3D76" w:rsidRPr="00AB3D76" w:rsidRDefault="00AB3D76" w:rsidP="00FA69F5">
      <w:pPr>
        <w:rPr>
          <w:rStyle w:val="DocProjectName"/>
        </w:rPr>
      </w:pPr>
    </w:p>
    <w:p w14:paraId="1CA9FF35" w14:textId="77777777" w:rsidR="00AB3D76" w:rsidRPr="00AB3D76" w:rsidRDefault="00AB3D76" w:rsidP="00FA69F5">
      <w:pPr>
        <w:rPr>
          <w:rStyle w:val="DocProjectName"/>
        </w:rPr>
      </w:pPr>
    </w:p>
    <w:p w14:paraId="40B04E40" w14:textId="77777777" w:rsidR="00AB3D76" w:rsidRPr="00AB3D76" w:rsidRDefault="00AB3D76" w:rsidP="00FA69F5">
      <w:pPr>
        <w:rPr>
          <w:rStyle w:val="DocProjectName"/>
        </w:rPr>
      </w:pPr>
    </w:p>
    <w:p w14:paraId="46B6B75B" w14:textId="77777777" w:rsidR="00AB3D76" w:rsidRPr="00AB3D76" w:rsidRDefault="00AB3D76" w:rsidP="00FA69F5">
      <w:pPr>
        <w:rPr>
          <w:rStyle w:val="DocProjectName"/>
        </w:rPr>
      </w:pPr>
    </w:p>
    <w:p w14:paraId="6AA4EA2F" w14:textId="77777777" w:rsidR="00AB3D76" w:rsidRPr="00AB3D76" w:rsidRDefault="00AB3D76" w:rsidP="00FA69F5">
      <w:pPr>
        <w:rPr>
          <w:rStyle w:val="DocProjectName"/>
        </w:rPr>
      </w:pPr>
    </w:p>
    <w:p w14:paraId="53B8FBE4" w14:textId="77777777" w:rsidR="00AB3D76" w:rsidRPr="00AB3D76" w:rsidRDefault="00AB3D76" w:rsidP="00FA69F5">
      <w:pPr>
        <w:rPr>
          <w:rStyle w:val="DocProjectName"/>
        </w:rPr>
      </w:pPr>
    </w:p>
    <w:p w14:paraId="7AA44C77" w14:textId="77777777" w:rsidR="00AB3D76" w:rsidRPr="00AB3D76" w:rsidRDefault="00AB3D76" w:rsidP="00FA69F5">
      <w:pPr>
        <w:rPr>
          <w:rStyle w:val="DocProjectName"/>
        </w:rPr>
      </w:pPr>
    </w:p>
    <w:p w14:paraId="0C166DFD" w14:textId="77777777" w:rsidR="00AB3D76" w:rsidRPr="00AB3D76" w:rsidRDefault="00AB3D76" w:rsidP="00FA69F5">
      <w:pPr>
        <w:rPr>
          <w:rStyle w:val="DocProjectName"/>
        </w:rPr>
      </w:pPr>
    </w:p>
    <w:p w14:paraId="53864705" w14:textId="77777777" w:rsidR="00AB3D76" w:rsidRPr="00AB3D76" w:rsidRDefault="00AB3D76" w:rsidP="00FA69F5">
      <w:pPr>
        <w:rPr>
          <w:rStyle w:val="DocProjectName"/>
        </w:rPr>
      </w:pPr>
    </w:p>
    <w:p w14:paraId="56234E70" w14:textId="77777777" w:rsidR="00FA69F5" w:rsidRPr="00AB3D76" w:rsidRDefault="00FA69F5" w:rsidP="00FA69F5">
      <w:pPr>
        <w:rPr>
          <w:rStyle w:val="DocProjectName"/>
        </w:rPr>
      </w:pPr>
    </w:p>
    <w:p w14:paraId="717A9E59" w14:textId="77777777" w:rsidR="00B50047" w:rsidRDefault="00B50047" w:rsidP="00E81629">
      <w:pPr>
        <w:pStyle w:val="Subtitle"/>
        <w:rPr>
          <w:b w:val="0"/>
          <w:color w:val="5ACAAF"/>
          <w:sz w:val="36"/>
        </w:rPr>
      </w:pPr>
    </w:p>
    <w:p w14:paraId="34EB3F06" w14:textId="77777777" w:rsidR="00B50047" w:rsidRDefault="00B50047" w:rsidP="00E81629">
      <w:pPr>
        <w:pStyle w:val="Subtitle"/>
        <w:rPr>
          <w:b w:val="0"/>
          <w:color w:val="5ACAAF"/>
          <w:sz w:val="36"/>
        </w:rPr>
      </w:pPr>
    </w:p>
    <w:p w14:paraId="238507E4" w14:textId="476300C1" w:rsidR="00FA69F5" w:rsidRPr="00300AC2" w:rsidRDefault="00151143" w:rsidP="00E81629">
      <w:pPr>
        <w:pStyle w:val="Subtitle"/>
        <w:rPr>
          <w:b w:val="0"/>
          <w:color w:val="5ACAAF"/>
          <w:sz w:val="36"/>
        </w:rPr>
      </w:pPr>
      <w:r>
        <w:rPr>
          <w:b w:val="0"/>
          <w:color w:val="5ACAAF"/>
          <w:sz w:val="36"/>
        </w:rPr>
        <w:t xml:space="preserve">February </w:t>
      </w:r>
      <w:r w:rsidR="00C13856">
        <w:rPr>
          <w:b w:val="0"/>
          <w:color w:val="5ACAAF"/>
          <w:sz w:val="36"/>
        </w:rPr>
        <w:t>201</w:t>
      </w:r>
      <w:r>
        <w:rPr>
          <w:b w:val="0"/>
          <w:color w:val="5ACAAF"/>
          <w:sz w:val="36"/>
        </w:rPr>
        <w:t>9</w:t>
      </w:r>
    </w:p>
    <w:p w14:paraId="418C6A34" w14:textId="77777777" w:rsidR="00FA69F5" w:rsidRDefault="00FA69F5" w:rsidP="00FA69F5">
      <w:pPr>
        <w:rPr>
          <w:rStyle w:val="DocProjectName"/>
          <w:color w:val="000000"/>
        </w:rPr>
      </w:pPr>
    </w:p>
    <w:p w14:paraId="42D32575" w14:textId="77777777" w:rsidR="009F6AA0" w:rsidRPr="009842F2" w:rsidRDefault="009F6AA0" w:rsidP="009F6AA0">
      <w:pPr>
        <w:ind w:firstLine="567"/>
        <w:rPr>
          <w:color w:val="000000"/>
        </w:rPr>
        <w:sectPr w:rsidR="009F6AA0" w:rsidRPr="009842F2" w:rsidSect="00E81629">
          <w:headerReference w:type="default" r:id="rId10"/>
          <w:footerReference w:type="default" r:id="rId11"/>
          <w:headerReference w:type="first" r:id="rId12"/>
          <w:type w:val="continuous"/>
          <w:pgSz w:w="11907" w:h="16840" w:code="9"/>
          <w:pgMar w:top="567" w:right="567" w:bottom="1134" w:left="1701" w:header="567" w:footer="567" w:gutter="0"/>
          <w:pgNumType w:fmt="lowerRoman"/>
          <w:cols w:space="720"/>
          <w:formProt w:val="0"/>
          <w:titlePg/>
        </w:sectPr>
      </w:pPr>
    </w:p>
    <w:p w14:paraId="6F13422F" w14:textId="0E9CEE85" w:rsidR="00557A84" w:rsidRPr="00FE126D" w:rsidRDefault="00DD0784" w:rsidP="00A75E1A">
      <w:pPr>
        <w:pStyle w:val="HeadingHidden"/>
      </w:pPr>
      <w:r w:rsidRPr="0054353F">
        <w:rPr>
          <w:rFonts w:cs="Arial"/>
          <w:sz w:val="88"/>
          <w:szCs w:val="88"/>
          <w:lang w:val="en-US" w:eastAsia="en-US"/>
        </w:rPr>
        <w:lastRenderedPageBreak/>
        <mc:AlternateContent>
          <mc:Choice Requires="wps">
            <w:drawing>
              <wp:anchor distT="0" distB="0" distL="114300" distR="114300" simplePos="0" relativeHeight="251681792" behindDoc="0" locked="0" layoutInCell="1" allowOverlap="1" wp14:anchorId="6ACDF241" wp14:editId="34545E5E">
                <wp:simplePos x="0" y="0"/>
                <wp:positionH relativeFrom="column">
                  <wp:posOffset>5038089</wp:posOffset>
                </wp:positionH>
                <wp:positionV relativeFrom="paragraph">
                  <wp:posOffset>-1183940</wp:posOffset>
                </wp:positionV>
                <wp:extent cx="1429127" cy="1449614"/>
                <wp:effectExtent l="38100" t="0" r="171450" b="0"/>
                <wp:wrapNone/>
                <wp:docPr id="28" name="Teardrop 4"/>
                <wp:cNvGraphicFramePr/>
                <a:graphic xmlns:a="http://schemas.openxmlformats.org/drawingml/2006/main">
                  <a:graphicData uri="http://schemas.microsoft.com/office/word/2010/wordprocessingShape">
                    <wps:wsp>
                      <wps:cNvSpPr/>
                      <wps:spPr>
                        <a:xfrm rot="833563">
                          <a:off x="0" y="0"/>
                          <a:ext cx="1429127" cy="1449614"/>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noFill/>
                        <a:ln w="9525">
                          <a:solidFill>
                            <a:srgbClr val="5ACAA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5813723" id="Teardrop 4" o:spid="_x0000_s1026" style="position:absolute;margin-left:396.7pt;margin-top:-93.2pt;width:112.55pt;height:114.15pt;rotation:910473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" path="m,253893c,145290,95619,78296,196644,57249,286607,37325,361417,19083,443803,,427808,73124,410125,159722,393288,253893,376451,348064,305247,450537,196644,450537,88041,450537,,362496,,253893xe" filled="f" strokecolor="#5acaaf">
                <v:stroke joinstyle="miter"/>
                <v:path arrowok="t" o:connecttype="custom" o:connectlocs="0,816907;633230,184200;1429127,0;1266459,816907;633230,1449614;0,816907" o:connectangles="0,0,0,0,0,0"/>
              </v:shape>
            </w:pict>
          </mc:Fallback>
        </mc:AlternateContent>
      </w:r>
      <w:r>
        <w:rPr>
          <w:rFonts w:cs="Arial"/>
          <w:sz w:val="88"/>
          <w:szCs w:val="88"/>
          <w:lang w:val="en-US" w:eastAsia="en-US"/>
        </w:rPr>
        <mc:AlternateContent>
          <mc:Choice Requires="wps">
            <w:drawing>
              <wp:anchor distT="0" distB="0" distL="114300" distR="114300" simplePos="0" relativeHeight="251682816" behindDoc="0" locked="0" layoutInCell="1" allowOverlap="1" wp14:anchorId="42F766DB" wp14:editId="2831AE9C">
                <wp:simplePos x="0" y="0"/>
                <wp:positionH relativeFrom="column">
                  <wp:posOffset>-1523057</wp:posOffset>
                </wp:positionH>
                <wp:positionV relativeFrom="paragraph">
                  <wp:posOffset>-965835</wp:posOffset>
                </wp:positionV>
                <wp:extent cx="6866213" cy="870596"/>
                <wp:effectExtent l="0" t="0" r="0" b="5715"/>
                <wp:wrapNone/>
                <wp:docPr id="29" name="Freeform 29"/>
                <wp:cNvGraphicFramePr/>
                <a:graphic xmlns:a="http://schemas.openxmlformats.org/drawingml/2006/main">
                  <a:graphicData uri="http://schemas.microsoft.com/office/word/2010/wordprocessingShape">
                    <wps:wsp>
                      <wps:cNvSpPr/>
                      <wps:spPr>
                        <a:xfrm flipH="1">
                          <a:off x="0" y="0"/>
                          <a:ext cx="6866213" cy="870596"/>
                        </a:xfrm>
                        <a:custGeom>
                          <a:avLst/>
                          <a:gdLst>
                            <a:gd name="connsiteX0" fmla="*/ 0 w 5645188"/>
                            <a:gd name="connsiteY0" fmla="*/ 27377 h 1023909"/>
                            <a:gd name="connsiteX1" fmla="*/ 5645188 w 5645188"/>
                            <a:gd name="connsiteY1" fmla="*/ 1023909 h 1023909"/>
                            <a:gd name="connsiteX2" fmla="*/ 5601384 w 5645188"/>
                            <a:gd name="connsiteY2" fmla="*/ 0 h 1023909"/>
                            <a:gd name="connsiteX3" fmla="*/ 0 w 5645188"/>
                            <a:gd name="connsiteY3" fmla="*/ 27377 h 1023909"/>
                          </a:gdLst>
                          <a:ahLst/>
                          <a:cxnLst>
                            <a:cxn ang="0">
                              <a:pos x="connsiteX0" y="connsiteY0"/>
                            </a:cxn>
                            <a:cxn ang="0">
                              <a:pos x="connsiteX1" y="connsiteY1"/>
                            </a:cxn>
                            <a:cxn ang="0">
                              <a:pos x="connsiteX2" y="connsiteY2"/>
                            </a:cxn>
                            <a:cxn ang="0">
                              <a:pos x="connsiteX3" y="connsiteY3"/>
                            </a:cxn>
                          </a:cxnLst>
                          <a:rect l="l" t="t" r="r" b="b"/>
                          <a:pathLst>
                            <a:path w="5645188" h="1023909">
                              <a:moveTo>
                                <a:pt x="0" y="27377"/>
                              </a:moveTo>
                              <a:lnTo>
                                <a:pt x="5645188" y="1023909"/>
                              </a:lnTo>
                              <a:lnTo>
                                <a:pt x="5601384" y="0"/>
                              </a:lnTo>
                              <a:lnTo>
                                <a:pt x="0" y="27377"/>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B365" id="Freeform 29" o:spid="_x0000_s1026" style="position:absolute;margin-left:-119.95pt;margin-top:-76.05pt;width:540.65pt;height:68.5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5188,102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" path="m,27377r5645188,996532l5601384,,,27377xe" fillcolor="#d0f0e8" stroked="f" strokeweight="1pt">
                <v:stroke joinstyle="miter"/>
                <v:path arrowok="t" o:connecttype="custom" o:connectlocs="0,23278;6866213,870596;6812934,0;0,23278" o:connectangles="0,0,0,0"/>
              </v:shape>
            </w:pict>
          </mc:Fallback>
        </mc:AlternateContent>
      </w:r>
      <w:r w:rsidR="00AD37A8" w:rsidRPr="00FE126D">
        <w:t>Contents</w:t>
      </w:r>
    </w:p>
    <w:p w14:paraId="21FE8137" w14:textId="583B87C1" w:rsidR="00DB79C3" w:rsidRDefault="000F5523">
      <w:pPr>
        <w:pStyle w:val="TOC1"/>
        <w:rPr>
          <w:rFonts w:asciiTheme="minorHAnsi" w:eastAsiaTheme="minorEastAsia" w:hAnsiTheme="minorHAnsi" w:cstheme="minorBidi"/>
          <w:sz w:val="22"/>
          <w:szCs w:val="22"/>
        </w:rPr>
      </w:pPr>
      <w:r>
        <w:fldChar w:fldCharType="begin"/>
      </w:r>
      <w:r>
        <w:instrText xml:space="preserve"> TOC \h \z \t "Heading 1,1,Heading 2,2,Heading 3,3,Heading,1,No. Heading 1,1,No. Heading 2,2,No. Heading 3,3" </w:instrText>
      </w:r>
      <w:r>
        <w:fldChar w:fldCharType="separate"/>
      </w:r>
      <w:hyperlink w:anchor="_Toc1731087" w:history="1">
        <w:r w:rsidR="00DB79C3" w:rsidRPr="009A48F7">
          <w:rPr>
            <w:rStyle w:val="Hyperlink"/>
            <w:rFonts w:eastAsia="SimSun"/>
            <w:lang w:eastAsia="zh-CN"/>
          </w:rPr>
          <w:t>1.</w:t>
        </w:r>
        <w:r w:rsidR="00DB79C3">
          <w:rPr>
            <w:rFonts w:asciiTheme="minorHAnsi" w:eastAsiaTheme="minorEastAsia" w:hAnsiTheme="minorHAnsi" w:cstheme="minorBidi"/>
            <w:sz w:val="22"/>
            <w:szCs w:val="22"/>
          </w:rPr>
          <w:tab/>
        </w:r>
        <w:r w:rsidR="00DB79C3" w:rsidRPr="009A48F7">
          <w:rPr>
            <w:rStyle w:val="Hyperlink"/>
            <w:rFonts w:eastAsia="SimSun"/>
            <w:lang w:eastAsia="zh-CN"/>
          </w:rPr>
          <w:t>Purpose</w:t>
        </w:r>
        <w:r w:rsidR="00DB79C3">
          <w:rPr>
            <w:webHidden/>
          </w:rPr>
          <w:tab/>
        </w:r>
        <w:r w:rsidR="00DB79C3">
          <w:rPr>
            <w:webHidden/>
          </w:rPr>
          <w:fldChar w:fldCharType="begin"/>
        </w:r>
        <w:r w:rsidR="00DB79C3">
          <w:rPr>
            <w:webHidden/>
          </w:rPr>
          <w:instrText xml:space="preserve"> PAGEREF _Toc1731087 \h </w:instrText>
        </w:r>
        <w:r w:rsidR="00DB79C3">
          <w:rPr>
            <w:webHidden/>
          </w:rPr>
        </w:r>
        <w:r w:rsidR="00DB79C3">
          <w:rPr>
            <w:webHidden/>
          </w:rPr>
          <w:fldChar w:fldCharType="separate"/>
        </w:r>
        <w:r w:rsidR="00DB79C3">
          <w:rPr>
            <w:webHidden/>
          </w:rPr>
          <w:t>2</w:t>
        </w:r>
        <w:r w:rsidR="00DB79C3">
          <w:rPr>
            <w:webHidden/>
          </w:rPr>
          <w:fldChar w:fldCharType="end"/>
        </w:r>
      </w:hyperlink>
    </w:p>
    <w:p w14:paraId="3BAFD859" w14:textId="08F60720" w:rsidR="00DB79C3" w:rsidRDefault="00000000">
      <w:pPr>
        <w:pStyle w:val="TOC1"/>
        <w:rPr>
          <w:rFonts w:asciiTheme="minorHAnsi" w:eastAsiaTheme="minorEastAsia" w:hAnsiTheme="minorHAnsi" w:cstheme="minorBidi"/>
          <w:sz w:val="22"/>
          <w:szCs w:val="22"/>
        </w:rPr>
      </w:pPr>
      <w:hyperlink w:anchor="_Toc1731088" w:history="1">
        <w:r w:rsidR="00DB79C3" w:rsidRPr="009A48F7">
          <w:rPr>
            <w:rStyle w:val="Hyperlink"/>
          </w:rPr>
          <w:t>2.</w:t>
        </w:r>
        <w:r w:rsidR="00DB79C3">
          <w:rPr>
            <w:rFonts w:asciiTheme="minorHAnsi" w:eastAsiaTheme="minorEastAsia" w:hAnsiTheme="minorHAnsi" w:cstheme="minorBidi"/>
            <w:sz w:val="22"/>
            <w:szCs w:val="22"/>
          </w:rPr>
          <w:tab/>
        </w:r>
        <w:r w:rsidR="00DB79C3" w:rsidRPr="009A48F7">
          <w:rPr>
            <w:rStyle w:val="Hyperlink"/>
          </w:rPr>
          <w:t>Effective date</w:t>
        </w:r>
        <w:r w:rsidR="00DB79C3">
          <w:rPr>
            <w:webHidden/>
          </w:rPr>
          <w:tab/>
        </w:r>
        <w:r w:rsidR="00DB79C3">
          <w:rPr>
            <w:webHidden/>
          </w:rPr>
          <w:fldChar w:fldCharType="begin"/>
        </w:r>
        <w:r w:rsidR="00DB79C3">
          <w:rPr>
            <w:webHidden/>
          </w:rPr>
          <w:instrText xml:space="preserve"> PAGEREF _Toc1731088 \h </w:instrText>
        </w:r>
        <w:r w:rsidR="00DB79C3">
          <w:rPr>
            <w:webHidden/>
          </w:rPr>
        </w:r>
        <w:r w:rsidR="00DB79C3">
          <w:rPr>
            <w:webHidden/>
          </w:rPr>
          <w:fldChar w:fldCharType="separate"/>
        </w:r>
        <w:r w:rsidR="00DB79C3">
          <w:rPr>
            <w:webHidden/>
          </w:rPr>
          <w:t>2</w:t>
        </w:r>
        <w:r w:rsidR="00DB79C3">
          <w:rPr>
            <w:webHidden/>
          </w:rPr>
          <w:fldChar w:fldCharType="end"/>
        </w:r>
      </w:hyperlink>
    </w:p>
    <w:p w14:paraId="640B9F1A" w14:textId="11DFBAE4" w:rsidR="00DB79C3" w:rsidRDefault="00000000">
      <w:pPr>
        <w:pStyle w:val="TOC1"/>
        <w:rPr>
          <w:rFonts w:asciiTheme="minorHAnsi" w:eastAsiaTheme="minorEastAsia" w:hAnsiTheme="minorHAnsi" w:cstheme="minorBidi"/>
          <w:sz w:val="22"/>
          <w:szCs w:val="22"/>
        </w:rPr>
      </w:pPr>
      <w:hyperlink w:anchor="_Toc1731089" w:history="1">
        <w:r w:rsidR="00DB79C3" w:rsidRPr="009A48F7">
          <w:rPr>
            <w:rStyle w:val="Hyperlink"/>
          </w:rPr>
          <w:t>3.</w:t>
        </w:r>
        <w:r w:rsidR="00DB79C3">
          <w:rPr>
            <w:rFonts w:asciiTheme="minorHAnsi" w:eastAsiaTheme="minorEastAsia" w:hAnsiTheme="minorHAnsi" w:cstheme="minorBidi"/>
            <w:sz w:val="22"/>
            <w:szCs w:val="22"/>
          </w:rPr>
          <w:tab/>
        </w:r>
        <w:r w:rsidR="00DB79C3" w:rsidRPr="009A48F7">
          <w:rPr>
            <w:rStyle w:val="Hyperlink"/>
          </w:rPr>
          <w:t>Supersedes</w:t>
        </w:r>
        <w:r w:rsidR="00DB79C3">
          <w:rPr>
            <w:webHidden/>
          </w:rPr>
          <w:tab/>
        </w:r>
        <w:r w:rsidR="00DB79C3">
          <w:rPr>
            <w:webHidden/>
          </w:rPr>
          <w:fldChar w:fldCharType="begin"/>
        </w:r>
        <w:r w:rsidR="00DB79C3">
          <w:rPr>
            <w:webHidden/>
          </w:rPr>
          <w:instrText xml:space="preserve"> PAGEREF _Toc1731089 \h </w:instrText>
        </w:r>
        <w:r w:rsidR="00DB79C3">
          <w:rPr>
            <w:webHidden/>
          </w:rPr>
        </w:r>
        <w:r w:rsidR="00DB79C3">
          <w:rPr>
            <w:webHidden/>
          </w:rPr>
          <w:fldChar w:fldCharType="separate"/>
        </w:r>
        <w:r w:rsidR="00DB79C3">
          <w:rPr>
            <w:webHidden/>
          </w:rPr>
          <w:t>2</w:t>
        </w:r>
        <w:r w:rsidR="00DB79C3">
          <w:rPr>
            <w:webHidden/>
          </w:rPr>
          <w:fldChar w:fldCharType="end"/>
        </w:r>
      </w:hyperlink>
    </w:p>
    <w:p w14:paraId="2CE3A14E" w14:textId="027E2415" w:rsidR="00DB79C3" w:rsidRDefault="00000000">
      <w:pPr>
        <w:pStyle w:val="TOC1"/>
        <w:rPr>
          <w:rFonts w:asciiTheme="minorHAnsi" w:eastAsiaTheme="minorEastAsia" w:hAnsiTheme="minorHAnsi" w:cstheme="minorBidi"/>
          <w:sz w:val="22"/>
          <w:szCs w:val="22"/>
        </w:rPr>
      </w:pPr>
      <w:hyperlink w:anchor="_Toc1731090" w:history="1">
        <w:r w:rsidR="00DB79C3" w:rsidRPr="009A48F7">
          <w:rPr>
            <w:rStyle w:val="Hyperlink"/>
          </w:rPr>
          <w:t>4.</w:t>
        </w:r>
        <w:r w:rsidR="00DB79C3">
          <w:rPr>
            <w:rFonts w:asciiTheme="minorHAnsi" w:eastAsiaTheme="minorEastAsia" w:hAnsiTheme="minorHAnsi" w:cstheme="minorBidi"/>
            <w:sz w:val="22"/>
            <w:szCs w:val="22"/>
          </w:rPr>
          <w:tab/>
        </w:r>
        <w:r w:rsidR="00DB79C3" w:rsidRPr="009A48F7">
          <w:rPr>
            <w:rStyle w:val="Hyperlink"/>
          </w:rPr>
          <w:t>Legislative authority</w:t>
        </w:r>
        <w:r w:rsidR="00DB79C3">
          <w:rPr>
            <w:webHidden/>
          </w:rPr>
          <w:tab/>
        </w:r>
        <w:r w:rsidR="00DB79C3">
          <w:rPr>
            <w:webHidden/>
          </w:rPr>
          <w:fldChar w:fldCharType="begin"/>
        </w:r>
        <w:r w:rsidR="00DB79C3">
          <w:rPr>
            <w:webHidden/>
          </w:rPr>
          <w:instrText xml:space="preserve"> PAGEREF _Toc1731090 \h </w:instrText>
        </w:r>
        <w:r w:rsidR="00DB79C3">
          <w:rPr>
            <w:webHidden/>
          </w:rPr>
        </w:r>
        <w:r w:rsidR="00DB79C3">
          <w:rPr>
            <w:webHidden/>
          </w:rPr>
          <w:fldChar w:fldCharType="separate"/>
        </w:r>
        <w:r w:rsidR="00DB79C3">
          <w:rPr>
            <w:webHidden/>
          </w:rPr>
          <w:t>2</w:t>
        </w:r>
        <w:r w:rsidR="00DB79C3">
          <w:rPr>
            <w:webHidden/>
          </w:rPr>
          <w:fldChar w:fldCharType="end"/>
        </w:r>
      </w:hyperlink>
    </w:p>
    <w:p w14:paraId="33B006A7" w14:textId="17CA20A2" w:rsidR="00DB79C3" w:rsidRDefault="00000000">
      <w:pPr>
        <w:pStyle w:val="TOC1"/>
        <w:rPr>
          <w:rFonts w:asciiTheme="minorHAnsi" w:eastAsiaTheme="minorEastAsia" w:hAnsiTheme="minorHAnsi" w:cstheme="minorBidi"/>
          <w:sz w:val="22"/>
          <w:szCs w:val="22"/>
        </w:rPr>
      </w:pPr>
      <w:hyperlink w:anchor="_Toc1731091" w:history="1">
        <w:r w:rsidR="00DB79C3" w:rsidRPr="009A48F7">
          <w:rPr>
            <w:rStyle w:val="Hyperlink"/>
          </w:rPr>
          <w:t>5.</w:t>
        </w:r>
        <w:r w:rsidR="00DB79C3">
          <w:rPr>
            <w:rFonts w:asciiTheme="minorHAnsi" w:eastAsiaTheme="minorEastAsia" w:hAnsiTheme="minorHAnsi" w:cstheme="minorBidi"/>
            <w:sz w:val="22"/>
            <w:szCs w:val="22"/>
          </w:rPr>
          <w:tab/>
        </w:r>
        <w:r w:rsidR="00DB79C3" w:rsidRPr="009A48F7">
          <w:rPr>
            <w:rStyle w:val="Hyperlink"/>
          </w:rPr>
          <w:t>Application</w:t>
        </w:r>
        <w:r w:rsidR="00DB79C3">
          <w:rPr>
            <w:webHidden/>
          </w:rPr>
          <w:tab/>
        </w:r>
        <w:r w:rsidR="00DB79C3">
          <w:rPr>
            <w:webHidden/>
          </w:rPr>
          <w:fldChar w:fldCharType="begin"/>
        </w:r>
        <w:r w:rsidR="00DB79C3">
          <w:rPr>
            <w:webHidden/>
          </w:rPr>
          <w:instrText xml:space="preserve"> PAGEREF _Toc1731091 \h </w:instrText>
        </w:r>
        <w:r w:rsidR="00DB79C3">
          <w:rPr>
            <w:webHidden/>
          </w:rPr>
        </w:r>
        <w:r w:rsidR="00DB79C3">
          <w:rPr>
            <w:webHidden/>
          </w:rPr>
          <w:fldChar w:fldCharType="separate"/>
        </w:r>
        <w:r w:rsidR="00DB79C3">
          <w:rPr>
            <w:webHidden/>
          </w:rPr>
          <w:t>2</w:t>
        </w:r>
        <w:r w:rsidR="00DB79C3">
          <w:rPr>
            <w:webHidden/>
          </w:rPr>
          <w:fldChar w:fldCharType="end"/>
        </w:r>
      </w:hyperlink>
    </w:p>
    <w:p w14:paraId="02FBFBEE" w14:textId="5BB05A16" w:rsidR="00DB79C3" w:rsidRDefault="00000000">
      <w:pPr>
        <w:pStyle w:val="TOC1"/>
        <w:rPr>
          <w:rFonts w:asciiTheme="minorHAnsi" w:eastAsiaTheme="minorEastAsia" w:hAnsiTheme="minorHAnsi" w:cstheme="minorBidi"/>
          <w:sz w:val="22"/>
          <w:szCs w:val="22"/>
        </w:rPr>
      </w:pPr>
      <w:hyperlink w:anchor="_Toc1731092" w:history="1">
        <w:r w:rsidR="00DB79C3" w:rsidRPr="009A48F7">
          <w:rPr>
            <w:rStyle w:val="Hyperlink"/>
          </w:rPr>
          <w:t>6.</w:t>
        </w:r>
        <w:r w:rsidR="00DB79C3">
          <w:rPr>
            <w:rFonts w:asciiTheme="minorHAnsi" w:eastAsiaTheme="minorEastAsia" w:hAnsiTheme="minorHAnsi" w:cstheme="minorBidi"/>
            <w:sz w:val="22"/>
            <w:szCs w:val="22"/>
          </w:rPr>
          <w:tab/>
        </w:r>
        <w:r w:rsidR="00DB79C3" w:rsidRPr="009A48F7">
          <w:rPr>
            <w:rStyle w:val="Hyperlink"/>
          </w:rPr>
          <w:t>Related information</w:t>
        </w:r>
        <w:r w:rsidR="00DB79C3">
          <w:rPr>
            <w:webHidden/>
          </w:rPr>
          <w:tab/>
        </w:r>
        <w:r w:rsidR="00DB79C3">
          <w:rPr>
            <w:webHidden/>
          </w:rPr>
          <w:fldChar w:fldCharType="begin"/>
        </w:r>
        <w:r w:rsidR="00DB79C3">
          <w:rPr>
            <w:webHidden/>
          </w:rPr>
          <w:instrText xml:space="preserve"> PAGEREF _Toc1731092 \h </w:instrText>
        </w:r>
        <w:r w:rsidR="00DB79C3">
          <w:rPr>
            <w:webHidden/>
          </w:rPr>
        </w:r>
        <w:r w:rsidR="00DB79C3">
          <w:rPr>
            <w:webHidden/>
          </w:rPr>
          <w:fldChar w:fldCharType="separate"/>
        </w:r>
        <w:r w:rsidR="00DB79C3">
          <w:rPr>
            <w:webHidden/>
          </w:rPr>
          <w:t>3</w:t>
        </w:r>
        <w:r w:rsidR="00DB79C3">
          <w:rPr>
            <w:webHidden/>
          </w:rPr>
          <w:fldChar w:fldCharType="end"/>
        </w:r>
      </w:hyperlink>
    </w:p>
    <w:p w14:paraId="17FC82F9" w14:textId="6E0C070B" w:rsidR="00DB79C3" w:rsidRDefault="00000000">
      <w:pPr>
        <w:pStyle w:val="TOC1"/>
        <w:rPr>
          <w:rFonts w:asciiTheme="minorHAnsi" w:eastAsiaTheme="minorEastAsia" w:hAnsiTheme="minorHAnsi" w:cstheme="minorBidi"/>
          <w:sz w:val="22"/>
          <w:szCs w:val="22"/>
        </w:rPr>
      </w:pPr>
      <w:hyperlink w:anchor="_Toc1731093" w:history="1">
        <w:r w:rsidR="00DB79C3" w:rsidRPr="009A48F7">
          <w:rPr>
            <w:rStyle w:val="Hyperlink"/>
          </w:rPr>
          <w:t>7.</w:t>
        </w:r>
        <w:r w:rsidR="00DB79C3">
          <w:rPr>
            <w:rFonts w:asciiTheme="minorHAnsi" w:eastAsiaTheme="minorEastAsia" w:hAnsiTheme="minorHAnsi" w:cstheme="minorBidi"/>
            <w:sz w:val="22"/>
            <w:szCs w:val="22"/>
          </w:rPr>
          <w:tab/>
        </w:r>
        <w:r w:rsidR="00DB79C3" w:rsidRPr="009A48F7">
          <w:rPr>
            <w:rStyle w:val="Hyperlink"/>
          </w:rPr>
          <w:t>Principles</w:t>
        </w:r>
        <w:r w:rsidR="00DB79C3">
          <w:rPr>
            <w:webHidden/>
          </w:rPr>
          <w:tab/>
        </w:r>
        <w:r w:rsidR="00DB79C3">
          <w:rPr>
            <w:webHidden/>
          </w:rPr>
          <w:fldChar w:fldCharType="begin"/>
        </w:r>
        <w:r w:rsidR="00DB79C3">
          <w:rPr>
            <w:webHidden/>
          </w:rPr>
          <w:instrText xml:space="preserve"> PAGEREF _Toc1731093 \h </w:instrText>
        </w:r>
        <w:r w:rsidR="00DB79C3">
          <w:rPr>
            <w:webHidden/>
          </w:rPr>
        </w:r>
        <w:r w:rsidR="00DB79C3">
          <w:rPr>
            <w:webHidden/>
          </w:rPr>
          <w:fldChar w:fldCharType="separate"/>
        </w:r>
        <w:r w:rsidR="00DB79C3">
          <w:rPr>
            <w:webHidden/>
          </w:rPr>
          <w:t>3</w:t>
        </w:r>
        <w:r w:rsidR="00DB79C3">
          <w:rPr>
            <w:webHidden/>
          </w:rPr>
          <w:fldChar w:fldCharType="end"/>
        </w:r>
      </w:hyperlink>
    </w:p>
    <w:p w14:paraId="4D395610" w14:textId="6E4E0880" w:rsidR="00DB79C3" w:rsidRDefault="00000000">
      <w:pPr>
        <w:pStyle w:val="TOC1"/>
        <w:rPr>
          <w:rFonts w:asciiTheme="minorHAnsi" w:eastAsiaTheme="minorEastAsia" w:hAnsiTheme="minorHAnsi" w:cstheme="minorBidi"/>
          <w:sz w:val="22"/>
          <w:szCs w:val="22"/>
        </w:rPr>
      </w:pPr>
      <w:hyperlink w:anchor="_Toc1731094" w:history="1">
        <w:r w:rsidR="00DB79C3" w:rsidRPr="009A48F7">
          <w:rPr>
            <w:rStyle w:val="Hyperlink"/>
          </w:rPr>
          <w:t>8.</w:t>
        </w:r>
        <w:r w:rsidR="00DB79C3">
          <w:rPr>
            <w:rFonts w:asciiTheme="minorHAnsi" w:eastAsiaTheme="minorEastAsia" w:hAnsiTheme="minorHAnsi" w:cstheme="minorBidi"/>
            <w:sz w:val="22"/>
            <w:szCs w:val="22"/>
          </w:rPr>
          <w:tab/>
        </w:r>
        <w:r w:rsidR="00DB79C3" w:rsidRPr="009A48F7">
          <w:rPr>
            <w:rStyle w:val="Hyperlink"/>
          </w:rPr>
          <w:t>What are the first steps towards an IME?</w:t>
        </w:r>
        <w:r w:rsidR="00DB79C3">
          <w:rPr>
            <w:webHidden/>
          </w:rPr>
          <w:tab/>
        </w:r>
        <w:r w:rsidR="00DB79C3">
          <w:rPr>
            <w:webHidden/>
          </w:rPr>
          <w:fldChar w:fldCharType="begin"/>
        </w:r>
        <w:r w:rsidR="00DB79C3">
          <w:rPr>
            <w:webHidden/>
          </w:rPr>
          <w:instrText xml:space="preserve"> PAGEREF _Toc1731094 \h </w:instrText>
        </w:r>
        <w:r w:rsidR="00DB79C3">
          <w:rPr>
            <w:webHidden/>
          </w:rPr>
        </w:r>
        <w:r w:rsidR="00DB79C3">
          <w:rPr>
            <w:webHidden/>
          </w:rPr>
          <w:fldChar w:fldCharType="separate"/>
        </w:r>
        <w:r w:rsidR="00DB79C3">
          <w:rPr>
            <w:webHidden/>
          </w:rPr>
          <w:t>4</w:t>
        </w:r>
        <w:r w:rsidR="00DB79C3">
          <w:rPr>
            <w:webHidden/>
          </w:rPr>
          <w:fldChar w:fldCharType="end"/>
        </w:r>
      </w:hyperlink>
    </w:p>
    <w:p w14:paraId="2BA778DC" w14:textId="6022F494" w:rsidR="00DB79C3" w:rsidRDefault="00000000">
      <w:pPr>
        <w:pStyle w:val="TOC1"/>
        <w:rPr>
          <w:rFonts w:asciiTheme="minorHAnsi" w:eastAsiaTheme="minorEastAsia" w:hAnsiTheme="minorHAnsi" w:cstheme="minorBidi"/>
          <w:sz w:val="22"/>
          <w:szCs w:val="22"/>
        </w:rPr>
      </w:pPr>
      <w:hyperlink w:anchor="_Toc1731095" w:history="1">
        <w:r w:rsidR="00DB79C3" w:rsidRPr="009A48F7">
          <w:rPr>
            <w:rStyle w:val="Hyperlink"/>
          </w:rPr>
          <w:t>9.</w:t>
        </w:r>
        <w:r w:rsidR="00DB79C3">
          <w:rPr>
            <w:rFonts w:asciiTheme="minorHAnsi" w:eastAsiaTheme="minorEastAsia" w:hAnsiTheme="minorHAnsi" w:cstheme="minorBidi"/>
            <w:sz w:val="22"/>
            <w:szCs w:val="22"/>
          </w:rPr>
          <w:tab/>
        </w:r>
        <w:r w:rsidR="00DB79C3" w:rsidRPr="009A48F7">
          <w:rPr>
            <w:rStyle w:val="Hyperlink"/>
          </w:rPr>
          <w:t>Decision making – applying sections 174-179 of the PS Act</w:t>
        </w:r>
        <w:r w:rsidR="00DB79C3">
          <w:rPr>
            <w:webHidden/>
          </w:rPr>
          <w:tab/>
        </w:r>
        <w:r w:rsidR="00DB79C3">
          <w:rPr>
            <w:webHidden/>
          </w:rPr>
          <w:fldChar w:fldCharType="begin"/>
        </w:r>
        <w:r w:rsidR="00DB79C3">
          <w:rPr>
            <w:webHidden/>
          </w:rPr>
          <w:instrText xml:space="preserve"> PAGEREF _Toc1731095 \h </w:instrText>
        </w:r>
        <w:r w:rsidR="00DB79C3">
          <w:rPr>
            <w:webHidden/>
          </w:rPr>
        </w:r>
        <w:r w:rsidR="00DB79C3">
          <w:rPr>
            <w:webHidden/>
          </w:rPr>
          <w:fldChar w:fldCharType="separate"/>
        </w:r>
        <w:r w:rsidR="00DB79C3">
          <w:rPr>
            <w:webHidden/>
          </w:rPr>
          <w:t>5</w:t>
        </w:r>
        <w:r w:rsidR="00DB79C3">
          <w:rPr>
            <w:webHidden/>
          </w:rPr>
          <w:fldChar w:fldCharType="end"/>
        </w:r>
      </w:hyperlink>
    </w:p>
    <w:p w14:paraId="52D4499E" w14:textId="3A1B4DC4" w:rsidR="00DB79C3" w:rsidRDefault="00000000">
      <w:pPr>
        <w:pStyle w:val="TOC1"/>
        <w:rPr>
          <w:rFonts w:asciiTheme="minorHAnsi" w:eastAsiaTheme="minorEastAsia" w:hAnsiTheme="minorHAnsi" w:cstheme="minorBidi"/>
          <w:sz w:val="22"/>
          <w:szCs w:val="22"/>
        </w:rPr>
      </w:pPr>
      <w:hyperlink w:anchor="_Toc1731096" w:history="1">
        <w:r w:rsidR="00DB79C3" w:rsidRPr="009A48F7">
          <w:rPr>
            <w:rStyle w:val="Hyperlink"/>
          </w:rPr>
          <w:t>10.</w:t>
        </w:r>
        <w:r w:rsidR="00DB79C3">
          <w:rPr>
            <w:rFonts w:asciiTheme="minorHAnsi" w:eastAsiaTheme="minorEastAsia" w:hAnsiTheme="minorHAnsi" w:cstheme="minorBidi"/>
            <w:sz w:val="22"/>
            <w:szCs w:val="22"/>
          </w:rPr>
          <w:tab/>
        </w:r>
        <w:r w:rsidR="00DB79C3" w:rsidRPr="009A48F7">
          <w:rPr>
            <w:rStyle w:val="Hyperlink"/>
          </w:rPr>
          <w:t>The IME process</w:t>
        </w:r>
        <w:r w:rsidR="00DB79C3">
          <w:rPr>
            <w:webHidden/>
          </w:rPr>
          <w:tab/>
        </w:r>
        <w:r w:rsidR="00DB79C3">
          <w:rPr>
            <w:webHidden/>
          </w:rPr>
          <w:fldChar w:fldCharType="begin"/>
        </w:r>
        <w:r w:rsidR="00DB79C3">
          <w:rPr>
            <w:webHidden/>
          </w:rPr>
          <w:instrText xml:space="preserve"> PAGEREF _Toc1731096 \h </w:instrText>
        </w:r>
        <w:r w:rsidR="00DB79C3">
          <w:rPr>
            <w:webHidden/>
          </w:rPr>
        </w:r>
        <w:r w:rsidR="00DB79C3">
          <w:rPr>
            <w:webHidden/>
          </w:rPr>
          <w:fldChar w:fldCharType="separate"/>
        </w:r>
        <w:r w:rsidR="00DB79C3">
          <w:rPr>
            <w:webHidden/>
          </w:rPr>
          <w:t>7</w:t>
        </w:r>
        <w:r w:rsidR="00DB79C3">
          <w:rPr>
            <w:webHidden/>
          </w:rPr>
          <w:fldChar w:fldCharType="end"/>
        </w:r>
      </w:hyperlink>
    </w:p>
    <w:p w14:paraId="351906FE" w14:textId="75CE41EB" w:rsidR="00DB79C3" w:rsidRDefault="00000000">
      <w:pPr>
        <w:pStyle w:val="TOC1"/>
        <w:rPr>
          <w:rFonts w:asciiTheme="minorHAnsi" w:eastAsiaTheme="minorEastAsia" w:hAnsiTheme="minorHAnsi" w:cstheme="minorBidi"/>
          <w:sz w:val="22"/>
          <w:szCs w:val="22"/>
        </w:rPr>
      </w:pPr>
      <w:hyperlink w:anchor="_Toc1731097" w:history="1">
        <w:r w:rsidR="00DB79C3" w:rsidRPr="009A48F7">
          <w:rPr>
            <w:rStyle w:val="Hyperlink"/>
          </w:rPr>
          <w:t>11.</w:t>
        </w:r>
        <w:r w:rsidR="00DB79C3">
          <w:rPr>
            <w:rFonts w:asciiTheme="minorHAnsi" w:eastAsiaTheme="minorEastAsia" w:hAnsiTheme="minorHAnsi" w:cstheme="minorBidi"/>
            <w:sz w:val="22"/>
            <w:szCs w:val="22"/>
          </w:rPr>
          <w:tab/>
        </w:r>
        <w:r w:rsidR="00DB79C3" w:rsidRPr="009A48F7">
          <w:rPr>
            <w:rStyle w:val="Hyperlink"/>
          </w:rPr>
          <w:t>Complaints, appeals and rights of review</w:t>
        </w:r>
        <w:r w:rsidR="00DB79C3">
          <w:rPr>
            <w:webHidden/>
          </w:rPr>
          <w:tab/>
        </w:r>
        <w:r w:rsidR="00DB79C3">
          <w:rPr>
            <w:webHidden/>
          </w:rPr>
          <w:fldChar w:fldCharType="begin"/>
        </w:r>
        <w:r w:rsidR="00DB79C3">
          <w:rPr>
            <w:webHidden/>
          </w:rPr>
          <w:instrText xml:space="preserve"> PAGEREF _Toc1731097 \h </w:instrText>
        </w:r>
        <w:r w:rsidR="00DB79C3">
          <w:rPr>
            <w:webHidden/>
          </w:rPr>
        </w:r>
        <w:r w:rsidR="00DB79C3">
          <w:rPr>
            <w:webHidden/>
          </w:rPr>
          <w:fldChar w:fldCharType="separate"/>
        </w:r>
        <w:r w:rsidR="00DB79C3">
          <w:rPr>
            <w:webHidden/>
          </w:rPr>
          <w:t>13</w:t>
        </w:r>
        <w:r w:rsidR="00DB79C3">
          <w:rPr>
            <w:webHidden/>
          </w:rPr>
          <w:fldChar w:fldCharType="end"/>
        </w:r>
      </w:hyperlink>
    </w:p>
    <w:p w14:paraId="1C2E1AE3" w14:textId="44200623" w:rsidR="00DB79C3" w:rsidRDefault="00000000">
      <w:pPr>
        <w:pStyle w:val="TOC1"/>
        <w:rPr>
          <w:rFonts w:asciiTheme="minorHAnsi" w:eastAsiaTheme="minorEastAsia" w:hAnsiTheme="minorHAnsi" w:cstheme="minorBidi"/>
          <w:sz w:val="22"/>
          <w:szCs w:val="22"/>
        </w:rPr>
      </w:pPr>
      <w:hyperlink w:anchor="_Toc1731098" w:history="1">
        <w:r w:rsidR="00DB79C3" w:rsidRPr="009A48F7">
          <w:rPr>
            <w:rStyle w:val="Hyperlink"/>
          </w:rPr>
          <w:t>12.</w:t>
        </w:r>
        <w:r w:rsidR="00DB79C3">
          <w:rPr>
            <w:rFonts w:asciiTheme="minorHAnsi" w:eastAsiaTheme="minorEastAsia" w:hAnsiTheme="minorHAnsi" w:cstheme="minorBidi"/>
            <w:sz w:val="22"/>
            <w:szCs w:val="22"/>
          </w:rPr>
          <w:tab/>
        </w:r>
        <w:r w:rsidR="00DB79C3" w:rsidRPr="009A48F7">
          <w:rPr>
            <w:rStyle w:val="Hyperlink"/>
          </w:rPr>
          <w:t>Glossary</w:t>
        </w:r>
        <w:r w:rsidR="00DB79C3">
          <w:rPr>
            <w:webHidden/>
          </w:rPr>
          <w:tab/>
        </w:r>
        <w:r w:rsidR="00DB79C3">
          <w:rPr>
            <w:webHidden/>
          </w:rPr>
          <w:fldChar w:fldCharType="begin"/>
        </w:r>
        <w:r w:rsidR="00DB79C3">
          <w:rPr>
            <w:webHidden/>
          </w:rPr>
          <w:instrText xml:space="preserve"> PAGEREF _Toc1731098 \h </w:instrText>
        </w:r>
        <w:r w:rsidR="00DB79C3">
          <w:rPr>
            <w:webHidden/>
          </w:rPr>
        </w:r>
        <w:r w:rsidR="00DB79C3">
          <w:rPr>
            <w:webHidden/>
          </w:rPr>
          <w:fldChar w:fldCharType="separate"/>
        </w:r>
        <w:r w:rsidR="00DB79C3">
          <w:rPr>
            <w:webHidden/>
          </w:rPr>
          <w:t>14</w:t>
        </w:r>
        <w:r w:rsidR="00DB79C3">
          <w:rPr>
            <w:webHidden/>
          </w:rPr>
          <w:fldChar w:fldCharType="end"/>
        </w:r>
      </w:hyperlink>
    </w:p>
    <w:p w14:paraId="386358EB" w14:textId="72FB57FC" w:rsidR="00A32FC5" w:rsidRPr="00A33746" w:rsidRDefault="000F5523" w:rsidP="00A33746">
      <w:r>
        <w:rPr>
          <w:noProof/>
          <w:sz w:val="24"/>
        </w:rPr>
        <w:fldChar w:fldCharType="end"/>
      </w:r>
    </w:p>
    <w:p w14:paraId="7FC71D2C" w14:textId="77777777" w:rsidR="00870B5B" w:rsidRDefault="00870B5B">
      <w:r>
        <w:br w:type="page"/>
      </w:r>
    </w:p>
    <w:p w14:paraId="1D386E6F" w14:textId="3D41EB9C" w:rsidR="00A42590" w:rsidRPr="00A42590" w:rsidRDefault="00DB79C3" w:rsidP="00A42590">
      <w:r w:rsidRPr="00DD0784">
        <w:rPr>
          <w:noProof/>
          <w:lang w:val="en-US" w:eastAsia="en-US"/>
        </w:rPr>
        <w:lastRenderedPageBreak/>
        <mc:AlternateContent>
          <mc:Choice Requires="wps">
            <w:drawing>
              <wp:anchor distT="0" distB="0" distL="114300" distR="114300" simplePos="0" relativeHeight="251691008" behindDoc="0" locked="0" layoutInCell="1" allowOverlap="1" wp14:anchorId="05943324" wp14:editId="701BA008">
                <wp:simplePos x="0" y="0"/>
                <wp:positionH relativeFrom="column">
                  <wp:posOffset>-3008948</wp:posOffset>
                </wp:positionH>
                <wp:positionV relativeFrom="paragraph">
                  <wp:posOffset>-1052830</wp:posOffset>
                </wp:positionV>
                <wp:extent cx="9691688" cy="1599565"/>
                <wp:effectExtent l="0" t="0" r="5080" b="635"/>
                <wp:wrapNone/>
                <wp:docPr id="6" name="Freeform 6"/>
                <wp:cNvGraphicFramePr/>
                <a:graphic xmlns:a="http://schemas.openxmlformats.org/drawingml/2006/main">
                  <a:graphicData uri="http://schemas.microsoft.com/office/word/2010/wordprocessingShape">
                    <wps:wsp>
                      <wps:cNvSpPr/>
                      <wps:spPr>
                        <a:xfrm>
                          <a:off x="0" y="0"/>
                          <a:ext cx="9691688" cy="1599565"/>
                        </a:xfrm>
                        <a:custGeom>
                          <a:avLst/>
                          <a:gdLst>
                            <a:gd name="connsiteX0" fmla="*/ 0 w 5645188"/>
                            <a:gd name="connsiteY0" fmla="*/ 27377 h 1023909"/>
                            <a:gd name="connsiteX1" fmla="*/ 5645188 w 5645188"/>
                            <a:gd name="connsiteY1" fmla="*/ 1023909 h 1023909"/>
                            <a:gd name="connsiteX2" fmla="*/ 5601384 w 5645188"/>
                            <a:gd name="connsiteY2" fmla="*/ 0 h 1023909"/>
                            <a:gd name="connsiteX3" fmla="*/ 0 w 5645188"/>
                            <a:gd name="connsiteY3" fmla="*/ 27377 h 1023909"/>
                          </a:gdLst>
                          <a:ahLst/>
                          <a:cxnLst>
                            <a:cxn ang="0">
                              <a:pos x="connsiteX0" y="connsiteY0"/>
                            </a:cxn>
                            <a:cxn ang="0">
                              <a:pos x="connsiteX1" y="connsiteY1"/>
                            </a:cxn>
                            <a:cxn ang="0">
                              <a:pos x="connsiteX2" y="connsiteY2"/>
                            </a:cxn>
                            <a:cxn ang="0">
                              <a:pos x="connsiteX3" y="connsiteY3"/>
                            </a:cxn>
                          </a:cxnLst>
                          <a:rect l="l" t="t" r="r" b="b"/>
                          <a:pathLst>
                            <a:path w="5645188" h="1023909">
                              <a:moveTo>
                                <a:pt x="0" y="27377"/>
                              </a:moveTo>
                              <a:lnTo>
                                <a:pt x="5645188" y="1023909"/>
                              </a:lnTo>
                              <a:lnTo>
                                <a:pt x="5601384" y="0"/>
                              </a:lnTo>
                              <a:lnTo>
                                <a:pt x="0" y="27377"/>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415E1" id="Freeform 6" o:spid="_x0000_s1026" style="position:absolute;margin-left:-236.95pt;margin-top:-82.9pt;width:763.15pt;height:12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5188,102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" path="m,27377r5645188,996532l5601384,,,27377xe" fillcolor="#d0f0e8" stroked="f" strokeweight="1pt">
                <v:stroke joinstyle="miter"/>
                <v:path arrowok="t" o:connecttype="custom" o:connectlocs="0,42769;9691688,1599565;9616485,0;0,42769" o:connectangles="0,0,0,0"/>
              </v:shape>
            </w:pict>
          </mc:Fallback>
        </mc:AlternateContent>
      </w:r>
    </w:p>
    <w:bookmarkStart w:id="0" w:name="_Toc1731087"/>
    <w:p w14:paraId="66DDC841" w14:textId="5E5A2072" w:rsidR="00216CF8" w:rsidRPr="00216CF8" w:rsidRDefault="00696425" w:rsidP="00942BBF">
      <w:pPr>
        <w:pStyle w:val="Heading1"/>
        <w:numPr>
          <w:ilvl w:val="0"/>
          <w:numId w:val="32"/>
        </w:numPr>
        <w:rPr>
          <w:rFonts w:eastAsia="SimSun"/>
          <w:lang w:eastAsia="zh-CN"/>
        </w:rPr>
      </w:pPr>
      <w:r w:rsidRPr="00DD0784">
        <w:rPr>
          <w:noProof/>
          <w:lang w:val="en-US" w:eastAsia="en-US"/>
        </w:rPr>
        <mc:AlternateContent>
          <mc:Choice Requires="wps">
            <w:drawing>
              <wp:anchor distT="0" distB="0" distL="114300" distR="114300" simplePos="0" relativeHeight="251692032" behindDoc="0" locked="0" layoutInCell="1" allowOverlap="1" wp14:anchorId="2A624597" wp14:editId="67FE1DD0">
                <wp:simplePos x="0" y="0"/>
                <wp:positionH relativeFrom="column">
                  <wp:posOffset>5260976</wp:posOffset>
                </wp:positionH>
                <wp:positionV relativeFrom="paragraph">
                  <wp:posOffset>-1218606</wp:posOffset>
                </wp:positionV>
                <wp:extent cx="1429127" cy="1449614"/>
                <wp:effectExtent l="0" t="171450" r="0" b="36830"/>
                <wp:wrapNone/>
                <wp:docPr id="2" name="Teardrop 4"/>
                <wp:cNvGraphicFramePr/>
                <a:graphic xmlns:a="http://schemas.openxmlformats.org/drawingml/2006/main">
                  <a:graphicData uri="http://schemas.microsoft.com/office/word/2010/wordprocessingShape">
                    <wps:wsp>
                      <wps:cNvSpPr/>
                      <wps:spPr>
                        <a:xfrm rot="20831754">
                          <a:off x="0" y="0"/>
                          <a:ext cx="1429127" cy="1449614"/>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FF66D3A" id="Teardrop 4" o:spid="_x0000_s1026" style="position:absolute;margin-left:414.25pt;margin-top:-95.95pt;width:112.55pt;height:114.15pt;rotation:-839129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" path="m,253893c,145290,95619,78296,196644,57249,286607,37325,361417,19083,443803,,427808,73124,410125,159722,393288,253893,376451,348064,305247,450537,196644,450537,88041,450537,,362496,,253893xe" filled="f" strokecolor="white [3212]">
                <v:stroke joinstyle="miter"/>
                <v:path arrowok="t" o:connecttype="custom" o:connectlocs="0,816907;633230,184200;1429127,0;1266459,816907;633230,1449614;0,816907" o:connectangles="0,0,0,0,0,0"/>
              </v:shape>
            </w:pict>
          </mc:Fallback>
        </mc:AlternateContent>
      </w:r>
      <w:bookmarkStart w:id="1" w:name="Instructional"/>
      <w:r w:rsidR="00216CF8" w:rsidRPr="00216CF8">
        <w:rPr>
          <w:rFonts w:eastAsia="SimSun"/>
          <w:lang w:eastAsia="zh-CN"/>
        </w:rPr>
        <w:t>Purpose</w:t>
      </w:r>
      <w:bookmarkEnd w:id="0"/>
    </w:p>
    <w:p w14:paraId="30DCEC18" w14:textId="078A52C7" w:rsidR="0062071F" w:rsidRPr="0033098C" w:rsidRDefault="0062071F" w:rsidP="00216CF8">
      <w:pPr>
        <w:spacing w:before="120" w:after="120" w:line="276" w:lineRule="auto"/>
      </w:pPr>
      <w:r w:rsidRPr="0033098C">
        <w:t>This guideline supports the Queensland Government’s commitment to workplace health, safety and wellbeing for all its employees, and</w:t>
      </w:r>
      <w:r w:rsidR="008B1483">
        <w:t xml:space="preserve"> its commitment</w:t>
      </w:r>
      <w:r w:rsidRPr="0033098C">
        <w:t xml:space="preserve"> to continuing employment.</w:t>
      </w:r>
    </w:p>
    <w:p w14:paraId="65584D89" w14:textId="2491C593" w:rsidR="00216CF8" w:rsidRDefault="0062071F" w:rsidP="00216CF8">
      <w:pPr>
        <w:spacing w:before="120" w:after="120" w:line="276" w:lineRule="auto"/>
      </w:pPr>
      <w:r w:rsidRPr="0033098C">
        <w:t>Th</w:t>
      </w:r>
      <w:r w:rsidR="00996FA9">
        <w:t>is</w:t>
      </w:r>
      <w:r w:rsidRPr="0033098C">
        <w:t xml:space="preserve"> guideline</w:t>
      </w:r>
      <w:r w:rsidR="00216CF8" w:rsidRPr="0033098C">
        <w:t xml:space="preserve"> </w:t>
      </w:r>
      <w:r w:rsidR="007169E9" w:rsidRPr="0033098C">
        <w:t>is intended to</w:t>
      </w:r>
      <w:r w:rsidR="00216CF8" w:rsidRPr="0033098C">
        <w:t xml:space="preserve"> assist managers and employees in early discussions and guide steps to support employees </w:t>
      </w:r>
      <w:r w:rsidR="00881947" w:rsidRPr="0033098C">
        <w:t xml:space="preserve">where their workplace performance is affected or they are absent from work, </w:t>
      </w:r>
      <w:r w:rsidR="00996FA9">
        <w:t xml:space="preserve">and </w:t>
      </w:r>
      <w:r w:rsidR="00600A42" w:rsidRPr="0033098C">
        <w:t>where there is a reasonable suspicion it is</w:t>
      </w:r>
      <w:r w:rsidR="00881947" w:rsidRPr="0033098C">
        <w:t xml:space="preserve"> </w:t>
      </w:r>
      <w:r w:rsidR="00600A42" w:rsidRPr="0033098C">
        <w:t xml:space="preserve">the </w:t>
      </w:r>
      <w:r w:rsidR="00881947" w:rsidRPr="0033098C">
        <w:t>result of</w:t>
      </w:r>
      <w:r w:rsidR="00216CF8" w:rsidRPr="0033098C">
        <w:t xml:space="preserve"> a mental o</w:t>
      </w:r>
      <w:r w:rsidR="00881947" w:rsidRPr="0033098C">
        <w:t>r physical illness or disability</w:t>
      </w:r>
      <w:r w:rsidR="00216CF8" w:rsidRPr="0033098C">
        <w:t xml:space="preserve">. </w:t>
      </w:r>
      <w:r w:rsidR="000C57BC" w:rsidRPr="0033098C">
        <w:t>A</w:t>
      </w:r>
      <w:r w:rsidRPr="0033098C">
        <w:t xml:space="preserve">ll employees are </w:t>
      </w:r>
      <w:r w:rsidR="000C57BC" w:rsidRPr="0033098C">
        <w:t xml:space="preserve">to be </w:t>
      </w:r>
      <w:r w:rsidRPr="0033098C">
        <w:t>supported with sensitivity and respect</w:t>
      </w:r>
      <w:r w:rsidR="00881947" w:rsidRPr="0033098C">
        <w:t>.</w:t>
      </w:r>
    </w:p>
    <w:p w14:paraId="0755546C" w14:textId="1B3BA950" w:rsidR="00375EC1" w:rsidRPr="00216CF8" w:rsidRDefault="00375EC1" w:rsidP="00216CF8">
      <w:pPr>
        <w:spacing w:before="120" w:after="120" w:line="276" w:lineRule="auto"/>
      </w:pPr>
      <w:r>
        <w:t>This guideli</w:t>
      </w:r>
      <w:r w:rsidR="002D1CB2">
        <w:t xml:space="preserve">ne should be read with </w:t>
      </w:r>
      <w:r w:rsidR="0096259D" w:rsidRPr="0096259D">
        <w:t>Independent medical examinations Directive (10/20)</w:t>
      </w:r>
      <w:r w:rsidR="0096259D">
        <w:t xml:space="preserve"> </w:t>
      </w:r>
      <w:r w:rsidR="002D1CB2">
        <w:t xml:space="preserve">under the </w:t>
      </w:r>
      <w:r w:rsidR="002D1CB2" w:rsidRPr="00F02F3A">
        <w:rPr>
          <w:i/>
        </w:rPr>
        <w:t>Public Service Act 2008</w:t>
      </w:r>
      <w:r w:rsidR="002D1CB2">
        <w:t>.</w:t>
      </w:r>
    </w:p>
    <w:p w14:paraId="2638C666" w14:textId="77777777" w:rsidR="00216CF8" w:rsidRPr="00F02F3A" w:rsidRDefault="00216CF8" w:rsidP="00942BBF">
      <w:pPr>
        <w:pStyle w:val="Heading1"/>
        <w:numPr>
          <w:ilvl w:val="0"/>
          <w:numId w:val="32"/>
        </w:numPr>
      </w:pPr>
      <w:bookmarkStart w:id="2" w:name="_Toc1731088"/>
      <w:r w:rsidRPr="00F02F3A">
        <w:t>Effective date</w:t>
      </w:r>
      <w:bookmarkEnd w:id="2"/>
    </w:p>
    <w:p w14:paraId="72A8DF15" w14:textId="131958A0" w:rsidR="00CF3FC5" w:rsidRPr="00CF3FC5" w:rsidRDefault="001C3B69" w:rsidP="00F02F3A">
      <w:pPr>
        <w:pStyle w:val="Bodycopy"/>
        <w:rPr>
          <w:rFonts w:eastAsia="SimSun"/>
          <w:lang w:eastAsia="zh-CN"/>
        </w:rPr>
      </w:pPr>
      <w:r w:rsidRPr="001C3B69">
        <w:rPr>
          <w:rFonts w:eastAsia="SimSun"/>
          <w:lang w:eastAsia="zh-CN"/>
        </w:rPr>
        <w:t>11 February 2019</w:t>
      </w:r>
    </w:p>
    <w:p w14:paraId="6B1FFEFC" w14:textId="77777777" w:rsidR="00216CF8" w:rsidRPr="00F02F3A" w:rsidRDefault="00216CF8" w:rsidP="00942BBF">
      <w:pPr>
        <w:pStyle w:val="Heading1"/>
        <w:numPr>
          <w:ilvl w:val="0"/>
          <w:numId w:val="32"/>
        </w:numPr>
      </w:pPr>
      <w:bookmarkStart w:id="3" w:name="_Toc1731089"/>
      <w:r w:rsidRPr="00F02F3A">
        <w:t>Supersedes</w:t>
      </w:r>
      <w:bookmarkEnd w:id="3"/>
      <w:r w:rsidRPr="00F02F3A">
        <w:t xml:space="preserve"> </w:t>
      </w:r>
    </w:p>
    <w:p w14:paraId="4585F1C6" w14:textId="607CAED2" w:rsidR="00216CF8" w:rsidRPr="00216CF8" w:rsidRDefault="00216CF8" w:rsidP="00216CF8">
      <w:pPr>
        <w:spacing w:before="240" w:after="120" w:line="276" w:lineRule="auto"/>
        <w:rPr>
          <w:rFonts w:eastAsia="SimSun"/>
          <w:szCs w:val="22"/>
          <w:lang w:eastAsia="zh-CN"/>
        </w:rPr>
      </w:pPr>
      <w:r w:rsidRPr="00216CF8">
        <w:rPr>
          <w:rFonts w:eastAsia="SimSun"/>
          <w:sz w:val="23"/>
          <w:szCs w:val="23"/>
          <w:lang w:eastAsia="zh-CN"/>
        </w:rPr>
        <w:t>Commission Chief Executive Guideline 03/13: Mental or physical incapacity</w:t>
      </w:r>
      <w:r w:rsidRPr="00216CF8" w:rsidDel="00851454">
        <w:rPr>
          <w:rFonts w:eastAsia="SimSun"/>
          <w:szCs w:val="22"/>
          <w:lang w:eastAsia="zh-CN"/>
        </w:rPr>
        <w:t xml:space="preserve"> </w:t>
      </w:r>
    </w:p>
    <w:p w14:paraId="3E9905E2" w14:textId="77777777" w:rsidR="00216CF8" w:rsidRPr="00F02F3A" w:rsidRDefault="00216CF8" w:rsidP="00942BBF">
      <w:pPr>
        <w:pStyle w:val="Heading1"/>
        <w:numPr>
          <w:ilvl w:val="0"/>
          <w:numId w:val="32"/>
        </w:numPr>
      </w:pPr>
      <w:bookmarkStart w:id="4" w:name="_Toc1731090"/>
      <w:r w:rsidRPr="00F02F3A">
        <w:t>Legislative authority</w:t>
      </w:r>
      <w:bookmarkEnd w:id="4"/>
    </w:p>
    <w:p w14:paraId="0F83777C" w14:textId="17B90006" w:rsidR="00216CF8" w:rsidRPr="00216CF8" w:rsidRDefault="00216CF8" w:rsidP="00216CF8">
      <w:pPr>
        <w:spacing w:before="120" w:after="120" w:line="276" w:lineRule="auto"/>
        <w:rPr>
          <w:rFonts w:eastAsia="SimSun"/>
          <w:b/>
          <w:szCs w:val="22"/>
          <w:lang w:eastAsia="zh-CN"/>
        </w:rPr>
      </w:pPr>
      <w:r w:rsidRPr="00216CF8">
        <w:rPr>
          <w:rFonts w:eastAsia="SimSun"/>
          <w:szCs w:val="22"/>
          <w:lang w:eastAsia="zh-CN"/>
        </w:rPr>
        <w:t xml:space="preserve">Sections 25(1)(a), (d) and (e), 25(2)(a) and (b)(i), 46(1)(a) – (b), 47, 53(a), sections 174-179AA and Chapter 7 of the </w:t>
      </w:r>
      <w:r w:rsidRPr="00216CF8">
        <w:rPr>
          <w:rFonts w:eastAsia="SimSun"/>
          <w:i/>
          <w:szCs w:val="22"/>
          <w:lang w:eastAsia="zh-CN"/>
        </w:rPr>
        <w:t xml:space="preserve">Public Service Act 2008 </w:t>
      </w:r>
      <w:r w:rsidRPr="00216CF8">
        <w:rPr>
          <w:rFonts w:eastAsia="SimSun"/>
          <w:szCs w:val="22"/>
          <w:lang w:eastAsia="zh-CN"/>
        </w:rPr>
        <w:t>(PS Act).</w:t>
      </w:r>
    </w:p>
    <w:p w14:paraId="418B955B" w14:textId="327CA3E9" w:rsidR="00216CF8" w:rsidRPr="00F02F3A" w:rsidRDefault="00216CF8" w:rsidP="00942BBF">
      <w:pPr>
        <w:pStyle w:val="Heading1"/>
        <w:numPr>
          <w:ilvl w:val="0"/>
          <w:numId w:val="32"/>
        </w:numPr>
      </w:pPr>
      <w:bookmarkStart w:id="5" w:name="_Toc1731091"/>
      <w:r w:rsidRPr="00F02F3A">
        <w:t>Application</w:t>
      </w:r>
      <w:bookmarkEnd w:id="5"/>
    </w:p>
    <w:p w14:paraId="22ED9E93" w14:textId="6CBB8340" w:rsidR="00216CF8" w:rsidRPr="00216CF8" w:rsidRDefault="00216CF8" w:rsidP="00216CF8">
      <w:pPr>
        <w:spacing w:before="120" w:after="120" w:line="276" w:lineRule="auto"/>
        <w:rPr>
          <w:rFonts w:eastAsia="SimSun"/>
          <w:i/>
          <w:szCs w:val="22"/>
          <w:lang w:eastAsia="zh-CN"/>
        </w:rPr>
      </w:pPr>
      <w:r w:rsidRPr="00216CF8">
        <w:rPr>
          <w:rFonts w:eastAsia="SimSun"/>
          <w:szCs w:val="22"/>
          <w:lang w:eastAsia="zh-CN"/>
        </w:rPr>
        <w:t>This guideline applies to public service employees and their chief executives (and delegates) in relation to actions and de</w:t>
      </w:r>
      <w:r w:rsidR="00214571">
        <w:rPr>
          <w:rFonts w:eastAsia="SimSun"/>
          <w:szCs w:val="22"/>
          <w:lang w:eastAsia="zh-CN"/>
        </w:rPr>
        <w:t xml:space="preserve">cisions made under sections 174 to </w:t>
      </w:r>
      <w:r w:rsidRPr="00216CF8">
        <w:rPr>
          <w:rFonts w:eastAsia="SimSun"/>
          <w:szCs w:val="22"/>
          <w:lang w:eastAsia="zh-CN"/>
        </w:rPr>
        <w:t xml:space="preserve">179 of the PS Act. Where appropriate, the guidelines also apply to those employees to whom section 174 of the PS Act applies by operation of the </w:t>
      </w:r>
      <w:r w:rsidRPr="00216CF8">
        <w:rPr>
          <w:rFonts w:eastAsia="SimSun"/>
          <w:i/>
          <w:szCs w:val="22"/>
          <w:lang w:eastAsia="zh-CN"/>
        </w:rPr>
        <w:t>Public Service Regulation 20</w:t>
      </w:r>
      <w:r w:rsidR="005E5C5A">
        <w:rPr>
          <w:rFonts w:eastAsia="SimSun"/>
          <w:i/>
          <w:szCs w:val="22"/>
          <w:lang w:eastAsia="zh-CN"/>
        </w:rPr>
        <w:t>1</w:t>
      </w:r>
      <w:r w:rsidRPr="00216CF8">
        <w:rPr>
          <w:rFonts w:eastAsia="SimSun"/>
          <w:i/>
          <w:szCs w:val="22"/>
          <w:lang w:eastAsia="zh-CN"/>
        </w:rPr>
        <w:t>8.</w:t>
      </w:r>
    </w:p>
    <w:p w14:paraId="5511C3E9" w14:textId="172D9445" w:rsidR="00411BBA" w:rsidRDefault="00411BBA" w:rsidP="00216CF8">
      <w:pPr>
        <w:spacing w:before="120" w:after="120" w:line="276" w:lineRule="auto"/>
        <w:rPr>
          <w:rFonts w:eastAsia="SimSun"/>
          <w:szCs w:val="22"/>
          <w:lang w:eastAsia="zh-CN"/>
        </w:rPr>
      </w:pPr>
      <w:r>
        <w:rPr>
          <w:rFonts w:eastAsia="SimSun"/>
          <w:szCs w:val="22"/>
          <w:lang w:eastAsia="zh-CN"/>
        </w:rPr>
        <w:t xml:space="preserve">The guideline does not apply where there is an accepted WorkCover claim and WorkCover has provided, or is responsible to provide, a </w:t>
      </w:r>
      <w:r w:rsidR="00F90EDC">
        <w:rPr>
          <w:rFonts w:eastAsia="SimSun"/>
          <w:szCs w:val="22"/>
          <w:lang w:eastAsia="zh-CN"/>
        </w:rPr>
        <w:t>r</w:t>
      </w:r>
      <w:r>
        <w:rPr>
          <w:rFonts w:eastAsia="SimSun"/>
          <w:szCs w:val="22"/>
          <w:lang w:eastAsia="zh-CN"/>
        </w:rPr>
        <w:t xml:space="preserve">eturn to </w:t>
      </w:r>
      <w:r w:rsidR="00F90EDC">
        <w:rPr>
          <w:rFonts w:eastAsia="SimSun"/>
          <w:szCs w:val="22"/>
          <w:lang w:eastAsia="zh-CN"/>
        </w:rPr>
        <w:t>w</w:t>
      </w:r>
      <w:r>
        <w:rPr>
          <w:rFonts w:eastAsia="SimSun"/>
          <w:szCs w:val="22"/>
          <w:lang w:eastAsia="zh-CN"/>
        </w:rPr>
        <w:t>ork plan for an ill or injured employee.</w:t>
      </w:r>
      <w:r w:rsidR="001760F2">
        <w:rPr>
          <w:rFonts w:eastAsia="SimSun"/>
          <w:szCs w:val="22"/>
          <w:lang w:eastAsia="zh-CN"/>
        </w:rPr>
        <w:t xml:space="preserve"> In that case, an IME is not required as management of the medical condition and any medical examination is through WorkCover.</w:t>
      </w:r>
    </w:p>
    <w:p w14:paraId="205A98B0" w14:textId="215A865E" w:rsidR="00B01385" w:rsidRDefault="00216CF8" w:rsidP="00216CF8">
      <w:pPr>
        <w:spacing w:before="120" w:after="120" w:line="276" w:lineRule="auto"/>
        <w:rPr>
          <w:rFonts w:eastAsia="SimSun"/>
          <w:szCs w:val="22"/>
          <w:lang w:eastAsia="zh-CN"/>
        </w:rPr>
      </w:pPr>
      <w:r w:rsidRPr="00216CF8">
        <w:rPr>
          <w:rFonts w:eastAsia="SimSun"/>
          <w:szCs w:val="22"/>
          <w:lang w:eastAsia="zh-CN"/>
        </w:rPr>
        <w:t xml:space="preserve">The guideline does not apply, and a requirement to submit to an IME is not appropriate, where a person in a participating agency has applied for a voluntary medical retirement under the </w:t>
      </w:r>
      <w:hyperlink r:id="rId13" w:history="1">
        <w:r w:rsidR="003B3C6E">
          <w:rPr>
            <w:rFonts w:eastAsia="SimSun"/>
            <w:color w:val="0000FF"/>
            <w:szCs w:val="22"/>
            <w:u w:val="single"/>
            <w:lang w:eastAsia="zh-CN"/>
          </w:rPr>
          <w:t>Voluntary Medical Retirement (VMR) Scheme (Directive 22/16)</w:t>
        </w:r>
      </w:hyperlink>
      <w:r w:rsidRPr="00216CF8">
        <w:rPr>
          <w:rFonts w:eastAsia="SimSun"/>
          <w:szCs w:val="22"/>
          <w:lang w:eastAsia="zh-CN"/>
        </w:rPr>
        <w:t xml:space="preserve">. </w:t>
      </w:r>
    </w:p>
    <w:p w14:paraId="1AE3BA89" w14:textId="1181D7D6" w:rsidR="00B01385" w:rsidRDefault="00B01385">
      <w:pPr>
        <w:rPr>
          <w:rFonts w:eastAsia="SimSun"/>
          <w:szCs w:val="22"/>
          <w:lang w:eastAsia="zh-CN"/>
        </w:rPr>
      </w:pPr>
      <w:r>
        <w:rPr>
          <w:rFonts w:eastAsia="SimSun"/>
          <w:szCs w:val="22"/>
          <w:lang w:eastAsia="zh-CN"/>
        </w:rPr>
        <w:br w:type="page"/>
      </w:r>
    </w:p>
    <w:p w14:paraId="5D0C0D79" w14:textId="77777777" w:rsidR="00216CF8" w:rsidRPr="00F02F3A" w:rsidRDefault="00216CF8" w:rsidP="00942BBF">
      <w:pPr>
        <w:pStyle w:val="Heading1"/>
        <w:numPr>
          <w:ilvl w:val="0"/>
          <w:numId w:val="32"/>
        </w:numPr>
      </w:pPr>
      <w:bookmarkStart w:id="6" w:name="_Toc1731092"/>
      <w:r w:rsidRPr="00F02F3A">
        <w:lastRenderedPageBreak/>
        <w:t>Related information</w:t>
      </w:r>
      <w:bookmarkEnd w:id="6"/>
    </w:p>
    <w:p w14:paraId="326DD2EB" w14:textId="77777777" w:rsidR="00216CF8" w:rsidRPr="003B3C6E" w:rsidRDefault="00216CF8" w:rsidP="00942BBF">
      <w:pPr>
        <w:pStyle w:val="Bodycopy"/>
        <w:numPr>
          <w:ilvl w:val="0"/>
          <w:numId w:val="35"/>
        </w:numPr>
        <w:rPr>
          <w:rFonts w:eastAsia="SimSun"/>
          <w:i/>
          <w:lang w:eastAsia="zh-CN"/>
        </w:rPr>
      </w:pPr>
      <w:r w:rsidRPr="003B3C6E">
        <w:rPr>
          <w:rFonts w:eastAsia="SimSun"/>
          <w:i/>
          <w:lang w:eastAsia="zh-CN"/>
        </w:rPr>
        <w:t>Public Service Act 2008</w:t>
      </w:r>
    </w:p>
    <w:p w14:paraId="3A4153CB" w14:textId="42191C7A" w:rsidR="00216CF8" w:rsidRPr="003B3C6E" w:rsidRDefault="00216CF8" w:rsidP="00942BBF">
      <w:pPr>
        <w:pStyle w:val="Bodycopy"/>
        <w:numPr>
          <w:ilvl w:val="0"/>
          <w:numId w:val="35"/>
        </w:numPr>
        <w:rPr>
          <w:rFonts w:eastAsia="SimSun"/>
          <w:i/>
          <w:lang w:eastAsia="zh-CN"/>
        </w:rPr>
      </w:pPr>
      <w:r w:rsidRPr="003B3C6E">
        <w:rPr>
          <w:rFonts w:eastAsia="SimSun"/>
          <w:i/>
          <w:lang w:eastAsia="zh-CN"/>
        </w:rPr>
        <w:t>Public Service Regulation 20</w:t>
      </w:r>
      <w:r w:rsidR="005E5C5A" w:rsidRPr="003B3C6E">
        <w:rPr>
          <w:rFonts w:eastAsia="SimSun"/>
          <w:i/>
          <w:lang w:eastAsia="zh-CN"/>
        </w:rPr>
        <w:t>1</w:t>
      </w:r>
      <w:r w:rsidRPr="003B3C6E">
        <w:rPr>
          <w:rFonts w:eastAsia="SimSun"/>
          <w:i/>
          <w:lang w:eastAsia="zh-CN"/>
        </w:rPr>
        <w:t>8</w:t>
      </w:r>
    </w:p>
    <w:p w14:paraId="77386517" w14:textId="351F90CE" w:rsidR="00216CF8" w:rsidRPr="00216CF8" w:rsidRDefault="00216CF8" w:rsidP="00942BBF">
      <w:pPr>
        <w:pStyle w:val="Bodycopy"/>
        <w:numPr>
          <w:ilvl w:val="0"/>
          <w:numId w:val="35"/>
        </w:numPr>
        <w:rPr>
          <w:rFonts w:eastAsia="SimSun"/>
          <w:lang w:eastAsia="zh-CN"/>
        </w:rPr>
      </w:pPr>
      <w:r w:rsidRPr="003B3C6E">
        <w:rPr>
          <w:rFonts w:eastAsia="SimSun"/>
          <w:i/>
          <w:lang w:eastAsia="zh-CN"/>
        </w:rPr>
        <w:t>Anti-Discrimination Act 1991</w:t>
      </w:r>
      <w:r w:rsidRPr="00216CF8">
        <w:rPr>
          <w:rFonts w:eastAsia="SimSun"/>
          <w:lang w:eastAsia="zh-CN"/>
        </w:rPr>
        <w:t xml:space="preserve">, </w:t>
      </w:r>
      <w:r w:rsidRPr="003B3C6E">
        <w:rPr>
          <w:rFonts w:eastAsia="SimSun"/>
          <w:i/>
          <w:lang w:eastAsia="zh-CN"/>
        </w:rPr>
        <w:t>Disability Discrimination Act 1992</w:t>
      </w:r>
      <w:r w:rsidRPr="00216CF8">
        <w:rPr>
          <w:rFonts w:eastAsia="SimSun"/>
          <w:lang w:eastAsia="zh-CN"/>
        </w:rPr>
        <w:t xml:space="preserve"> (C</w:t>
      </w:r>
      <w:r w:rsidR="0093701B">
        <w:rPr>
          <w:rFonts w:eastAsia="SimSun"/>
          <w:lang w:eastAsia="zh-CN"/>
        </w:rPr>
        <w:t>ommonweal</w:t>
      </w:r>
      <w:r w:rsidRPr="00216CF8">
        <w:rPr>
          <w:rFonts w:eastAsia="SimSun"/>
          <w:lang w:eastAsia="zh-CN"/>
        </w:rPr>
        <w:t>th)</w:t>
      </w:r>
    </w:p>
    <w:p w14:paraId="498B1519" w14:textId="77777777" w:rsidR="00216CF8" w:rsidRPr="003B3C6E" w:rsidRDefault="00216CF8" w:rsidP="00942BBF">
      <w:pPr>
        <w:pStyle w:val="Bodycopy"/>
        <w:numPr>
          <w:ilvl w:val="0"/>
          <w:numId w:val="35"/>
        </w:numPr>
        <w:rPr>
          <w:rFonts w:eastAsia="SimSun"/>
          <w:i/>
          <w:lang w:eastAsia="zh-CN"/>
        </w:rPr>
      </w:pPr>
      <w:r w:rsidRPr="003B3C6E">
        <w:rPr>
          <w:rFonts w:eastAsia="SimSun"/>
          <w:i/>
          <w:lang w:eastAsia="zh-CN"/>
        </w:rPr>
        <w:t>Workers’ Compensation and Rehabilitation Act 2003</w:t>
      </w:r>
    </w:p>
    <w:p w14:paraId="77B52FBA" w14:textId="67304245" w:rsidR="00216CF8" w:rsidRPr="00A12CF1" w:rsidRDefault="00216CF8" w:rsidP="00942BBF">
      <w:pPr>
        <w:pStyle w:val="Bodycopy"/>
        <w:numPr>
          <w:ilvl w:val="0"/>
          <w:numId w:val="35"/>
        </w:numPr>
        <w:rPr>
          <w:rFonts w:eastAsia="SimSun"/>
          <w:lang w:eastAsia="zh-CN"/>
        </w:rPr>
      </w:pPr>
      <w:r w:rsidRPr="003B3C6E">
        <w:rPr>
          <w:rFonts w:eastAsia="SimSun"/>
          <w:i/>
          <w:lang w:eastAsia="zh-CN"/>
        </w:rPr>
        <w:t>Industrial Relations Act 2016</w:t>
      </w:r>
      <w:r w:rsidRPr="00216CF8">
        <w:rPr>
          <w:rFonts w:eastAsia="SimSun"/>
          <w:lang w:eastAsia="zh-CN"/>
        </w:rPr>
        <w:t xml:space="preserve"> and </w:t>
      </w:r>
      <w:r w:rsidRPr="003B3C6E">
        <w:rPr>
          <w:rFonts w:eastAsia="SimSun"/>
          <w:i/>
          <w:lang w:eastAsia="zh-CN"/>
        </w:rPr>
        <w:t>Industrial Relations Regulation 201</w:t>
      </w:r>
      <w:r w:rsidR="00B2148F" w:rsidRPr="003B3C6E">
        <w:rPr>
          <w:rFonts w:eastAsia="SimSun"/>
          <w:i/>
          <w:lang w:eastAsia="zh-CN"/>
        </w:rPr>
        <w:t>8</w:t>
      </w:r>
    </w:p>
    <w:p w14:paraId="7CF4F5FE" w14:textId="77777777" w:rsidR="00216CF8" w:rsidRPr="003B3C6E" w:rsidRDefault="00216CF8" w:rsidP="00942BBF">
      <w:pPr>
        <w:pStyle w:val="Bodycopy"/>
        <w:numPr>
          <w:ilvl w:val="0"/>
          <w:numId w:val="35"/>
        </w:numPr>
        <w:rPr>
          <w:rFonts w:eastAsia="SimSun"/>
          <w:i/>
          <w:lang w:eastAsia="zh-CN"/>
        </w:rPr>
      </w:pPr>
      <w:r w:rsidRPr="003B3C6E">
        <w:rPr>
          <w:rFonts w:eastAsia="SimSun"/>
          <w:i/>
          <w:lang w:eastAsia="zh-CN"/>
        </w:rPr>
        <w:t>Mental Health Act 2016</w:t>
      </w:r>
    </w:p>
    <w:p w14:paraId="1097E24D" w14:textId="7400DED7" w:rsidR="00C82885" w:rsidRDefault="008554E1" w:rsidP="00942BBF">
      <w:pPr>
        <w:pStyle w:val="Bodycopy"/>
        <w:numPr>
          <w:ilvl w:val="0"/>
          <w:numId w:val="35"/>
        </w:numPr>
        <w:rPr>
          <w:rFonts w:eastAsia="SimSun"/>
          <w:lang w:eastAsia="zh-CN"/>
        </w:rPr>
      </w:pPr>
      <w:hyperlink r:id="rId14" w:history="1">
        <w:r w:rsidRPr="008554E1">
          <w:rPr>
            <w:rStyle w:val="Hyperlink"/>
            <w:rFonts w:eastAsia="SimSun"/>
            <w:lang w:eastAsia="zh-CN"/>
          </w:rPr>
          <w:t>Independent medical examinations under the Public Service Act 2008 (Directive 10/20)</w:t>
        </w:r>
      </w:hyperlink>
    </w:p>
    <w:p w14:paraId="4EF6E173" w14:textId="28E18EEE" w:rsidR="00216CF8" w:rsidRPr="00C82885" w:rsidRDefault="00000000" w:rsidP="00942BBF">
      <w:pPr>
        <w:pStyle w:val="Bodycopy"/>
        <w:numPr>
          <w:ilvl w:val="0"/>
          <w:numId w:val="35"/>
        </w:numPr>
        <w:rPr>
          <w:rFonts w:eastAsia="SimSun"/>
          <w:lang w:eastAsia="zh-CN"/>
        </w:rPr>
      </w:pPr>
      <w:hyperlink r:id="rId15" w:history="1">
        <w:r w:rsidR="00C82885" w:rsidRPr="00231AC3">
          <w:rPr>
            <w:rStyle w:val="Hyperlink"/>
            <w:rFonts w:eastAsia="SimSun"/>
            <w:lang w:eastAsia="zh-CN"/>
          </w:rPr>
          <w:t>V</w:t>
        </w:r>
        <w:r w:rsidR="00216CF8" w:rsidRPr="00231AC3">
          <w:rPr>
            <w:rStyle w:val="Hyperlink"/>
            <w:rFonts w:eastAsia="SimSun"/>
            <w:lang w:eastAsia="zh-CN"/>
          </w:rPr>
          <w:t xml:space="preserve">oluntary </w:t>
        </w:r>
        <w:r w:rsidR="003B3C6E" w:rsidRPr="00231AC3">
          <w:rPr>
            <w:rStyle w:val="Hyperlink"/>
            <w:rFonts w:eastAsia="SimSun"/>
            <w:lang w:eastAsia="zh-CN"/>
          </w:rPr>
          <w:t>M</w:t>
        </w:r>
        <w:r w:rsidR="00216CF8" w:rsidRPr="00231AC3">
          <w:rPr>
            <w:rStyle w:val="Hyperlink"/>
            <w:rFonts w:eastAsia="SimSun"/>
            <w:lang w:eastAsia="zh-CN"/>
          </w:rPr>
          <w:t xml:space="preserve">edical </w:t>
        </w:r>
        <w:r w:rsidR="003B3C6E" w:rsidRPr="00231AC3">
          <w:rPr>
            <w:rStyle w:val="Hyperlink"/>
            <w:rFonts w:eastAsia="SimSun"/>
            <w:lang w:eastAsia="zh-CN"/>
          </w:rPr>
          <w:t>R</w:t>
        </w:r>
        <w:r w:rsidR="00216CF8" w:rsidRPr="00231AC3">
          <w:rPr>
            <w:rStyle w:val="Hyperlink"/>
            <w:rFonts w:eastAsia="SimSun"/>
            <w:lang w:eastAsia="zh-CN"/>
          </w:rPr>
          <w:t>etirement</w:t>
        </w:r>
        <w:r w:rsidR="003B3C6E" w:rsidRPr="00231AC3">
          <w:rPr>
            <w:rStyle w:val="Hyperlink"/>
            <w:rFonts w:eastAsia="SimSun"/>
            <w:lang w:eastAsia="zh-CN"/>
          </w:rPr>
          <w:t xml:space="preserve"> (VMR) Scheme</w:t>
        </w:r>
        <w:r w:rsidR="00216CF8" w:rsidRPr="00231AC3">
          <w:rPr>
            <w:rStyle w:val="Hyperlink"/>
            <w:rFonts w:eastAsia="SimSun"/>
            <w:lang w:eastAsia="zh-CN"/>
          </w:rPr>
          <w:t xml:space="preserve"> </w:t>
        </w:r>
        <w:r w:rsidR="00C82885" w:rsidRPr="00231AC3">
          <w:rPr>
            <w:rStyle w:val="Hyperlink"/>
            <w:rFonts w:eastAsia="SimSun"/>
            <w:lang w:eastAsia="zh-CN"/>
          </w:rPr>
          <w:t>(</w:t>
        </w:r>
        <w:r w:rsidR="003B3C6E" w:rsidRPr="00231AC3">
          <w:rPr>
            <w:rStyle w:val="Hyperlink"/>
            <w:rFonts w:eastAsia="SimSun"/>
            <w:lang w:eastAsia="zh-CN"/>
          </w:rPr>
          <w:t>D</w:t>
        </w:r>
        <w:r w:rsidR="00C82885" w:rsidRPr="00231AC3">
          <w:rPr>
            <w:rStyle w:val="Hyperlink"/>
            <w:rFonts w:eastAsia="SimSun"/>
            <w:lang w:eastAsia="zh-CN"/>
          </w:rPr>
          <w:t xml:space="preserve">irective </w:t>
        </w:r>
        <w:r w:rsidR="00216CF8" w:rsidRPr="00231AC3">
          <w:rPr>
            <w:rStyle w:val="Hyperlink"/>
            <w:rFonts w:eastAsia="SimSun"/>
            <w:lang w:eastAsia="zh-CN"/>
          </w:rPr>
          <w:t>22/16) for participating agencies.</w:t>
        </w:r>
      </w:hyperlink>
    </w:p>
    <w:p w14:paraId="7033D5D6" w14:textId="54A4A5FA" w:rsidR="00216CF8" w:rsidRPr="00216CF8" w:rsidRDefault="00216CF8" w:rsidP="00942BBF">
      <w:pPr>
        <w:pStyle w:val="Heading1"/>
        <w:numPr>
          <w:ilvl w:val="0"/>
          <w:numId w:val="32"/>
        </w:numPr>
      </w:pPr>
      <w:bookmarkStart w:id="7" w:name="_Toc1731093"/>
      <w:r w:rsidRPr="00216CF8">
        <w:t>Principles</w:t>
      </w:r>
      <w:bookmarkEnd w:id="7"/>
    </w:p>
    <w:p w14:paraId="563883A8" w14:textId="2EC7CF2D" w:rsidR="0090091A" w:rsidRDefault="00216CF8" w:rsidP="00216CF8">
      <w:pPr>
        <w:spacing w:before="120" w:after="120" w:line="276" w:lineRule="auto"/>
        <w:ind w:left="720" w:hanging="720"/>
        <w:rPr>
          <w:i/>
        </w:rPr>
      </w:pPr>
      <w:r w:rsidRPr="00214571">
        <w:t>7.1</w:t>
      </w:r>
      <w:r w:rsidRPr="00216CF8">
        <w:rPr>
          <w:i/>
        </w:rPr>
        <w:tab/>
      </w:r>
      <w:r w:rsidR="0038003B" w:rsidRPr="00F02F3A">
        <w:rPr>
          <w:b/>
        </w:rPr>
        <w:t>Lawful requirement</w:t>
      </w:r>
      <w:r w:rsidR="0038003B">
        <w:t xml:space="preserve"> – a</w:t>
      </w:r>
      <w:r w:rsidR="00722164">
        <w:t xml:space="preserve"> requirement to </w:t>
      </w:r>
      <w:r w:rsidR="00035289">
        <w:t>submit to</w:t>
      </w:r>
      <w:r w:rsidR="00722164">
        <w:t xml:space="preserve"> an</w:t>
      </w:r>
      <w:r w:rsidR="0038003B">
        <w:t xml:space="preserve"> IME is</w:t>
      </w:r>
      <w:r w:rsidR="00035289">
        <w:t xml:space="preserve"> an </w:t>
      </w:r>
      <w:r w:rsidR="00B01385">
        <w:t xml:space="preserve">exercise of a statutory power and requires active participation in the medical examination, rather than </w:t>
      </w:r>
      <w:r w:rsidR="0053105B">
        <w:t xml:space="preserve">just </w:t>
      </w:r>
      <w:r w:rsidR="00B01385">
        <w:t>attend</w:t>
      </w:r>
      <w:r w:rsidR="0053105B">
        <w:t xml:space="preserve">ing </w:t>
      </w:r>
      <w:r w:rsidR="00B01385">
        <w:t xml:space="preserve">the appointment. </w:t>
      </w:r>
      <w:r w:rsidR="00035289">
        <w:t>An employee who complies with the requirement to submit to an IME is following a lawful direction</w:t>
      </w:r>
      <w:r w:rsidR="00C87A7A">
        <w:t>.</w:t>
      </w:r>
      <w:r w:rsidR="00B01385">
        <w:t xml:space="preserve"> </w:t>
      </w:r>
      <w:r w:rsidR="00C87A7A">
        <w:t xml:space="preserve">An employee </w:t>
      </w:r>
      <w:r w:rsidR="00035289">
        <w:t xml:space="preserve">cannot be </w:t>
      </w:r>
      <w:r w:rsidR="00DB1947">
        <w:t>requested</w:t>
      </w:r>
      <w:r w:rsidR="00035289">
        <w:t xml:space="preserve"> to consent to any part of the medical examination. </w:t>
      </w:r>
      <w:r w:rsidR="00C87A7A">
        <w:t>Agencies should advise independent medical examiners that req</w:t>
      </w:r>
      <w:r w:rsidR="007B2E28">
        <w:t>uesting</w:t>
      </w:r>
      <w:r w:rsidR="00C87A7A">
        <w:t xml:space="preserve"> an employee to complete a standard consent form is not supported by sections 174-179AA of the PS Act.</w:t>
      </w:r>
      <w:r w:rsidR="005F0AF6">
        <w:t xml:space="preserve"> </w:t>
      </w:r>
    </w:p>
    <w:p w14:paraId="0F9F6383" w14:textId="798E9468" w:rsidR="00216CF8" w:rsidRPr="00216CF8" w:rsidRDefault="00836CED" w:rsidP="00216CF8">
      <w:pPr>
        <w:spacing w:before="120" w:after="120" w:line="276" w:lineRule="auto"/>
        <w:ind w:left="720" w:hanging="720"/>
      </w:pPr>
      <w:r w:rsidRPr="00F02F3A">
        <w:t>7.2</w:t>
      </w:r>
      <w:r>
        <w:rPr>
          <w:i/>
        </w:rPr>
        <w:tab/>
      </w:r>
      <w:r w:rsidR="00216CF8" w:rsidRPr="00216CF8">
        <w:rPr>
          <w:b/>
        </w:rPr>
        <w:t>Reciprocity</w:t>
      </w:r>
      <w:r w:rsidR="00216CF8" w:rsidRPr="00216CF8">
        <w:t xml:space="preserve"> – both the employer and employee have a responsibility to work together constructively</w:t>
      </w:r>
      <w:r w:rsidR="00897EC8">
        <w:t>, in good faith</w:t>
      </w:r>
      <w:r w:rsidR="00216CF8" w:rsidRPr="00216CF8">
        <w:t>.</w:t>
      </w:r>
    </w:p>
    <w:p w14:paraId="70B95A4D" w14:textId="4FBA5A3E" w:rsidR="00216CF8" w:rsidRPr="00216CF8" w:rsidRDefault="00216CF8" w:rsidP="00216CF8">
      <w:pPr>
        <w:spacing w:before="120" w:after="120" w:line="276" w:lineRule="auto"/>
        <w:ind w:left="720" w:hanging="720"/>
        <w:rPr>
          <w:i/>
        </w:rPr>
      </w:pPr>
      <w:r w:rsidRPr="00214571">
        <w:t>7.</w:t>
      </w:r>
      <w:r w:rsidR="00836CED">
        <w:t>3</w:t>
      </w:r>
      <w:r w:rsidRPr="00216CF8">
        <w:rPr>
          <w:i/>
        </w:rPr>
        <w:tab/>
      </w:r>
      <w:r w:rsidRPr="00216CF8">
        <w:rPr>
          <w:b/>
        </w:rPr>
        <w:t>Sensitivity</w:t>
      </w:r>
      <w:r w:rsidRPr="00216CF8">
        <w:rPr>
          <w:i/>
        </w:rPr>
        <w:t xml:space="preserve"> </w:t>
      </w:r>
      <w:r w:rsidRPr="00216CF8">
        <w:t>– managing the impacts of unsatisfactory performance</w:t>
      </w:r>
      <w:r w:rsidR="000C57BC">
        <w:t xml:space="preserve"> or a </w:t>
      </w:r>
      <w:r w:rsidR="004F2124">
        <w:t>current</w:t>
      </w:r>
      <w:r w:rsidRPr="00216CF8">
        <w:t xml:space="preserve"> absence can be a distressing time for the employee</w:t>
      </w:r>
      <w:r w:rsidR="000C57BC">
        <w:t xml:space="preserve"> involved,</w:t>
      </w:r>
      <w:r w:rsidRPr="00216CF8">
        <w:t xml:space="preserve"> and </w:t>
      </w:r>
      <w:r w:rsidR="000C57BC">
        <w:t xml:space="preserve">for </w:t>
      </w:r>
      <w:r w:rsidRPr="00216CF8">
        <w:t>other staff members</w:t>
      </w:r>
      <w:r w:rsidR="00996FA9">
        <w:t>,</w:t>
      </w:r>
      <w:r w:rsidR="000C57BC">
        <w:t xml:space="preserve"> particularly if </w:t>
      </w:r>
      <w:r w:rsidR="000C57BC" w:rsidRPr="00216CF8">
        <w:t>mental or physical illness or disability</w:t>
      </w:r>
      <w:r w:rsidR="000C57BC">
        <w:t xml:space="preserve"> is suspected.</w:t>
      </w:r>
      <w:r w:rsidRPr="00216CF8">
        <w:t xml:space="preserve"> Agencies should consider how their processes, communication and language can demonstrate support for their people and engage staff to resolve issues </w:t>
      </w:r>
      <w:r w:rsidR="008B0913">
        <w:t>in a positive way</w:t>
      </w:r>
      <w:r w:rsidRPr="00216CF8">
        <w:t>.</w:t>
      </w:r>
      <w:r w:rsidRPr="00216CF8">
        <w:rPr>
          <w:i/>
        </w:rPr>
        <w:t xml:space="preserve"> </w:t>
      </w:r>
    </w:p>
    <w:p w14:paraId="11CA2147" w14:textId="42519173" w:rsidR="00216CF8" w:rsidRPr="00216CF8" w:rsidRDefault="00216CF8" w:rsidP="00216CF8">
      <w:pPr>
        <w:spacing w:before="120" w:after="120" w:line="276" w:lineRule="auto"/>
        <w:ind w:left="720" w:hanging="720"/>
      </w:pPr>
      <w:r w:rsidRPr="00216CF8">
        <w:t>7.</w:t>
      </w:r>
      <w:r w:rsidR="00836CED">
        <w:t>4</w:t>
      </w:r>
      <w:r w:rsidRPr="00216CF8">
        <w:rPr>
          <w:i/>
        </w:rPr>
        <w:tab/>
      </w:r>
      <w:r w:rsidRPr="00216CF8">
        <w:rPr>
          <w:b/>
        </w:rPr>
        <w:t>Early and open communication</w:t>
      </w:r>
      <w:r w:rsidRPr="00216CF8">
        <w:t xml:space="preserve"> – early discussions between the agency and the employee and the employee’s doctor (</w:t>
      </w:r>
      <w:r w:rsidR="00897EC8" w:rsidRPr="00F02F3A">
        <w:rPr>
          <w:b/>
          <w:u w:val="single"/>
        </w:rPr>
        <w:t>only</w:t>
      </w:r>
      <w:r w:rsidR="00897EC8">
        <w:t xml:space="preserve"> </w:t>
      </w:r>
      <w:r w:rsidRPr="00897EC8">
        <w:t>with</w:t>
      </w:r>
      <w:r w:rsidRPr="00216CF8">
        <w:t xml:space="preserve"> the employee’s consent)</w:t>
      </w:r>
      <w:r w:rsidR="000C57BC">
        <w:t xml:space="preserve"> may resolve any performance or</w:t>
      </w:r>
      <w:r w:rsidR="00282AE7">
        <w:t xml:space="preserve"> current</w:t>
      </w:r>
      <w:r w:rsidRPr="00216CF8">
        <w:t xml:space="preserve"> absence concerns without a formal process.</w:t>
      </w:r>
      <w:r w:rsidR="00897EC8">
        <w:t xml:space="preserve"> It also provides an avenue for the employer to address any issues with the employee and their doctor (</w:t>
      </w:r>
      <w:r w:rsidR="00897EC8" w:rsidRPr="004F2124">
        <w:rPr>
          <w:b/>
          <w:u w:val="single"/>
        </w:rPr>
        <w:t>only</w:t>
      </w:r>
      <w:r w:rsidR="00897EC8">
        <w:t xml:space="preserve"> with the employee’s consent)</w:t>
      </w:r>
      <w:r w:rsidR="00421B86">
        <w:t>, be it with reasonable adjustments, flexible work, redeployment or other strategies.</w:t>
      </w:r>
      <w:r w:rsidRPr="00216CF8">
        <w:t xml:space="preserve"> Agencies </w:t>
      </w:r>
      <w:r w:rsidR="008B0913">
        <w:t xml:space="preserve">and employees </w:t>
      </w:r>
      <w:r w:rsidRPr="00216CF8">
        <w:t xml:space="preserve">are encouraged to communicate openly with </w:t>
      </w:r>
      <w:r w:rsidR="008B0913">
        <w:t>each other</w:t>
      </w:r>
      <w:r w:rsidRPr="00216CF8">
        <w:t xml:space="preserve">, sharing information in a timely, respectful and appropriate manner to maximise the likelihood of a positive outcome. </w:t>
      </w:r>
    </w:p>
    <w:p w14:paraId="126B6A73" w14:textId="67AF67FE" w:rsidR="00216CF8" w:rsidRPr="00216CF8" w:rsidRDefault="00216CF8" w:rsidP="00216CF8">
      <w:pPr>
        <w:spacing w:before="120" w:after="120" w:line="276" w:lineRule="auto"/>
        <w:ind w:left="720" w:hanging="720"/>
      </w:pPr>
      <w:r w:rsidRPr="00216CF8">
        <w:lastRenderedPageBreak/>
        <w:t>7.</w:t>
      </w:r>
      <w:r w:rsidR="00836CED">
        <w:t>5</w:t>
      </w:r>
      <w:r w:rsidRPr="00216CF8">
        <w:rPr>
          <w:i/>
        </w:rPr>
        <w:tab/>
      </w:r>
      <w:r w:rsidRPr="00216CF8">
        <w:rPr>
          <w:b/>
        </w:rPr>
        <w:t>Procedural fairness</w:t>
      </w:r>
      <w:r w:rsidRPr="00216CF8">
        <w:t xml:space="preserve"> – the agency is to </w:t>
      </w:r>
      <w:r w:rsidR="00282AE7">
        <w:t xml:space="preserve">ensure that processes are fair </w:t>
      </w:r>
      <w:r w:rsidRPr="00216CF8">
        <w:t xml:space="preserve">and without bias. A </w:t>
      </w:r>
      <w:r w:rsidR="007B2B34">
        <w:t>fair and open</w:t>
      </w:r>
      <w:r w:rsidR="007B2B34" w:rsidRPr="00216CF8">
        <w:t xml:space="preserve"> </w:t>
      </w:r>
      <w:r w:rsidRPr="00216CF8">
        <w:t xml:space="preserve">process will </w:t>
      </w:r>
      <w:proofErr w:type="gramStart"/>
      <w:r w:rsidRPr="00216CF8">
        <w:t>provide for impartiality at all times</w:t>
      </w:r>
      <w:proofErr w:type="gramEnd"/>
      <w:r w:rsidRPr="00216CF8">
        <w:t xml:space="preserve"> and inform and involve the employee. This includes providing the employee with:</w:t>
      </w:r>
    </w:p>
    <w:p w14:paraId="3DDF8675" w14:textId="014C4C8C" w:rsidR="00216CF8" w:rsidRPr="00216CF8" w:rsidRDefault="00216CF8" w:rsidP="00942BBF">
      <w:pPr>
        <w:pStyle w:val="ListParagraph"/>
        <w:numPr>
          <w:ilvl w:val="1"/>
          <w:numId w:val="33"/>
        </w:numPr>
        <w:spacing w:before="120" w:after="120"/>
        <w:ind w:left="1080"/>
      </w:pPr>
      <w:r w:rsidRPr="00216CF8">
        <w:t xml:space="preserve">the opportunity to comment on </w:t>
      </w:r>
      <w:r w:rsidRPr="00E45084">
        <w:t>adverse</w:t>
      </w:r>
      <w:r w:rsidRPr="00216CF8">
        <w:t xml:space="preserve"> information that is raised during discussions between the agency and the employee about performance, or a</w:t>
      </w:r>
      <w:r w:rsidR="003731DF">
        <w:t>bout a</w:t>
      </w:r>
      <w:r w:rsidRPr="00216CF8">
        <w:t xml:space="preserve"> current absence</w:t>
      </w:r>
      <w:r w:rsidR="00577166">
        <w:t xml:space="preserve"> </w:t>
      </w:r>
    </w:p>
    <w:p w14:paraId="433617B0" w14:textId="2A99C3ED" w:rsidR="00216CF8" w:rsidRPr="00216CF8" w:rsidRDefault="00216CF8" w:rsidP="00942BBF">
      <w:pPr>
        <w:pStyle w:val="ListParagraph"/>
        <w:numPr>
          <w:ilvl w:val="1"/>
          <w:numId w:val="33"/>
        </w:numPr>
        <w:spacing w:before="120" w:after="120"/>
        <w:ind w:left="1080"/>
      </w:pPr>
      <w:r w:rsidRPr="00216CF8">
        <w:t>the information and questions provided to the agency appointed doctor prior to the employee attending the medical examination</w:t>
      </w:r>
      <w:r w:rsidR="00996FA9">
        <w:t>,</w:t>
      </w:r>
      <w:r w:rsidR="0017467B">
        <w:t xml:space="preserve"> </w:t>
      </w:r>
      <w:r w:rsidR="002E6978">
        <w:t>(</w:t>
      </w:r>
      <w:r w:rsidR="0017467B">
        <w:t>unless there are reasonable grounds not to provide all</w:t>
      </w:r>
      <w:r w:rsidR="002E6978">
        <w:t>,</w:t>
      </w:r>
      <w:r w:rsidR="0017467B">
        <w:t xml:space="preserve"> or part</w:t>
      </w:r>
      <w:r w:rsidR="002E6978">
        <w:t>,</w:t>
      </w:r>
      <w:r w:rsidR="0017467B">
        <w:t xml:space="preserve"> of the information and questions</w:t>
      </w:r>
      <w:r w:rsidR="002E6978">
        <w:t>)</w:t>
      </w:r>
      <w:r w:rsidR="0017467B">
        <w:t xml:space="preserve">, including </w:t>
      </w:r>
      <w:r w:rsidR="0095659E">
        <w:t>where there is a reasonably held concern regarding reprisal against others</w:t>
      </w:r>
    </w:p>
    <w:p w14:paraId="0D3784F8" w14:textId="469C5899" w:rsidR="00216CF8" w:rsidRPr="00216CF8" w:rsidRDefault="00216CF8" w:rsidP="00942BBF">
      <w:pPr>
        <w:pStyle w:val="ListParagraph"/>
        <w:numPr>
          <w:ilvl w:val="1"/>
          <w:numId w:val="33"/>
        </w:numPr>
        <w:spacing w:before="120" w:after="120"/>
        <w:ind w:left="1080"/>
      </w:pPr>
      <w:r w:rsidRPr="00216CF8">
        <w:t>the medical examination report (except where the doctor has indicated the report should not be provided to the employee in accordance wit</w:t>
      </w:r>
      <w:r w:rsidR="00B6527E">
        <w:t>h section 177(4) of the PS Act)</w:t>
      </w:r>
    </w:p>
    <w:p w14:paraId="25F4E341" w14:textId="23035639" w:rsidR="00216CF8" w:rsidRPr="00216CF8" w:rsidRDefault="00216CF8" w:rsidP="00942BBF">
      <w:pPr>
        <w:pStyle w:val="ListParagraph"/>
        <w:numPr>
          <w:ilvl w:val="1"/>
          <w:numId w:val="33"/>
        </w:numPr>
        <w:spacing w:before="120" w:after="120"/>
        <w:ind w:left="1080"/>
      </w:pPr>
      <w:r w:rsidRPr="00216CF8">
        <w:t>information, as early as possible, about the steps that will be taken if the agency appointed doctor considers that disclosing the information in the medical report to the employee might be prejudicial to the employee’s mental or physical health or wellbeing</w:t>
      </w:r>
    </w:p>
    <w:p w14:paraId="3EBF0131" w14:textId="5D987851" w:rsidR="00216CF8" w:rsidRPr="00216CF8" w:rsidRDefault="00216CF8" w:rsidP="00942BBF">
      <w:pPr>
        <w:pStyle w:val="ListParagraph"/>
        <w:numPr>
          <w:ilvl w:val="1"/>
          <w:numId w:val="33"/>
        </w:numPr>
        <w:spacing w:before="120" w:after="120"/>
        <w:ind w:left="1080"/>
      </w:pPr>
      <w:r w:rsidRPr="00216CF8">
        <w:t xml:space="preserve">the opportunity to respond to the action proposed by the agency </w:t>
      </w:r>
      <w:r w:rsidR="00560EFE">
        <w:t>based on</w:t>
      </w:r>
      <w:r w:rsidRPr="00216CF8">
        <w:t xml:space="preserve"> the outcome of the medical examination.</w:t>
      </w:r>
    </w:p>
    <w:p w14:paraId="409D80B4" w14:textId="7DB4293E" w:rsidR="00216CF8" w:rsidRDefault="007D5477" w:rsidP="00216CF8">
      <w:pPr>
        <w:spacing w:before="120" w:after="120" w:line="276" w:lineRule="auto"/>
        <w:ind w:left="720" w:hanging="720"/>
      </w:pPr>
      <w:r>
        <w:t>7.</w:t>
      </w:r>
      <w:r w:rsidR="00836CED">
        <w:t>6</w:t>
      </w:r>
      <w:r w:rsidR="00216CF8" w:rsidRPr="00216CF8">
        <w:tab/>
      </w:r>
      <w:r w:rsidR="009130D8">
        <w:rPr>
          <w:b/>
        </w:rPr>
        <w:t>Retirement as the</w:t>
      </w:r>
      <w:r w:rsidR="00216CF8" w:rsidRPr="00216CF8">
        <w:rPr>
          <w:b/>
        </w:rPr>
        <w:t xml:space="preserve"> last resort</w:t>
      </w:r>
      <w:r w:rsidR="00216CF8" w:rsidRPr="00216CF8">
        <w:t xml:space="preserve"> – sections 174 to 179 of the PS Act </w:t>
      </w:r>
      <w:r w:rsidR="003731DF">
        <w:t>enable</w:t>
      </w:r>
      <w:r w:rsidR="00216CF8" w:rsidRPr="00216CF8">
        <w:t xml:space="preserve"> the employer </w:t>
      </w:r>
      <w:r w:rsidR="003731DF">
        <w:t xml:space="preserve">to </w:t>
      </w:r>
      <w:r w:rsidR="00216CF8" w:rsidRPr="00216CF8">
        <w:t>obtain independent advice to understand an employee’s capabilities</w:t>
      </w:r>
      <w:r w:rsidR="0081588A">
        <w:t xml:space="preserve"> and what </w:t>
      </w:r>
      <w:r w:rsidR="00216CF8" w:rsidRPr="00216CF8">
        <w:t>would assist the</w:t>
      </w:r>
      <w:r w:rsidR="003731DF">
        <w:t>m</w:t>
      </w:r>
      <w:r w:rsidR="00216CF8" w:rsidRPr="00216CF8">
        <w:t xml:space="preserve"> to continue in their job, and to </w:t>
      </w:r>
      <w:proofErr w:type="gramStart"/>
      <w:r w:rsidR="00216CF8" w:rsidRPr="00216CF8">
        <w:t>make a decision</w:t>
      </w:r>
      <w:proofErr w:type="gramEnd"/>
      <w:r w:rsidR="00216CF8" w:rsidRPr="00216CF8">
        <w:t xml:space="preserve"> regarding ongoing employment in the position, within the agency or another public sector agency. Retirement </w:t>
      </w:r>
      <w:r w:rsidR="007B2B34">
        <w:t>is only to be used as a last resort</w:t>
      </w:r>
      <w:r w:rsidR="004F2124">
        <w:t>,</w:t>
      </w:r>
      <w:r w:rsidR="00544111">
        <w:t xml:space="preserve"> as set out in the PS Act</w:t>
      </w:r>
      <w:r w:rsidR="007B2B34">
        <w:t>.</w:t>
      </w:r>
    </w:p>
    <w:p w14:paraId="4F6B4020" w14:textId="6BFC6EBA" w:rsidR="007651BE" w:rsidRPr="00BF5772" w:rsidRDefault="007651BE" w:rsidP="00942BBF">
      <w:pPr>
        <w:pStyle w:val="Heading1"/>
        <w:numPr>
          <w:ilvl w:val="0"/>
          <w:numId w:val="32"/>
        </w:numPr>
      </w:pPr>
      <w:bookmarkStart w:id="8" w:name="_Toc1731094"/>
      <w:r w:rsidRPr="00BF5772">
        <w:t xml:space="preserve">What </w:t>
      </w:r>
      <w:r w:rsidR="000545F8" w:rsidRPr="00BF5772">
        <w:t>are the first steps towards an IME</w:t>
      </w:r>
      <w:r w:rsidRPr="00BF5772">
        <w:t>?</w:t>
      </w:r>
      <w:bookmarkEnd w:id="8"/>
    </w:p>
    <w:p w14:paraId="3ACF59EF" w14:textId="66E4CDBC" w:rsidR="00DF61C8" w:rsidRPr="00740C79" w:rsidRDefault="006060F2" w:rsidP="00942BBF">
      <w:pPr>
        <w:pStyle w:val="ListParagraph"/>
        <w:numPr>
          <w:ilvl w:val="1"/>
          <w:numId w:val="23"/>
        </w:numPr>
        <w:spacing w:before="120" w:after="120"/>
        <w:ind w:left="709" w:hanging="709"/>
      </w:pPr>
      <w:r>
        <w:t>M</w:t>
      </w:r>
      <w:r w:rsidR="007651BE" w:rsidRPr="00740C79">
        <w:t>anagers should discuss concerns about</w:t>
      </w:r>
      <w:r>
        <w:t xml:space="preserve"> </w:t>
      </w:r>
      <w:r w:rsidR="007651BE" w:rsidRPr="00740C79">
        <w:t xml:space="preserve">employee performance, and </w:t>
      </w:r>
      <w:r w:rsidR="00670A72">
        <w:t>question whether there is anything</w:t>
      </w:r>
      <w:r w:rsidR="007651BE" w:rsidRPr="00740C79">
        <w:t xml:space="preserve"> impacting on the employee’s ability to </w:t>
      </w:r>
      <w:r w:rsidR="004F2124">
        <w:t>carry out the duties of</w:t>
      </w:r>
      <w:r w:rsidR="007651BE" w:rsidRPr="00740C79">
        <w:t xml:space="preserve"> their </w:t>
      </w:r>
      <w:r w:rsidR="00891984">
        <w:t xml:space="preserve">substantive </w:t>
      </w:r>
      <w:r w:rsidR="007651BE" w:rsidRPr="00740C79">
        <w:t>role</w:t>
      </w:r>
      <w:r w:rsidR="0095659E">
        <w:rPr>
          <w:rStyle w:val="FootnoteReference"/>
        </w:rPr>
        <w:footnoteReference w:id="1"/>
      </w:r>
      <w:r w:rsidR="007651BE" w:rsidRPr="00740C79">
        <w:t xml:space="preserve">. </w:t>
      </w:r>
      <w:r w:rsidR="00C408ED">
        <w:t>Where an employee is currently absent</w:t>
      </w:r>
      <w:r w:rsidR="00C408ED">
        <w:rPr>
          <w:rStyle w:val="FootnoteReference"/>
        </w:rPr>
        <w:footnoteReference w:id="2"/>
      </w:r>
      <w:r w:rsidR="00C408ED">
        <w:t xml:space="preserve">, contact should be supportive and seek to understand what support, if any, the employee may need to return to work. </w:t>
      </w:r>
      <w:r w:rsidR="007651BE" w:rsidRPr="00740C79">
        <w:t>An employee may</w:t>
      </w:r>
      <w:r w:rsidR="00670A72">
        <w:t xml:space="preserve"> not</w:t>
      </w:r>
      <w:r w:rsidR="007651BE" w:rsidRPr="00740C79">
        <w:t xml:space="preserve"> indicate illness or disability </w:t>
      </w:r>
      <w:r w:rsidR="00670A72">
        <w:t xml:space="preserve">is </w:t>
      </w:r>
      <w:r w:rsidR="007651BE" w:rsidRPr="00740C79">
        <w:t xml:space="preserve">affecting them but </w:t>
      </w:r>
      <w:r w:rsidR="00670A72">
        <w:t>may identify other issues</w:t>
      </w:r>
      <w:r w:rsidR="007651BE" w:rsidRPr="00740C79">
        <w:t xml:space="preserve"> for which they need support (e</w:t>
      </w:r>
      <w:r w:rsidR="00E85F16" w:rsidRPr="00740C79">
        <w:t>.</w:t>
      </w:r>
      <w:r w:rsidR="007651BE" w:rsidRPr="00740C79">
        <w:t>g. training, role clarification, flexible working hour</w:t>
      </w:r>
      <w:r w:rsidR="0081588A">
        <w:t xml:space="preserve">s to support </w:t>
      </w:r>
      <w:r w:rsidR="008B1483">
        <w:t xml:space="preserve">a </w:t>
      </w:r>
      <w:r w:rsidR="0081588A">
        <w:t>sick family member or to seek</w:t>
      </w:r>
      <w:r w:rsidR="007651BE" w:rsidRPr="00740C79">
        <w:t xml:space="preserve"> dom</w:t>
      </w:r>
      <w:r w:rsidR="006F4CD9">
        <w:t>estic and family violence (DFV)</w:t>
      </w:r>
      <w:r w:rsidR="0081588A">
        <w:t xml:space="preserve"> help</w:t>
      </w:r>
      <w:r w:rsidR="000270F3">
        <w:t>)</w:t>
      </w:r>
      <w:r w:rsidR="007651BE" w:rsidRPr="00740C79">
        <w:t xml:space="preserve">. </w:t>
      </w:r>
      <w:r w:rsidR="006F4CD9">
        <w:t>S</w:t>
      </w:r>
      <w:r w:rsidR="007651BE" w:rsidRPr="00740C79">
        <w:t xml:space="preserve">upport may be reasonably incorporated into arrangements within the work unit or through a performance development agreement </w:t>
      </w:r>
      <w:r w:rsidR="0081588A">
        <w:t>between</w:t>
      </w:r>
      <w:r w:rsidR="007651BE" w:rsidRPr="00740C79">
        <w:t xml:space="preserve"> the manager a</w:t>
      </w:r>
      <w:r w:rsidR="000270F3">
        <w:t>nd employee</w:t>
      </w:r>
      <w:r w:rsidR="0081588A">
        <w:t>.</w:t>
      </w:r>
      <w:r w:rsidR="000270F3">
        <w:t xml:space="preserve"> </w:t>
      </w:r>
      <w:r w:rsidR="007651BE" w:rsidRPr="00740C79">
        <w:t xml:space="preserve">Alternatively, an employee may indicate no additional support is required. </w:t>
      </w:r>
    </w:p>
    <w:p w14:paraId="5DF53252" w14:textId="5E7FCD4A" w:rsidR="00D352B5" w:rsidRDefault="00226830" w:rsidP="00D352B5">
      <w:pPr>
        <w:ind w:left="709" w:hanging="709"/>
      </w:pPr>
      <w:r>
        <w:lastRenderedPageBreak/>
        <w:t>8.</w:t>
      </w:r>
      <w:r w:rsidR="0046195E">
        <w:t>2</w:t>
      </w:r>
      <w:r>
        <w:tab/>
      </w:r>
      <w:r w:rsidR="007651BE" w:rsidRPr="00740C79">
        <w:t xml:space="preserve">Where the employee discloses that a mental or physical illness or disability is affecting their performance or their current absence, the discussion may include: </w:t>
      </w:r>
    </w:p>
    <w:p w14:paraId="5878DAAF" w14:textId="1ABC215D" w:rsidR="007651BE" w:rsidRPr="00740C79" w:rsidRDefault="007651BE" w:rsidP="00942BBF">
      <w:pPr>
        <w:pStyle w:val="ListParagraph"/>
        <w:numPr>
          <w:ilvl w:val="0"/>
          <w:numId w:val="34"/>
        </w:numPr>
        <w:spacing w:before="120" w:after="120"/>
        <w:ind w:left="1080"/>
      </w:pPr>
      <w:r w:rsidRPr="00740C79">
        <w:t xml:space="preserve">exploring options for </w:t>
      </w:r>
      <w:r w:rsidR="00C77AAF">
        <w:t xml:space="preserve">workplace rehabilitation arrangements or </w:t>
      </w:r>
      <w:r w:rsidRPr="00740C79">
        <w:t>reasonable workplace adjustment</w:t>
      </w:r>
    </w:p>
    <w:p w14:paraId="2F6A5167" w14:textId="3E58A163" w:rsidR="007651BE" w:rsidRPr="00740C79" w:rsidRDefault="007651BE" w:rsidP="00942BBF">
      <w:pPr>
        <w:pStyle w:val="ListParagraph"/>
        <w:numPr>
          <w:ilvl w:val="0"/>
          <w:numId w:val="34"/>
        </w:numPr>
        <w:spacing w:before="120" w:after="120"/>
        <w:ind w:left="1080"/>
      </w:pPr>
      <w:r w:rsidRPr="00740C79">
        <w:t xml:space="preserve">asking for existing medical information from </w:t>
      </w:r>
      <w:r w:rsidR="00D62ACC">
        <w:t xml:space="preserve">the </w:t>
      </w:r>
      <w:r w:rsidRPr="00740C79">
        <w:t xml:space="preserve">employee, or </w:t>
      </w:r>
      <w:r w:rsidR="00144FC0">
        <w:t xml:space="preserve">for </w:t>
      </w:r>
      <w:r w:rsidRPr="00740C79">
        <w:t>consent to contact their treating doctor.</w:t>
      </w:r>
    </w:p>
    <w:p w14:paraId="078B871E" w14:textId="68CA75D8" w:rsidR="00CF04D8" w:rsidRDefault="007651BE" w:rsidP="00D352B5">
      <w:pPr>
        <w:spacing w:before="240" w:after="240"/>
        <w:ind w:left="709"/>
      </w:pPr>
      <w:r w:rsidRPr="00740C79">
        <w:t xml:space="preserve">Managers are encouraged to seek </w:t>
      </w:r>
      <w:r w:rsidR="00C81596">
        <w:t xml:space="preserve">human resources </w:t>
      </w:r>
      <w:r w:rsidRPr="00740C79">
        <w:t>support or guidance on how to approach conversations and how to appropriately refer employees</w:t>
      </w:r>
      <w:r w:rsidR="005E7614">
        <w:t xml:space="preserve"> to support services,</w:t>
      </w:r>
      <w:r w:rsidRPr="00740C79">
        <w:t xml:space="preserve"> who disclose matters requiring professional guidance or support </w:t>
      </w:r>
      <w:r w:rsidR="00E95B3D">
        <w:t>(</w:t>
      </w:r>
      <w:r w:rsidRPr="00740C79">
        <w:t>e</w:t>
      </w:r>
      <w:r w:rsidR="002A3669">
        <w:t>.</w:t>
      </w:r>
      <w:r w:rsidRPr="00740C79">
        <w:t>g</w:t>
      </w:r>
      <w:r w:rsidR="002A3669">
        <w:t>.</w:t>
      </w:r>
      <w:r w:rsidRPr="00740C79">
        <w:t xml:space="preserve"> medical issues, counselling needs, </w:t>
      </w:r>
      <w:r w:rsidR="006F4CD9">
        <w:t>D</w:t>
      </w:r>
      <w:r w:rsidRPr="00740C79">
        <w:t>FV</w:t>
      </w:r>
      <w:r w:rsidR="00E95B3D">
        <w:t>)</w:t>
      </w:r>
      <w:r w:rsidRPr="00740C79">
        <w:t xml:space="preserve">. </w:t>
      </w:r>
    </w:p>
    <w:p w14:paraId="0ECB3B48" w14:textId="590CA326" w:rsidR="007651BE" w:rsidRPr="00740C79" w:rsidRDefault="00CF04D8" w:rsidP="00CF04D8">
      <w:pPr>
        <w:ind w:left="709" w:hanging="709"/>
      </w:pPr>
      <w:r>
        <w:t>8.</w:t>
      </w:r>
      <w:r w:rsidR="0046195E">
        <w:t>3</w:t>
      </w:r>
      <w:r>
        <w:tab/>
      </w:r>
      <w:r w:rsidR="007651BE" w:rsidRPr="00740C79">
        <w:t xml:space="preserve">There may be benefits to both the employee and the agency if the employee’s treating doctor is able to provide information which sets out the </w:t>
      </w:r>
      <w:r w:rsidR="0081588A">
        <w:t>impact</w:t>
      </w:r>
      <w:r w:rsidR="007651BE" w:rsidRPr="00740C79">
        <w:t xml:space="preserve"> of the employee’s condition on their capacity to carry out the genuine occupational requirements of their </w:t>
      </w:r>
      <w:r w:rsidR="001E0106">
        <w:t>role</w:t>
      </w:r>
      <w:r w:rsidR="007651BE" w:rsidRPr="00740C79">
        <w:t xml:space="preserve">. </w:t>
      </w:r>
    </w:p>
    <w:p w14:paraId="249974C9" w14:textId="77777777" w:rsidR="00D6310F" w:rsidRDefault="007651BE" w:rsidP="005A2278">
      <w:pPr>
        <w:spacing w:before="120"/>
        <w:ind w:left="709"/>
      </w:pPr>
      <w:r w:rsidRPr="00740C79">
        <w:t xml:space="preserve">If the employee does not volunteer </w:t>
      </w:r>
      <w:r w:rsidR="00C81596">
        <w:t>this</w:t>
      </w:r>
      <w:r w:rsidR="00C81596" w:rsidRPr="00740C79">
        <w:t xml:space="preserve"> </w:t>
      </w:r>
      <w:r w:rsidRPr="00740C79">
        <w:t xml:space="preserve">information, then the agency </w:t>
      </w:r>
      <w:r w:rsidR="00C81596">
        <w:t>can ask the</w:t>
      </w:r>
      <w:r w:rsidRPr="00740C79">
        <w:t xml:space="preserve"> employee what, if any</w:t>
      </w:r>
      <w:r w:rsidR="00CB19EF">
        <w:t>,</w:t>
      </w:r>
      <w:r w:rsidRPr="00740C79">
        <w:t xml:space="preserve"> additional support would assist them to improve their performance</w:t>
      </w:r>
      <w:r w:rsidR="00CB19EF">
        <w:t>,</w:t>
      </w:r>
      <w:r w:rsidRPr="00740C79">
        <w:t xml:space="preserve"> or return </w:t>
      </w:r>
      <w:r w:rsidR="00C81596">
        <w:t>to work</w:t>
      </w:r>
      <w:r w:rsidR="00DA78FF">
        <w:t xml:space="preserve"> from their current absence</w:t>
      </w:r>
      <w:r w:rsidRPr="00740C79">
        <w:t xml:space="preserve">. </w:t>
      </w:r>
    </w:p>
    <w:p w14:paraId="1AA40850" w14:textId="56D30A77" w:rsidR="007651BE" w:rsidRDefault="0050158C" w:rsidP="00F02F3A">
      <w:pPr>
        <w:spacing w:before="120"/>
        <w:ind w:left="709" w:hanging="709"/>
      </w:pPr>
      <w:r>
        <w:t>8.</w:t>
      </w:r>
      <w:r w:rsidR="0046195E">
        <w:t>4</w:t>
      </w:r>
      <w:r w:rsidR="00D6310F">
        <w:tab/>
      </w:r>
      <w:r w:rsidR="00DA78FF">
        <w:t>If there is no</w:t>
      </w:r>
      <w:r w:rsidR="007651BE" w:rsidRPr="00740C79">
        <w:t xml:space="preserve"> information to support a reasonable suspicion that a mental or physical illness or disability is affecting performance or causing a current absence, concerns about those matters would need to be addressed in a performance management context.</w:t>
      </w:r>
    </w:p>
    <w:p w14:paraId="25FB1904" w14:textId="035EEB06" w:rsidR="00C77AAF" w:rsidRDefault="00690D66" w:rsidP="00C77AAF">
      <w:pPr>
        <w:spacing w:before="120"/>
        <w:ind w:left="709" w:hanging="709"/>
      </w:pPr>
      <w:r>
        <w:t>8.</w:t>
      </w:r>
      <w:r w:rsidR="0046195E">
        <w:t>5</w:t>
      </w:r>
      <w:r>
        <w:t xml:space="preserve"> </w:t>
      </w:r>
      <w:r>
        <w:tab/>
      </w:r>
      <w:r w:rsidR="007651BE" w:rsidRPr="00740C79">
        <w:t xml:space="preserve">In the course of these discussions, any material or information adverse to the employee should be brought to their attention and the employee should be given a reasonable opportunity to comment on that material before </w:t>
      </w:r>
      <w:r w:rsidR="00C77AAF">
        <w:t>a</w:t>
      </w:r>
      <w:r w:rsidR="007651BE" w:rsidRPr="00740C79">
        <w:t xml:space="preserve"> decision is made based on the adverse information.</w:t>
      </w:r>
    </w:p>
    <w:p w14:paraId="2C25024C" w14:textId="30C76C82" w:rsidR="007651BE" w:rsidRDefault="00B843CF" w:rsidP="00CB19EF">
      <w:pPr>
        <w:tabs>
          <w:tab w:val="left" w:pos="1080"/>
        </w:tabs>
        <w:spacing w:before="120" w:after="120"/>
        <w:ind w:left="709" w:hanging="709"/>
        <w:rPr>
          <w:rFonts w:cs="Arial"/>
          <w:i/>
          <w:szCs w:val="22"/>
        </w:rPr>
      </w:pPr>
      <w:r>
        <w:rPr>
          <w:rFonts w:cs="Arial"/>
          <w:szCs w:val="22"/>
        </w:rPr>
        <w:t>8.</w:t>
      </w:r>
      <w:r w:rsidR="0046195E">
        <w:rPr>
          <w:rFonts w:cs="Arial"/>
          <w:szCs w:val="22"/>
        </w:rPr>
        <w:t>6</w:t>
      </w:r>
      <w:r>
        <w:rPr>
          <w:rFonts w:cs="Arial"/>
          <w:szCs w:val="22"/>
        </w:rPr>
        <w:t xml:space="preserve"> </w:t>
      </w:r>
      <w:r w:rsidR="00CB19EF">
        <w:rPr>
          <w:rFonts w:cs="Arial"/>
          <w:szCs w:val="22"/>
        </w:rPr>
        <w:tab/>
      </w:r>
      <w:r w:rsidR="007651BE" w:rsidRPr="00B843CF">
        <w:rPr>
          <w:rFonts w:cs="Arial"/>
          <w:szCs w:val="22"/>
        </w:rPr>
        <w:t>The process</w:t>
      </w:r>
      <w:r w:rsidR="00D62ACC">
        <w:rPr>
          <w:rFonts w:cs="Arial"/>
          <w:szCs w:val="22"/>
        </w:rPr>
        <w:t xml:space="preserve"> in sections 174-178 </w:t>
      </w:r>
      <w:r w:rsidR="001E0106">
        <w:rPr>
          <w:rFonts w:cs="Arial"/>
          <w:szCs w:val="22"/>
        </w:rPr>
        <w:t xml:space="preserve">of the </w:t>
      </w:r>
      <w:r w:rsidR="00D62ACC">
        <w:rPr>
          <w:rFonts w:cs="Arial"/>
          <w:szCs w:val="22"/>
        </w:rPr>
        <w:t>PS Act</w:t>
      </w:r>
      <w:r w:rsidR="007651BE" w:rsidRPr="00B843CF">
        <w:rPr>
          <w:rFonts w:cs="Arial"/>
          <w:szCs w:val="22"/>
        </w:rPr>
        <w:t xml:space="preserve"> is not to be used as a substitute for standard performance management strategies. Every manager has an obligation to identify the causes of unsatisfactory performance and to resolve performance issues through appraisal, guidance, counselling, coaching, training and development, and where practica</w:t>
      </w:r>
      <w:r w:rsidR="003E5FD7">
        <w:rPr>
          <w:rFonts w:cs="Arial"/>
          <w:szCs w:val="22"/>
        </w:rPr>
        <w:t>b</w:t>
      </w:r>
      <w:r w:rsidR="007651BE" w:rsidRPr="00B843CF">
        <w:rPr>
          <w:rFonts w:cs="Arial"/>
          <w:szCs w:val="22"/>
        </w:rPr>
        <w:t>l</w:t>
      </w:r>
      <w:r w:rsidR="003E5FD7">
        <w:rPr>
          <w:rFonts w:cs="Arial"/>
          <w:szCs w:val="22"/>
        </w:rPr>
        <w:t>e</w:t>
      </w:r>
      <w:r w:rsidR="007651BE" w:rsidRPr="00B843CF">
        <w:rPr>
          <w:rFonts w:cs="Arial"/>
          <w:szCs w:val="22"/>
        </w:rPr>
        <w:t xml:space="preserve">, temporary variations to working arrangements and workloads. </w:t>
      </w:r>
    </w:p>
    <w:p w14:paraId="2F2116E8" w14:textId="3ECBA569" w:rsidR="008E7E51" w:rsidRPr="00216CF8" w:rsidRDefault="008E7E51" w:rsidP="00942BBF">
      <w:pPr>
        <w:pStyle w:val="Heading1"/>
        <w:numPr>
          <w:ilvl w:val="0"/>
          <w:numId w:val="32"/>
        </w:numPr>
      </w:pPr>
      <w:bookmarkStart w:id="9" w:name="_Toc1731095"/>
      <w:r>
        <w:t xml:space="preserve">Decision </w:t>
      </w:r>
      <w:r w:rsidR="00BA792B">
        <w:t>m</w:t>
      </w:r>
      <w:r>
        <w:t xml:space="preserve">aking – </w:t>
      </w:r>
      <w:r w:rsidR="00BA792B">
        <w:t>applying sections 174-179 of the PS Act</w:t>
      </w:r>
      <w:bookmarkEnd w:id="9"/>
    </w:p>
    <w:p w14:paraId="23788438" w14:textId="5861FE17" w:rsidR="008E7E51" w:rsidRDefault="00C04667" w:rsidP="00C04667">
      <w:pPr>
        <w:spacing w:before="120" w:after="120" w:line="276" w:lineRule="auto"/>
        <w:ind w:left="720" w:hanging="720"/>
      </w:pPr>
      <w:r>
        <w:t>9.1</w:t>
      </w:r>
      <w:r>
        <w:tab/>
        <w:t xml:space="preserve">The purpose of an IME under the PS Act </w:t>
      </w:r>
      <w:r w:rsidR="008E7E51">
        <w:t xml:space="preserve">is to provide the decision maker with </w:t>
      </w:r>
      <w:r>
        <w:t>a doctor’s opinion on whether an employee has a mental or physical illness or disability that may adversely affect the employee’s performance</w:t>
      </w:r>
      <w:r w:rsidR="0022549D">
        <w:t xml:space="preserve"> or current absence</w:t>
      </w:r>
      <w:r>
        <w:t xml:space="preserve">. The report </w:t>
      </w:r>
      <w:r w:rsidR="00BA792B">
        <w:t xml:space="preserve">must contain that opinion and additional information describing the impacts of the illness or disability, if any, on the employee’s performance, and whether disclosure of the report information to the employee </w:t>
      </w:r>
      <w:r w:rsidR="00F87DBB">
        <w:t>might be prejudicial to the employee’s mental or physical wellbeing.</w:t>
      </w:r>
    </w:p>
    <w:p w14:paraId="4A738810" w14:textId="77777777" w:rsidR="001E0106" w:rsidRDefault="001E0106">
      <w:pPr>
        <w:rPr>
          <w:rFonts w:cs="Arial"/>
          <w:szCs w:val="22"/>
        </w:rPr>
      </w:pPr>
      <w:r>
        <w:rPr>
          <w:rFonts w:cs="Arial"/>
          <w:szCs w:val="22"/>
        </w:rPr>
        <w:br w:type="page"/>
      </w:r>
    </w:p>
    <w:p w14:paraId="2BF3C738" w14:textId="12BBD1FD" w:rsidR="002E131D" w:rsidRPr="00E05D16" w:rsidRDefault="008D2008" w:rsidP="004A2AE0">
      <w:pPr>
        <w:tabs>
          <w:tab w:val="left" w:pos="1080"/>
        </w:tabs>
        <w:spacing w:before="240"/>
        <w:ind w:left="709" w:hanging="709"/>
        <w:rPr>
          <w:rFonts w:cs="Arial"/>
          <w:szCs w:val="22"/>
        </w:rPr>
      </w:pPr>
      <w:r>
        <w:rPr>
          <w:rFonts w:cs="Arial"/>
          <w:szCs w:val="22"/>
        </w:rPr>
        <w:lastRenderedPageBreak/>
        <w:t>9</w:t>
      </w:r>
      <w:r w:rsidR="004A2AE0">
        <w:rPr>
          <w:rFonts w:cs="Arial"/>
          <w:szCs w:val="22"/>
        </w:rPr>
        <w:t>.</w:t>
      </w:r>
      <w:r w:rsidR="00F87DBB">
        <w:rPr>
          <w:rFonts w:cs="Arial"/>
          <w:szCs w:val="22"/>
        </w:rPr>
        <w:t>2</w:t>
      </w:r>
      <w:r w:rsidR="004A2AE0">
        <w:rPr>
          <w:rFonts w:cs="Arial"/>
          <w:szCs w:val="22"/>
        </w:rPr>
        <w:tab/>
      </w:r>
      <w:r w:rsidR="002E131D">
        <w:rPr>
          <w:rFonts w:cs="Arial"/>
          <w:szCs w:val="22"/>
        </w:rPr>
        <w:t xml:space="preserve">Section </w:t>
      </w:r>
      <w:r w:rsidR="002E131D" w:rsidRPr="00E05D16">
        <w:rPr>
          <w:rFonts w:cs="Arial"/>
          <w:szCs w:val="22"/>
        </w:rPr>
        <w:t>174 of the PS Act</w:t>
      </w:r>
      <w:r w:rsidR="002E131D" w:rsidRPr="00E05D16">
        <w:rPr>
          <w:rFonts w:cs="Arial"/>
          <w:i/>
          <w:szCs w:val="22"/>
        </w:rPr>
        <w:t xml:space="preserve"> </w:t>
      </w:r>
      <w:r w:rsidR="002E131D" w:rsidRPr="00E05D16">
        <w:rPr>
          <w:rFonts w:cs="Arial"/>
          <w:szCs w:val="22"/>
        </w:rPr>
        <w:t xml:space="preserve">applies </w:t>
      </w:r>
      <w:r w:rsidR="002E131D" w:rsidRPr="00257B97">
        <w:rPr>
          <w:rFonts w:cs="Arial"/>
          <w:szCs w:val="22"/>
        </w:rPr>
        <w:t xml:space="preserve">only </w:t>
      </w:r>
      <w:r w:rsidR="002E131D" w:rsidRPr="009F2FDD">
        <w:rPr>
          <w:rFonts w:cs="Arial"/>
          <w:szCs w:val="22"/>
        </w:rPr>
        <w:t xml:space="preserve">when </w:t>
      </w:r>
      <w:r w:rsidR="002E131D" w:rsidRPr="005B248C">
        <w:rPr>
          <w:rFonts w:cs="Arial"/>
          <w:b/>
          <w:szCs w:val="22"/>
        </w:rPr>
        <w:t>both</w:t>
      </w:r>
      <w:r w:rsidR="002E131D" w:rsidRPr="00E05D16">
        <w:rPr>
          <w:rFonts w:cs="Arial"/>
          <w:szCs w:val="22"/>
        </w:rPr>
        <w:t xml:space="preserve"> </w:t>
      </w:r>
      <w:r w:rsidR="002E131D">
        <w:rPr>
          <w:rFonts w:cs="Arial"/>
          <w:szCs w:val="22"/>
        </w:rPr>
        <w:t>of the following conditions are met:</w:t>
      </w:r>
    </w:p>
    <w:p w14:paraId="18339BE9" w14:textId="5ED2C2A6" w:rsidR="002E131D" w:rsidRPr="009F2FDD" w:rsidRDefault="009F2FDD" w:rsidP="00942BBF">
      <w:pPr>
        <w:pStyle w:val="ListParagraph"/>
        <w:numPr>
          <w:ilvl w:val="0"/>
          <w:numId w:val="24"/>
        </w:numPr>
        <w:tabs>
          <w:tab w:val="left" w:pos="1080"/>
        </w:tabs>
        <w:spacing w:before="240"/>
        <w:rPr>
          <w:rFonts w:cs="Arial"/>
          <w:szCs w:val="22"/>
        </w:rPr>
      </w:pPr>
      <w:r w:rsidRPr="009F2FDD">
        <w:rPr>
          <w:rFonts w:cs="Arial"/>
          <w:szCs w:val="22"/>
        </w:rPr>
        <w:t>t</w:t>
      </w:r>
      <w:r w:rsidR="002E131D" w:rsidRPr="009F2FDD">
        <w:rPr>
          <w:rFonts w:cs="Arial"/>
          <w:szCs w:val="22"/>
        </w:rPr>
        <w:t>he public service employee is</w:t>
      </w:r>
      <w:r w:rsidR="002E131D" w:rsidRPr="009F2FDD">
        <w:rPr>
          <w:rFonts w:cs="Arial"/>
          <w:b/>
          <w:szCs w:val="22"/>
        </w:rPr>
        <w:t xml:space="preserve"> </w:t>
      </w:r>
      <w:r w:rsidR="002E131D" w:rsidRPr="005B248C">
        <w:rPr>
          <w:rFonts w:cs="Arial"/>
          <w:b/>
          <w:szCs w:val="22"/>
        </w:rPr>
        <w:t>absent</w:t>
      </w:r>
      <w:r w:rsidR="002E131D" w:rsidRPr="00082422">
        <w:rPr>
          <w:rFonts w:cs="Arial"/>
          <w:szCs w:val="22"/>
        </w:rPr>
        <w:t xml:space="preserve"> </w:t>
      </w:r>
      <w:r w:rsidR="002E131D" w:rsidRPr="009F2FDD">
        <w:rPr>
          <w:rFonts w:cs="Arial"/>
          <w:szCs w:val="22"/>
        </w:rPr>
        <w:t xml:space="preserve">from duty, </w:t>
      </w:r>
      <w:r w:rsidR="00F87DBB" w:rsidRPr="005B248C">
        <w:rPr>
          <w:rFonts w:cs="Arial"/>
          <w:b/>
          <w:szCs w:val="22"/>
        </w:rPr>
        <w:t>OR</w:t>
      </w:r>
      <w:r w:rsidR="002E131D" w:rsidRPr="0067218D">
        <w:rPr>
          <w:rFonts w:cs="Arial"/>
          <w:szCs w:val="22"/>
        </w:rPr>
        <w:t xml:space="preserve"> the chief executive is </w:t>
      </w:r>
      <w:r w:rsidR="002E131D" w:rsidRPr="005B248C">
        <w:rPr>
          <w:rFonts w:cs="Arial"/>
          <w:b/>
          <w:szCs w:val="22"/>
        </w:rPr>
        <w:t>reasonably satisfied</w:t>
      </w:r>
      <w:r w:rsidR="002E131D" w:rsidRPr="0067218D">
        <w:rPr>
          <w:rFonts w:cs="Arial"/>
          <w:szCs w:val="22"/>
        </w:rPr>
        <w:t xml:space="preserve"> they are not performing their duties satisfactorily</w:t>
      </w:r>
      <w:r w:rsidR="00F87DBB">
        <w:rPr>
          <w:rFonts w:cs="Arial"/>
          <w:szCs w:val="22"/>
        </w:rPr>
        <w:t xml:space="preserve">; </w:t>
      </w:r>
      <w:r w:rsidR="00F87DBB" w:rsidRPr="00F87DBB">
        <w:rPr>
          <w:rFonts w:cs="Arial"/>
          <w:b/>
          <w:szCs w:val="22"/>
        </w:rPr>
        <w:t>AND</w:t>
      </w:r>
    </w:p>
    <w:p w14:paraId="513047B8" w14:textId="3A46D1F9" w:rsidR="009F2FDD" w:rsidRDefault="009F2FDD" w:rsidP="00942BBF">
      <w:pPr>
        <w:pStyle w:val="ListParagraph"/>
        <w:numPr>
          <w:ilvl w:val="0"/>
          <w:numId w:val="24"/>
        </w:numPr>
        <w:tabs>
          <w:tab w:val="left" w:pos="1080"/>
        </w:tabs>
        <w:spacing w:before="240"/>
        <w:rPr>
          <w:rFonts w:cs="Arial"/>
          <w:szCs w:val="22"/>
        </w:rPr>
      </w:pPr>
      <w:r>
        <w:rPr>
          <w:rFonts w:cs="Arial"/>
          <w:szCs w:val="22"/>
        </w:rPr>
        <w:t xml:space="preserve">the </w:t>
      </w:r>
      <w:r w:rsidR="00966D4B">
        <w:rPr>
          <w:rFonts w:cs="Arial"/>
          <w:szCs w:val="22"/>
        </w:rPr>
        <w:t>chief executive</w:t>
      </w:r>
      <w:r>
        <w:rPr>
          <w:rFonts w:cs="Arial"/>
          <w:szCs w:val="22"/>
        </w:rPr>
        <w:t xml:space="preserve"> </w:t>
      </w:r>
      <w:r w:rsidRPr="005B248C">
        <w:rPr>
          <w:rFonts w:cs="Arial"/>
          <w:b/>
          <w:szCs w:val="22"/>
        </w:rPr>
        <w:t>reasonably suspects</w:t>
      </w:r>
      <w:r>
        <w:rPr>
          <w:rFonts w:cs="Arial"/>
          <w:szCs w:val="22"/>
        </w:rPr>
        <w:t xml:space="preserve"> that the absence or unsatisfactory performance is caused by mental or physical illness, or disability.</w:t>
      </w:r>
    </w:p>
    <w:p w14:paraId="73D7DEDF" w14:textId="500693F4" w:rsidR="0046195E" w:rsidRPr="00F663A2" w:rsidRDefault="008D2008" w:rsidP="00F02F3A">
      <w:pPr>
        <w:tabs>
          <w:tab w:val="left" w:pos="1080"/>
        </w:tabs>
        <w:spacing w:before="240" w:after="120"/>
        <w:ind w:left="709" w:hanging="709"/>
        <w:rPr>
          <w:rFonts w:cs="Arial"/>
          <w:szCs w:val="22"/>
        </w:rPr>
      </w:pPr>
      <w:r>
        <w:rPr>
          <w:rFonts w:cs="Arial"/>
          <w:szCs w:val="22"/>
        </w:rPr>
        <w:t>9</w:t>
      </w:r>
      <w:r w:rsidR="004A2AE0">
        <w:rPr>
          <w:rFonts w:cs="Arial"/>
          <w:szCs w:val="22"/>
        </w:rPr>
        <w:t>.</w:t>
      </w:r>
      <w:r w:rsidR="00F87DBB">
        <w:rPr>
          <w:rFonts w:cs="Arial"/>
          <w:szCs w:val="22"/>
        </w:rPr>
        <w:t>3</w:t>
      </w:r>
      <w:r w:rsidR="00147E96">
        <w:rPr>
          <w:rFonts w:cs="Arial"/>
          <w:szCs w:val="22"/>
        </w:rPr>
        <w:tab/>
      </w:r>
      <w:r w:rsidR="00FF2333" w:rsidRPr="00FF2333">
        <w:rPr>
          <w:rFonts w:cs="Arial"/>
          <w:b/>
          <w:szCs w:val="22"/>
        </w:rPr>
        <w:t>Current</w:t>
      </w:r>
      <w:r w:rsidR="00214571" w:rsidRPr="00FF2333">
        <w:rPr>
          <w:rFonts w:cs="Arial"/>
          <w:b/>
          <w:szCs w:val="22"/>
        </w:rPr>
        <w:t xml:space="preserve"> absence </w:t>
      </w:r>
      <w:r w:rsidR="004F76FA">
        <w:rPr>
          <w:rFonts w:cs="Arial"/>
          <w:b/>
          <w:szCs w:val="22"/>
        </w:rPr>
        <w:t>OR</w:t>
      </w:r>
      <w:r w:rsidR="00214571" w:rsidRPr="00FF2333">
        <w:rPr>
          <w:rFonts w:cs="Arial"/>
          <w:b/>
          <w:szCs w:val="22"/>
        </w:rPr>
        <w:t xml:space="preserve"> unsatisfactory performance</w:t>
      </w:r>
      <w:r w:rsidR="00214571">
        <w:rPr>
          <w:rFonts w:cs="Arial"/>
          <w:szCs w:val="22"/>
        </w:rPr>
        <w:t xml:space="preserve"> –</w:t>
      </w:r>
      <w:r w:rsidR="00FF2333">
        <w:rPr>
          <w:rFonts w:cs="Arial"/>
          <w:szCs w:val="22"/>
        </w:rPr>
        <w:t xml:space="preserve"> </w:t>
      </w:r>
      <w:r w:rsidR="00FF2333">
        <w:rPr>
          <w:rFonts w:cs="Arial"/>
        </w:rPr>
        <w:t>t</w:t>
      </w:r>
      <w:r w:rsidR="00214571" w:rsidRPr="00B37F1F">
        <w:rPr>
          <w:rFonts w:cs="Arial"/>
        </w:rPr>
        <w:t>he absence identified in section 174 is a current absence. It does not refer to frequent, intermittent absences whether du</w:t>
      </w:r>
      <w:r w:rsidR="00FF2333">
        <w:rPr>
          <w:rFonts w:cs="Arial"/>
        </w:rPr>
        <w:t>e to illness or other reasons</w:t>
      </w:r>
      <w:r w:rsidR="00F663A2">
        <w:rPr>
          <w:rFonts w:cs="Arial"/>
        </w:rPr>
        <w:t>.</w:t>
      </w:r>
      <w:r w:rsidR="009D022D">
        <w:rPr>
          <w:rFonts w:cs="Arial"/>
        </w:rPr>
        <w:t xml:space="preserve"> </w:t>
      </w:r>
      <w:r w:rsidR="0046195E">
        <w:rPr>
          <w:rFonts w:cs="Arial"/>
          <w:szCs w:val="22"/>
        </w:rPr>
        <w:t>Evidence of frequent absences is not of itself evidence of poor performance; the performance impact must still be shown.</w:t>
      </w:r>
    </w:p>
    <w:p w14:paraId="6E6CF6BF" w14:textId="77777777" w:rsidR="00214571" w:rsidRDefault="00214571" w:rsidP="00214571">
      <w:pPr>
        <w:rPr>
          <w:rFonts w:cs="Arial"/>
        </w:rPr>
      </w:pPr>
    </w:p>
    <w:p w14:paraId="3A575F82" w14:textId="0CE21C02" w:rsidR="00FF2333" w:rsidRDefault="00214571" w:rsidP="001E0106">
      <w:pPr>
        <w:ind w:left="709"/>
        <w:rPr>
          <w:rFonts w:cs="Arial"/>
        </w:rPr>
      </w:pPr>
      <w:r w:rsidRPr="00B37F1F">
        <w:rPr>
          <w:rFonts w:cs="Arial"/>
        </w:rPr>
        <w:t xml:space="preserve">The chief executive must </w:t>
      </w:r>
      <w:r w:rsidRPr="00FF2333">
        <w:rPr>
          <w:rFonts w:cs="Arial"/>
        </w:rPr>
        <w:t>be reasonably satisfied that</w:t>
      </w:r>
      <w:r w:rsidRPr="00B37F1F">
        <w:rPr>
          <w:rFonts w:cs="Arial"/>
        </w:rPr>
        <w:t xml:space="preserve"> a public service employee is not performing their duties satisfactorily</w:t>
      </w:r>
      <w:r w:rsidR="00F663A2">
        <w:rPr>
          <w:rFonts w:cs="Arial"/>
        </w:rPr>
        <w:t>, whether this is due to frequent absence or other performance aspects</w:t>
      </w:r>
      <w:r w:rsidRPr="00B37F1F">
        <w:rPr>
          <w:rFonts w:cs="Arial"/>
        </w:rPr>
        <w:t xml:space="preserve">. This requires </w:t>
      </w:r>
      <w:r w:rsidRPr="00FF2333">
        <w:rPr>
          <w:rFonts w:cs="Arial"/>
        </w:rPr>
        <w:t>evidence that supports a conclusion that a particular fact is more likely</w:t>
      </w:r>
      <w:r w:rsidR="00082422">
        <w:rPr>
          <w:rFonts w:cs="Arial"/>
        </w:rPr>
        <w:t>,</w:t>
      </w:r>
      <w:r w:rsidRPr="00FF2333">
        <w:rPr>
          <w:rFonts w:cs="Arial"/>
        </w:rPr>
        <w:t xml:space="preserve"> than not</w:t>
      </w:r>
      <w:r w:rsidR="00082422">
        <w:rPr>
          <w:rFonts w:cs="Arial"/>
        </w:rPr>
        <w:t>,</w:t>
      </w:r>
      <w:r w:rsidRPr="00FF2333">
        <w:rPr>
          <w:rFonts w:cs="Arial"/>
        </w:rPr>
        <w:t xml:space="preserve"> tr</w:t>
      </w:r>
      <w:r w:rsidRPr="00B37F1F">
        <w:rPr>
          <w:rFonts w:cs="Arial"/>
        </w:rPr>
        <w:t xml:space="preserve">ue. </w:t>
      </w:r>
      <w:r w:rsidR="000B750D">
        <w:rPr>
          <w:rFonts w:cs="Arial"/>
        </w:rPr>
        <w:t>The evidence relied upon must be detailed in the requirement to submit to the independent medical examination.</w:t>
      </w:r>
    </w:p>
    <w:p w14:paraId="73E96D2E" w14:textId="77777777" w:rsidR="00FF2333" w:rsidRDefault="00FF2333" w:rsidP="001E0106">
      <w:pPr>
        <w:ind w:left="709"/>
        <w:rPr>
          <w:rFonts w:cs="Arial"/>
        </w:rPr>
      </w:pPr>
    </w:p>
    <w:p w14:paraId="6542EBD4" w14:textId="44F7DD16" w:rsidR="00214571" w:rsidRPr="00B37F1F" w:rsidRDefault="00FF2333" w:rsidP="00FF2333">
      <w:pPr>
        <w:ind w:left="709"/>
        <w:rPr>
          <w:rFonts w:cs="Arial"/>
          <w:szCs w:val="22"/>
        </w:rPr>
      </w:pPr>
      <w:r>
        <w:rPr>
          <w:rFonts w:cs="Arial"/>
        </w:rPr>
        <w:t>Relevant evidence may include:</w:t>
      </w:r>
    </w:p>
    <w:p w14:paraId="535E1A54" w14:textId="42C23272" w:rsidR="00214571" w:rsidRDefault="00214571" w:rsidP="00942BBF">
      <w:pPr>
        <w:pStyle w:val="ListParagraph"/>
        <w:numPr>
          <w:ilvl w:val="0"/>
          <w:numId w:val="25"/>
        </w:numPr>
        <w:tabs>
          <w:tab w:val="left" w:pos="1080"/>
        </w:tabs>
        <w:spacing w:before="240" w:after="120"/>
        <w:rPr>
          <w:rFonts w:cs="Arial"/>
        </w:rPr>
      </w:pPr>
      <w:r w:rsidRPr="00F40566">
        <w:rPr>
          <w:rFonts w:cs="Arial"/>
        </w:rPr>
        <w:t>a performance agreement or work plan pre</w:t>
      </w:r>
      <w:r w:rsidR="002A752A">
        <w:rPr>
          <w:rFonts w:cs="Arial"/>
        </w:rPr>
        <w:t>viously agreed with the employee</w:t>
      </w:r>
    </w:p>
    <w:p w14:paraId="5C24DB16" w14:textId="35A1F213" w:rsidR="00214571" w:rsidRPr="00550A22" w:rsidRDefault="00214571" w:rsidP="00942BBF">
      <w:pPr>
        <w:pStyle w:val="ListParagraph"/>
        <w:numPr>
          <w:ilvl w:val="0"/>
          <w:numId w:val="25"/>
        </w:numPr>
        <w:tabs>
          <w:tab w:val="left" w:pos="1080"/>
        </w:tabs>
        <w:spacing w:before="240" w:after="120"/>
        <w:rPr>
          <w:rFonts w:cs="Arial"/>
        </w:rPr>
      </w:pPr>
      <w:r>
        <w:rPr>
          <w:rFonts w:cs="Arial"/>
        </w:rPr>
        <w:t>notes of performance discussions</w:t>
      </w:r>
      <w:r w:rsidR="002A752A">
        <w:rPr>
          <w:rFonts w:cs="Arial"/>
        </w:rPr>
        <w:t>,</w:t>
      </w:r>
      <w:r>
        <w:rPr>
          <w:rFonts w:cs="Arial"/>
        </w:rPr>
        <w:t xml:space="preserve"> a performance improvement plan (PIP)</w:t>
      </w:r>
      <w:r w:rsidR="002A752A">
        <w:rPr>
          <w:rFonts w:cs="Arial"/>
        </w:rPr>
        <w:t>, or a performance report</w:t>
      </w:r>
      <w:r w:rsidR="00FF2333">
        <w:rPr>
          <w:rFonts w:cs="Arial"/>
        </w:rPr>
        <w:t>. P</w:t>
      </w:r>
      <w:r>
        <w:rPr>
          <w:rFonts w:cs="Arial"/>
        </w:rPr>
        <w:t xml:space="preserve">erformance issues </w:t>
      </w:r>
      <w:r w:rsidRPr="00575F28">
        <w:rPr>
          <w:rFonts w:cs="Arial"/>
        </w:rPr>
        <w:t>must</w:t>
      </w:r>
      <w:r w:rsidRPr="00FF2333">
        <w:rPr>
          <w:rFonts w:cs="Arial"/>
        </w:rPr>
        <w:t xml:space="preserve"> have</w:t>
      </w:r>
      <w:r>
        <w:rPr>
          <w:rFonts w:cs="Arial"/>
        </w:rPr>
        <w:t xml:space="preserve"> been discussed with the employee before an IME can occur</w:t>
      </w:r>
      <w:r w:rsidR="0095659E">
        <w:rPr>
          <w:rFonts w:cs="Arial"/>
        </w:rPr>
        <w:t xml:space="preserve"> other than in exceptional circum</w:t>
      </w:r>
      <w:r w:rsidR="002A6B0D">
        <w:rPr>
          <w:rFonts w:cs="Arial"/>
        </w:rPr>
        <w:t>st</w:t>
      </w:r>
      <w:r w:rsidR="0095659E">
        <w:rPr>
          <w:rFonts w:cs="Arial"/>
        </w:rPr>
        <w:t>ances</w:t>
      </w:r>
      <w:r w:rsidR="0095659E">
        <w:rPr>
          <w:rStyle w:val="FootnoteReference"/>
          <w:rFonts w:cs="Arial"/>
        </w:rPr>
        <w:footnoteReference w:id="3"/>
      </w:r>
      <w:r>
        <w:rPr>
          <w:rFonts w:cs="Arial"/>
        </w:rPr>
        <w:t xml:space="preserve"> </w:t>
      </w:r>
    </w:p>
    <w:p w14:paraId="556B21DA" w14:textId="7EFAC31E" w:rsidR="00FF2333" w:rsidRDefault="00550A22" w:rsidP="00942BBF">
      <w:pPr>
        <w:pStyle w:val="ListParagraph"/>
        <w:numPr>
          <w:ilvl w:val="0"/>
          <w:numId w:val="25"/>
        </w:numPr>
        <w:tabs>
          <w:tab w:val="left" w:pos="1080"/>
        </w:tabs>
        <w:spacing w:before="240" w:after="120"/>
        <w:rPr>
          <w:rFonts w:cs="Arial"/>
          <w:szCs w:val="22"/>
        </w:rPr>
      </w:pPr>
      <w:r w:rsidRPr="002A752A">
        <w:rPr>
          <w:rFonts w:cs="Arial"/>
          <w:szCs w:val="22"/>
        </w:rPr>
        <w:t xml:space="preserve">documented instances of </w:t>
      </w:r>
      <w:r w:rsidR="002A752A">
        <w:rPr>
          <w:rFonts w:cs="Arial"/>
          <w:szCs w:val="22"/>
        </w:rPr>
        <w:t xml:space="preserve">inappropriate </w:t>
      </w:r>
      <w:r w:rsidRPr="002A752A">
        <w:rPr>
          <w:rFonts w:cs="Arial"/>
          <w:szCs w:val="22"/>
        </w:rPr>
        <w:t>conduct</w:t>
      </w:r>
      <w:r w:rsidR="007C477C">
        <w:rPr>
          <w:rFonts w:cs="Arial"/>
          <w:szCs w:val="22"/>
        </w:rPr>
        <w:t xml:space="preserve"> or impacts on the health and safety of the employee or others,</w:t>
      </w:r>
      <w:r w:rsidRPr="002A752A">
        <w:rPr>
          <w:rFonts w:cs="Arial"/>
          <w:szCs w:val="22"/>
        </w:rPr>
        <w:t xml:space="preserve"> and any actions that were taken by the agenc</w:t>
      </w:r>
      <w:bookmarkEnd w:id="1"/>
      <w:r w:rsidR="002A752A" w:rsidRPr="002A752A">
        <w:rPr>
          <w:rFonts w:cs="Arial"/>
          <w:szCs w:val="22"/>
        </w:rPr>
        <w:t>y</w:t>
      </w:r>
      <w:r w:rsidR="002A752A" w:rsidRPr="00E17C71">
        <w:rPr>
          <w:rFonts w:cs="Arial"/>
          <w:szCs w:val="22"/>
        </w:rPr>
        <w:t>.</w:t>
      </w:r>
    </w:p>
    <w:p w14:paraId="5B9CFFD3" w14:textId="6BC674B9" w:rsidR="00A02282" w:rsidRDefault="002A752A" w:rsidP="00615C35">
      <w:pPr>
        <w:ind w:left="709" w:hanging="709"/>
      </w:pPr>
      <w:r>
        <w:t>9</w:t>
      </w:r>
      <w:r w:rsidR="00F87DBB">
        <w:t>.4</w:t>
      </w:r>
      <w:r w:rsidR="00142177" w:rsidRPr="00142177">
        <w:t xml:space="preserve"> </w:t>
      </w:r>
      <w:r w:rsidR="00142177">
        <w:tab/>
      </w:r>
      <w:r w:rsidR="00142177" w:rsidRPr="000E7280">
        <w:rPr>
          <w:b/>
        </w:rPr>
        <w:t>A reasonable suspicion of mental or physical illness or disability</w:t>
      </w:r>
      <w:r w:rsidR="00142177" w:rsidRPr="00A02282">
        <w:t xml:space="preserve"> </w:t>
      </w:r>
      <w:r w:rsidR="00142177">
        <w:t>–</w:t>
      </w:r>
      <w:r w:rsidR="00A02282">
        <w:t xml:space="preserve"> t</w:t>
      </w:r>
      <w:r w:rsidR="00142177" w:rsidRPr="00A02282">
        <w:t xml:space="preserve">he suspicion that </w:t>
      </w:r>
      <w:r w:rsidR="00550A22">
        <w:t>unsatisfactory</w:t>
      </w:r>
      <w:r w:rsidR="00142177" w:rsidRPr="00A02282">
        <w:t xml:space="preserve"> performance or the current absence is caused by mental or physical illness or disability</w:t>
      </w:r>
      <w:r w:rsidR="00142177" w:rsidRPr="00A02282" w:rsidDel="00695609">
        <w:t xml:space="preserve"> </w:t>
      </w:r>
      <w:r w:rsidR="00142177" w:rsidRPr="00550A22">
        <w:rPr>
          <w:i/>
        </w:rPr>
        <w:t>must be reasonably held</w:t>
      </w:r>
      <w:r w:rsidR="00142177" w:rsidRPr="00A02282">
        <w:t xml:space="preserve">. There must be information that suggests there is an illness or disability that is causing the </w:t>
      </w:r>
      <w:r w:rsidR="00550A22">
        <w:t>unsatisfactory</w:t>
      </w:r>
      <w:r w:rsidR="00142177" w:rsidRPr="00A02282">
        <w:t xml:space="preserve"> perfor</w:t>
      </w:r>
      <w:r w:rsidR="00092BE6">
        <w:t>mance or current absence</w:t>
      </w:r>
      <w:r w:rsidR="000B750D">
        <w:t xml:space="preserve">, and </w:t>
      </w:r>
      <w:r w:rsidR="004E55F8">
        <w:t>this information</w:t>
      </w:r>
      <w:r w:rsidR="00092BE6">
        <w:t xml:space="preserve"> </w:t>
      </w:r>
      <w:r w:rsidR="000B750D">
        <w:t>must</w:t>
      </w:r>
      <w:r w:rsidR="00142177" w:rsidRPr="00A02282">
        <w:t xml:space="preserve"> be </w:t>
      </w:r>
      <w:r w:rsidR="000B750D">
        <w:t xml:space="preserve">explained </w:t>
      </w:r>
      <w:r w:rsidR="00142177" w:rsidRPr="00A02282">
        <w:t xml:space="preserve">to the </w:t>
      </w:r>
      <w:r w:rsidR="004E55F8" w:rsidRPr="00A02282">
        <w:t>employee in</w:t>
      </w:r>
      <w:r w:rsidR="00DA010F">
        <w:t xml:space="preserve"> the letter requiring them to attend an IME,</w:t>
      </w:r>
      <w:r w:rsidR="00142177" w:rsidRPr="00A02282">
        <w:t xml:space="preserve"> by referring to factual workplace</w:t>
      </w:r>
      <w:r w:rsidR="005A2278">
        <w:t xml:space="preserve"> </w:t>
      </w:r>
      <w:r w:rsidR="00142177" w:rsidRPr="00A02282">
        <w:t>observations or document</w:t>
      </w:r>
      <w:r w:rsidR="000E7280">
        <w:t>s</w:t>
      </w:r>
      <w:r w:rsidR="00142177" w:rsidRPr="00A02282">
        <w:t xml:space="preserve">. </w:t>
      </w:r>
    </w:p>
    <w:p w14:paraId="0F248D4D" w14:textId="7540A331" w:rsidR="003B7346" w:rsidRDefault="003B7346">
      <w:pPr>
        <w:rPr>
          <w:rFonts w:cs="Arial"/>
          <w:szCs w:val="22"/>
        </w:rPr>
      </w:pPr>
    </w:p>
    <w:p w14:paraId="09D7BB3C" w14:textId="7CF64791" w:rsidR="00142177" w:rsidRPr="00A02282" w:rsidRDefault="00142177" w:rsidP="00615C35">
      <w:pPr>
        <w:ind w:firstLine="709"/>
        <w:rPr>
          <w:b/>
          <w:szCs w:val="22"/>
        </w:rPr>
      </w:pPr>
      <w:r w:rsidRPr="00A02282">
        <w:rPr>
          <w:rFonts w:cs="Arial"/>
          <w:szCs w:val="22"/>
        </w:rPr>
        <w:t xml:space="preserve">Such information may include (but is not limited to): </w:t>
      </w:r>
    </w:p>
    <w:p w14:paraId="3436A093" w14:textId="15328905" w:rsidR="00142177" w:rsidRPr="003F4F1E" w:rsidRDefault="00142177" w:rsidP="00942BBF">
      <w:pPr>
        <w:pStyle w:val="ListParagraph"/>
        <w:numPr>
          <w:ilvl w:val="0"/>
          <w:numId w:val="26"/>
        </w:numPr>
        <w:tabs>
          <w:tab w:val="left" w:pos="1080"/>
        </w:tabs>
        <w:spacing w:before="120" w:after="120"/>
        <w:rPr>
          <w:rFonts w:cs="Arial"/>
        </w:rPr>
      </w:pPr>
      <w:r w:rsidRPr="003F4F1E">
        <w:rPr>
          <w:rFonts w:cs="Arial"/>
        </w:rPr>
        <w:t>a significant change in behaviour or demeanour (including una</w:t>
      </w:r>
      <w:r w:rsidR="00A02282">
        <w:rPr>
          <w:rFonts w:cs="Arial"/>
        </w:rPr>
        <w:t>cceptable behaviour)</w:t>
      </w:r>
    </w:p>
    <w:p w14:paraId="6CDEBE45" w14:textId="31E95A7B" w:rsidR="002A752A" w:rsidRDefault="00142177" w:rsidP="00942BBF">
      <w:pPr>
        <w:pStyle w:val="ListParagraph"/>
        <w:numPr>
          <w:ilvl w:val="0"/>
          <w:numId w:val="26"/>
        </w:numPr>
        <w:tabs>
          <w:tab w:val="left" w:pos="1080"/>
        </w:tabs>
        <w:spacing w:before="120" w:after="120"/>
        <w:rPr>
          <w:rFonts w:cs="Arial"/>
        </w:rPr>
      </w:pPr>
      <w:r w:rsidRPr="002A752A">
        <w:rPr>
          <w:rFonts w:cs="Arial"/>
        </w:rPr>
        <w:t>appa</w:t>
      </w:r>
      <w:r w:rsidR="002A752A">
        <w:rPr>
          <w:rFonts w:cs="Arial"/>
        </w:rPr>
        <w:t>rent physical</w:t>
      </w:r>
      <w:r w:rsidR="007C477C">
        <w:rPr>
          <w:rFonts w:cs="Arial"/>
        </w:rPr>
        <w:t xml:space="preserve">, </w:t>
      </w:r>
      <w:r w:rsidR="00891984">
        <w:rPr>
          <w:rFonts w:cs="Arial"/>
        </w:rPr>
        <w:t>functional</w:t>
      </w:r>
      <w:r w:rsidR="007C477C">
        <w:rPr>
          <w:rFonts w:cs="Arial"/>
        </w:rPr>
        <w:t xml:space="preserve"> and/or </w:t>
      </w:r>
      <w:r w:rsidR="00891984">
        <w:rPr>
          <w:rFonts w:cs="Arial"/>
        </w:rPr>
        <w:t>cognitive</w:t>
      </w:r>
      <w:r w:rsidR="002A752A">
        <w:rPr>
          <w:rFonts w:cs="Arial"/>
        </w:rPr>
        <w:t xml:space="preserve"> difficulties</w:t>
      </w:r>
    </w:p>
    <w:p w14:paraId="545FB966" w14:textId="433B9373" w:rsidR="00142177" w:rsidRPr="002A752A" w:rsidRDefault="00A02282" w:rsidP="00942BBF">
      <w:pPr>
        <w:pStyle w:val="ListParagraph"/>
        <w:numPr>
          <w:ilvl w:val="0"/>
          <w:numId w:val="26"/>
        </w:numPr>
        <w:tabs>
          <w:tab w:val="left" w:pos="1080"/>
        </w:tabs>
        <w:spacing w:before="120" w:after="120"/>
        <w:rPr>
          <w:rFonts w:cs="Arial"/>
        </w:rPr>
      </w:pPr>
      <w:r w:rsidRPr="002A752A">
        <w:rPr>
          <w:rFonts w:cs="Arial"/>
        </w:rPr>
        <w:lastRenderedPageBreak/>
        <w:t>emotional outbursts</w:t>
      </w:r>
      <w:r w:rsidR="00142177" w:rsidRPr="002A752A">
        <w:rPr>
          <w:rFonts w:cs="Arial"/>
        </w:rPr>
        <w:t xml:space="preserve"> </w:t>
      </w:r>
    </w:p>
    <w:p w14:paraId="77584DC6" w14:textId="76689443" w:rsidR="00142177" w:rsidRPr="003F4F1E" w:rsidRDefault="00142177" w:rsidP="00942BBF">
      <w:pPr>
        <w:pStyle w:val="ListParagraph"/>
        <w:numPr>
          <w:ilvl w:val="0"/>
          <w:numId w:val="26"/>
        </w:numPr>
        <w:tabs>
          <w:tab w:val="left" w:pos="1080"/>
        </w:tabs>
        <w:spacing w:before="120" w:after="120"/>
        <w:rPr>
          <w:rFonts w:cs="Arial"/>
        </w:rPr>
      </w:pPr>
      <w:r w:rsidRPr="003F4F1E">
        <w:rPr>
          <w:rFonts w:cs="Arial"/>
        </w:rPr>
        <w:t>verbal or documented information provided by the employee e</w:t>
      </w:r>
      <w:r w:rsidR="00A02282">
        <w:rPr>
          <w:rFonts w:cs="Arial"/>
        </w:rPr>
        <w:t>.g. d</w:t>
      </w:r>
      <w:r w:rsidRPr="003F4F1E">
        <w:rPr>
          <w:rFonts w:cs="Arial"/>
        </w:rPr>
        <w:t xml:space="preserve">isclosure of mental or physical illness or disability, physical capabilities </w:t>
      </w:r>
      <w:r>
        <w:rPr>
          <w:rFonts w:cs="Arial"/>
        </w:rPr>
        <w:t>assessment</w:t>
      </w:r>
      <w:r w:rsidRPr="003F4F1E">
        <w:rPr>
          <w:rFonts w:cs="Arial"/>
        </w:rPr>
        <w:t xml:space="preserve"> provided by a medical practitioner o</w:t>
      </w:r>
      <w:r>
        <w:rPr>
          <w:rFonts w:cs="Arial"/>
        </w:rPr>
        <w:t xml:space="preserve">r other information from </w:t>
      </w:r>
      <w:r w:rsidRPr="003F4F1E">
        <w:rPr>
          <w:rFonts w:cs="Arial"/>
        </w:rPr>
        <w:t>the employee’s treating doctor.</w:t>
      </w:r>
    </w:p>
    <w:p w14:paraId="28CEC983" w14:textId="77777777" w:rsidR="00142177" w:rsidRPr="005B248C" w:rsidRDefault="00142177" w:rsidP="005B3CC5">
      <w:pPr>
        <w:spacing w:before="120" w:after="120"/>
      </w:pPr>
      <w:r w:rsidRPr="005B248C">
        <w:t>Note: some of these signs may indicate other non-</w:t>
      </w:r>
      <w:proofErr w:type="gramStart"/>
      <w:r w:rsidRPr="005B248C">
        <w:t>work related</w:t>
      </w:r>
      <w:proofErr w:type="gramEnd"/>
      <w:r w:rsidRPr="005B248C">
        <w:t xml:space="preserve"> issues and should be considered as signs for a check in and asking “R u ok?” It may also be appropriate to provide the employee with information about relevant referral services, including the Employee Assistance Service (EAS) or DFV support.</w:t>
      </w:r>
    </w:p>
    <w:p w14:paraId="691F6800" w14:textId="1CF74D69" w:rsidR="0040446A" w:rsidRDefault="00A60623" w:rsidP="00942BBF">
      <w:pPr>
        <w:pStyle w:val="Heading1"/>
        <w:numPr>
          <w:ilvl w:val="0"/>
          <w:numId w:val="32"/>
        </w:numPr>
      </w:pPr>
      <w:bookmarkStart w:id="10" w:name="_Toc1731096"/>
      <w:r>
        <w:t xml:space="preserve">The IME </w:t>
      </w:r>
      <w:proofErr w:type="gramStart"/>
      <w:r>
        <w:t>process</w:t>
      </w:r>
      <w:bookmarkEnd w:id="10"/>
      <w:proofErr w:type="gramEnd"/>
    </w:p>
    <w:p w14:paraId="5F2CAF3E" w14:textId="164B49BA" w:rsidR="00142177" w:rsidRDefault="005A2278" w:rsidP="00142177">
      <w:pPr>
        <w:pStyle w:val="BodyText"/>
      </w:pPr>
      <w:r w:rsidRPr="005A2278">
        <w:rPr>
          <w:noProof/>
          <w:lang w:val="en-US" w:eastAsia="en-US"/>
        </w:rPr>
        <w:drawing>
          <wp:inline distT="0" distB="0" distL="0" distR="0" wp14:anchorId="37C4A6A5" wp14:editId="38E1887B">
            <wp:extent cx="5400675" cy="939594"/>
            <wp:effectExtent l="0" t="0" r="0" b="0"/>
            <wp:docPr id="22" name="Picture 22" descr="C:\Users\mccabev\AppData\Local\Microsoft\Windows\INetCache\Content.Outlook\HWWFMVGD\guidlines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abev\AppData\Local\Microsoft\Windows\INetCache\Content.Outlook\HWWFMVGD\guidlines_diagra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675" cy="939594"/>
                    </a:xfrm>
                    <a:prstGeom prst="rect">
                      <a:avLst/>
                    </a:prstGeom>
                    <a:noFill/>
                    <a:ln>
                      <a:noFill/>
                    </a:ln>
                  </pic:spPr>
                </pic:pic>
              </a:graphicData>
            </a:graphic>
          </wp:inline>
        </w:drawing>
      </w:r>
    </w:p>
    <w:p w14:paraId="6DF5FE57" w14:textId="77777777" w:rsidR="00707393" w:rsidRDefault="00707393" w:rsidP="00142177">
      <w:pPr>
        <w:pStyle w:val="BodyText"/>
      </w:pPr>
    </w:p>
    <w:p w14:paraId="176477FE" w14:textId="1E1CCC55" w:rsidR="00A60623" w:rsidRPr="00E44A08" w:rsidRDefault="003D22FA" w:rsidP="005B3CC5">
      <w:pPr>
        <w:pStyle w:val="BodyText"/>
        <w:ind w:left="720" w:hanging="720"/>
        <w:rPr>
          <w:b/>
        </w:rPr>
      </w:pPr>
      <w:r>
        <w:t>10</w:t>
      </w:r>
      <w:r w:rsidR="00A60623">
        <w:t>.1</w:t>
      </w:r>
      <w:r w:rsidR="00A60623">
        <w:tab/>
      </w:r>
      <w:r w:rsidR="00A60623" w:rsidRPr="00E44A08">
        <w:rPr>
          <w:b/>
        </w:rPr>
        <w:t>Choose a doctor</w:t>
      </w:r>
      <w:r w:rsidR="00E44A08">
        <w:rPr>
          <w:b/>
        </w:rPr>
        <w:t xml:space="preserve"> </w:t>
      </w:r>
      <w:r w:rsidR="00E44A08" w:rsidRPr="00E44A08">
        <w:t>–</w:t>
      </w:r>
      <w:r w:rsidR="00E44A08">
        <w:t xml:space="preserve"> </w:t>
      </w:r>
      <w:r w:rsidR="00E44A08">
        <w:rPr>
          <w:rFonts w:cs="Arial"/>
        </w:rPr>
        <w:t>u</w:t>
      </w:r>
      <w:r w:rsidR="00A60623" w:rsidRPr="00283DDF">
        <w:rPr>
          <w:rFonts w:cs="Arial"/>
        </w:rPr>
        <w:t xml:space="preserve">nder section 175(a) of the </w:t>
      </w:r>
      <w:r w:rsidR="00A60623" w:rsidRPr="00057ABB">
        <w:rPr>
          <w:rFonts w:cs="Arial"/>
        </w:rPr>
        <w:t>PS Act</w:t>
      </w:r>
      <w:r w:rsidR="00A60623">
        <w:rPr>
          <w:rFonts w:cs="Arial"/>
        </w:rPr>
        <w:t>,</w:t>
      </w:r>
      <w:r w:rsidR="00A60623" w:rsidRPr="00283DDF">
        <w:rPr>
          <w:rFonts w:cs="Arial"/>
          <w:i/>
        </w:rPr>
        <w:t xml:space="preserve"> </w:t>
      </w:r>
      <w:r w:rsidR="00A60623" w:rsidRPr="00283DDF">
        <w:rPr>
          <w:rFonts w:cs="Arial"/>
        </w:rPr>
        <w:t xml:space="preserve">the agency may appoint a </w:t>
      </w:r>
      <w:r w:rsidR="00A60623" w:rsidRPr="00601755">
        <w:rPr>
          <w:rFonts w:cs="Arial"/>
        </w:rPr>
        <w:t>doctor</w:t>
      </w:r>
      <w:r w:rsidR="00A60623" w:rsidRPr="00283DDF">
        <w:rPr>
          <w:rFonts w:cs="Arial"/>
        </w:rPr>
        <w:t xml:space="preserve"> to examine the employee and provide a written report on the results of the examination.</w:t>
      </w:r>
      <w:r w:rsidR="00A60623">
        <w:rPr>
          <w:rFonts w:cs="Arial"/>
        </w:rPr>
        <w:t xml:space="preserve"> </w:t>
      </w:r>
      <w:r w:rsidR="00A60623" w:rsidRPr="00FA4887">
        <w:rPr>
          <w:rFonts w:cs="Arial"/>
        </w:rPr>
        <w:t>The agency should choose a</w:t>
      </w:r>
      <w:r w:rsidR="00A60623">
        <w:rPr>
          <w:rFonts w:cs="Arial"/>
        </w:rPr>
        <w:t xml:space="preserve"> doctor who:</w:t>
      </w:r>
    </w:p>
    <w:p w14:paraId="045C01AD" w14:textId="2BB327F5" w:rsidR="00A60623" w:rsidRDefault="00A60623" w:rsidP="00942BBF">
      <w:pPr>
        <w:pStyle w:val="ListParagraph"/>
        <w:numPr>
          <w:ilvl w:val="0"/>
          <w:numId w:val="27"/>
        </w:numPr>
        <w:tabs>
          <w:tab w:val="left" w:pos="1080"/>
        </w:tabs>
        <w:spacing w:before="120" w:after="120"/>
        <w:rPr>
          <w:rFonts w:cs="Arial"/>
        </w:rPr>
      </w:pPr>
      <w:r>
        <w:rPr>
          <w:rFonts w:cs="Arial"/>
        </w:rPr>
        <w:t xml:space="preserve">is </w:t>
      </w:r>
      <w:r w:rsidRPr="00860E83">
        <w:rPr>
          <w:rFonts w:cs="Arial"/>
        </w:rPr>
        <w:t xml:space="preserve">independent </w:t>
      </w:r>
    </w:p>
    <w:p w14:paraId="58B8F860" w14:textId="1924007E" w:rsidR="00A60623" w:rsidRDefault="00A60623" w:rsidP="00942BBF">
      <w:pPr>
        <w:pStyle w:val="ListParagraph"/>
        <w:numPr>
          <w:ilvl w:val="0"/>
          <w:numId w:val="27"/>
        </w:numPr>
        <w:tabs>
          <w:tab w:val="left" w:pos="1080"/>
        </w:tabs>
        <w:spacing w:before="120" w:after="120"/>
        <w:rPr>
          <w:rFonts w:cs="Arial"/>
        </w:rPr>
      </w:pPr>
      <w:r w:rsidRPr="00860E83">
        <w:rPr>
          <w:rFonts w:cs="Arial"/>
        </w:rPr>
        <w:t>ha</w:t>
      </w:r>
      <w:r>
        <w:rPr>
          <w:rFonts w:cs="Arial"/>
        </w:rPr>
        <w:t>s</w:t>
      </w:r>
      <w:r w:rsidRPr="00860E83">
        <w:rPr>
          <w:rFonts w:cs="Arial"/>
        </w:rPr>
        <w:t xml:space="preserve"> expertise in the relevant area of the suspected mental or physical illness or disability</w:t>
      </w:r>
      <w:r w:rsidR="001E0106">
        <w:rPr>
          <w:rFonts w:cs="Arial"/>
        </w:rPr>
        <w:t xml:space="preserve"> (see </w:t>
      </w:r>
      <w:r w:rsidR="001E0106">
        <w:rPr>
          <w:rFonts w:cs="Arial"/>
        </w:rPr>
        <w:fldChar w:fldCharType="begin"/>
      </w:r>
      <w:r w:rsidR="001E0106">
        <w:rPr>
          <w:rFonts w:cs="Arial"/>
        </w:rPr>
        <w:instrText xml:space="preserve"> REF _Ref533081110 \h </w:instrText>
      </w:r>
      <w:r w:rsidR="001E0106">
        <w:rPr>
          <w:rFonts w:cs="Arial"/>
        </w:rPr>
      </w:r>
      <w:r w:rsidR="001E0106">
        <w:rPr>
          <w:rFonts w:cs="Arial"/>
        </w:rPr>
        <w:fldChar w:fldCharType="separate"/>
      </w:r>
      <w:r w:rsidR="00151143">
        <w:t>Glossary</w:t>
      </w:r>
      <w:r w:rsidR="001E0106">
        <w:rPr>
          <w:rFonts w:cs="Arial"/>
        </w:rPr>
        <w:fldChar w:fldCharType="end"/>
      </w:r>
      <w:r w:rsidR="001E0106">
        <w:rPr>
          <w:rFonts w:cs="Arial"/>
        </w:rPr>
        <w:t>)</w:t>
      </w:r>
    </w:p>
    <w:p w14:paraId="43DF6D42" w14:textId="67D15529" w:rsidR="00A60623" w:rsidRPr="005B248C" w:rsidRDefault="00A60623" w:rsidP="0067218D">
      <w:pPr>
        <w:pStyle w:val="ListParagraph"/>
        <w:numPr>
          <w:ilvl w:val="0"/>
          <w:numId w:val="27"/>
        </w:numPr>
        <w:tabs>
          <w:tab w:val="left" w:pos="1080"/>
        </w:tabs>
        <w:spacing w:before="120" w:after="120"/>
        <w:rPr>
          <w:rFonts w:cs="Arial"/>
        </w:rPr>
      </w:pPr>
      <w:r w:rsidRPr="00707393">
        <w:rPr>
          <w:rFonts w:cs="Arial"/>
        </w:rPr>
        <w:t>is not</w:t>
      </w:r>
      <w:r w:rsidRPr="00860E83">
        <w:rPr>
          <w:rFonts w:cs="Arial"/>
        </w:rPr>
        <w:t xml:space="preserve"> current</w:t>
      </w:r>
      <w:r>
        <w:rPr>
          <w:rFonts w:cs="Arial"/>
        </w:rPr>
        <w:t>ly treating</w:t>
      </w:r>
      <w:r w:rsidRPr="00860E83">
        <w:rPr>
          <w:rFonts w:cs="Arial"/>
        </w:rPr>
        <w:t xml:space="preserve"> or</w:t>
      </w:r>
      <w:r w:rsidR="003B6243">
        <w:rPr>
          <w:rFonts w:cs="Arial"/>
        </w:rPr>
        <w:t xml:space="preserve"> has previously</w:t>
      </w:r>
      <w:r w:rsidRPr="00860E83">
        <w:rPr>
          <w:rFonts w:cs="Arial"/>
        </w:rPr>
        <w:t xml:space="preserve"> </w:t>
      </w:r>
      <w:r>
        <w:rPr>
          <w:rFonts w:cs="Arial"/>
        </w:rPr>
        <w:t>treated</w:t>
      </w:r>
      <w:r w:rsidRPr="00860E83">
        <w:rPr>
          <w:rFonts w:cs="Arial"/>
        </w:rPr>
        <w:t xml:space="preserve"> </w:t>
      </w:r>
      <w:r>
        <w:rPr>
          <w:rFonts w:cs="Arial"/>
        </w:rPr>
        <w:t xml:space="preserve">the employee </w:t>
      </w:r>
      <w:r w:rsidR="00082422">
        <w:rPr>
          <w:rFonts w:cs="Arial"/>
        </w:rPr>
        <w:t>–</w:t>
      </w:r>
      <w:r w:rsidR="00E66768" w:rsidRPr="0067218D">
        <w:rPr>
          <w:rFonts w:cs="Arial"/>
        </w:rPr>
        <w:t xml:space="preserve"> </w:t>
      </w:r>
      <w:r w:rsidRPr="0067218D">
        <w:rPr>
          <w:rFonts w:cs="Arial"/>
        </w:rPr>
        <w:t>this is to eliminate a real or perceived conflict of interest</w:t>
      </w:r>
      <w:r w:rsidR="006805BF" w:rsidRPr="005B248C">
        <w:rPr>
          <w:rFonts w:cs="Arial"/>
        </w:rPr>
        <w:t xml:space="preserve">. </w:t>
      </w:r>
      <w:r w:rsidR="00E66768" w:rsidRPr="005B248C">
        <w:rPr>
          <w:rFonts w:cs="Arial"/>
        </w:rPr>
        <w:t>(</w:t>
      </w:r>
      <w:r w:rsidR="006805BF" w:rsidRPr="005B248C">
        <w:rPr>
          <w:rFonts w:cs="Arial"/>
        </w:rPr>
        <w:t>T</w:t>
      </w:r>
      <w:r w:rsidR="00DA010F" w:rsidRPr="005B248C">
        <w:rPr>
          <w:rFonts w:cs="Arial"/>
        </w:rPr>
        <w:t>here may be some instances where</w:t>
      </w:r>
      <w:r w:rsidR="006805BF" w:rsidRPr="005B248C">
        <w:rPr>
          <w:rFonts w:cs="Arial"/>
        </w:rPr>
        <w:t>, with the agreement of the employee,</w:t>
      </w:r>
      <w:r w:rsidR="00DA010F" w:rsidRPr="005B248C">
        <w:rPr>
          <w:rFonts w:cs="Arial"/>
        </w:rPr>
        <w:t xml:space="preserve"> a more informed decision can be made by seeking an opinion from a doctor who </w:t>
      </w:r>
      <w:r w:rsidR="006A038E" w:rsidRPr="005B248C">
        <w:rPr>
          <w:rFonts w:cs="Arial"/>
        </w:rPr>
        <w:t>has knowledge of</w:t>
      </w:r>
      <w:r w:rsidR="00DA010F" w:rsidRPr="005B248C">
        <w:rPr>
          <w:rFonts w:cs="Arial"/>
        </w:rPr>
        <w:t xml:space="preserve"> the employee</w:t>
      </w:r>
      <w:r w:rsidR="006A038E" w:rsidRPr="005B248C">
        <w:rPr>
          <w:rFonts w:cs="Arial"/>
        </w:rPr>
        <w:t>’s medical history</w:t>
      </w:r>
      <w:r w:rsidR="00E66768" w:rsidRPr="005B248C">
        <w:rPr>
          <w:rFonts w:cs="Arial"/>
        </w:rPr>
        <w:t>.</w:t>
      </w:r>
      <w:r w:rsidRPr="005B248C">
        <w:rPr>
          <w:rFonts w:cs="Arial"/>
        </w:rPr>
        <w:t>)</w:t>
      </w:r>
    </w:p>
    <w:p w14:paraId="504BB4E4" w14:textId="48AEED24" w:rsidR="00142177" w:rsidRPr="00707393" w:rsidRDefault="00A60623" w:rsidP="004955AC">
      <w:pPr>
        <w:tabs>
          <w:tab w:val="left" w:pos="1080"/>
        </w:tabs>
        <w:spacing w:before="240" w:after="120"/>
        <w:ind w:left="720"/>
        <w:rPr>
          <w:rFonts w:cs="Arial"/>
        </w:rPr>
      </w:pPr>
      <w:r w:rsidRPr="00D4675E">
        <w:rPr>
          <w:rFonts w:cs="Arial"/>
        </w:rPr>
        <w:t xml:space="preserve">Where the employee </w:t>
      </w:r>
      <w:r w:rsidRPr="00707393">
        <w:rPr>
          <w:rFonts w:cs="Arial"/>
        </w:rPr>
        <w:t xml:space="preserve">raises reasonable concerns about the doctor to which they have been </w:t>
      </w:r>
      <w:r w:rsidR="0033098C">
        <w:rPr>
          <w:rFonts w:cs="Arial"/>
        </w:rPr>
        <w:t>directed</w:t>
      </w:r>
      <w:r w:rsidR="009822B6">
        <w:rPr>
          <w:rFonts w:cs="Arial"/>
        </w:rPr>
        <w:t xml:space="preserve"> (e.g. gender, location)</w:t>
      </w:r>
      <w:r w:rsidR="00082422">
        <w:rPr>
          <w:rFonts w:cs="Arial"/>
        </w:rPr>
        <w:t xml:space="preserve"> </w:t>
      </w:r>
      <w:r w:rsidRPr="00707393">
        <w:rPr>
          <w:rFonts w:cs="Arial"/>
        </w:rPr>
        <w:t>the agency may consider appointing an alternative doctor who is suitably qualified to examine the employee</w:t>
      </w:r>
      <w:r w:rsidRPr="00D4675E">
        <w:rPr>
          <w:rFonts w:cs="Arial"/>
        </w:rPr>
        <w:t xml:space="preserve"> and provide a written report. The agency </w:t>
      </w:r>
      <w:r>
        <w:rPr>
          <w:rFonts w:cs="Arial"/>
        </w:rPr>
        <w:t>has</w:t>
      </w:r>
      <w:r w:rsidRPr="00D4675E">
        <w:rPr>
          <w:rFonts w:cs="Arial"/>
        </w:rPr>
        <w:t xml:space="preserve"> the final decision on which doctor is to be used and the timing of the appointment. </w:t>
      </w:r>
    </w:p>
    <w:p w14:paraId="54D58B55" w14:textId="5176350B" w:rsidR="004176E2" w:rsidRDefault="003D22FA" w:rsidP="00E44A08">
      <w:pPr>
        <w:pStyle w:val="BodyText"/>
        <w:ind w:left="720" w:hanging="720"/>
        <w:rPr>
          <w:rFonts w:cs="Arial"/>
        </w:rPr>
      </w:pPr>
      <w:r>
        <w:t>10</w:t>
      </w:r>
      <w:r w:rsidR="00A60623">
        <w:t>.2</w:t>
      </w:r>
      <w:r w:rsidR="00A60623">
        <w:tab/>
      </w:r>
      <w:r w:rsidR="00A60623" w:rsidRPr="00E44A08">
        <w:rPr>
          <w:b/>
        </w:rPr>
        <w:t>Brief the doctor</w:t>
      </w:r>
      <w:r w:rsidR="00E44A08">
        <w:t xml:space="preserve"> – t</w:t>
      </w:r>
      <w:r w:rsidR="00A60623" w:rsidRPr="00057ABB">
        <w:rPr>
          <w:rFonts w:cs="Arial"/>
        </w:rPr>
        <w:t>he doctor must be properly briefed in writing and given a copy of relevant supporting documentation, such as a description of the employee’s role, duties and responsibilities, an outline of the work environment (if relevant) and a chronology of events</w:t>
      </w:r>
      <w:r w:rsidR="004955AC">
        <w:rPr>
          <w:rFonts w:cs="Arial"/>
        </w:rPr>
        <w:t xml:space="preserve"> (</w:t>
      </w:r>
      <w:r w:rsidR="000B1ADA">
        <w:rPr>
          <w:rFonts w:cs="Arial"/>
        </w:rPr>
        <w:t>e.g.</w:t>
      </w:r>
      <w:r w:rsidR="004955AC">
        <w:rPr>
          <w:rFonts w:cs="Arial"/>
        </w:rPr>
        <w:t xml:space="preserve"> absence history, diagnosis from treating practitioner, performance issues and management response)</w:t>
      </w:r>
      <w:r w:rsidR="00A60623" w:rsidRPr="00057ABB">
        <w:rPr>
          <w:rFonts w:cs="Arial"/>
        </w:rPr>
        <w:t>.</w:t>
      </w:r>
      <w:r w:rsidR="00A60623">
        <w:rPr>
          <w:rFonts w:cs="Arial"/>
        </w:rPr>
        <w:t xml:space="preserve"> </w:t>
      </w:r>
      <w:r w:rsidR="00CD56FE">
        <w:rPr>
          <w:rFonts w:cs="Arial"/>
        </w:rPr>
        <w:t>E</w:t>
      </w:r>
      <w:r w:rsidR="00CD56FE" w:rsidRPr="00057ABB">
        <w:rPr>
          <w:rFonts w:cs="Arial"/>
        </w:rPr>
        <w:t>ach case require</w:t>
      </w:r>
      <w:r w:rsidR="00CD56FE">
        <w:rPr>
          <w:rFonts w:cs="Arial"/>
        </w:rPr>
        <w:t>s its own approach and sup</w:t>
      </w:r>
      <w:r w:rsidR="00CD56FE" w:rsidRPr="00057ABB">
        <w:rPr>
          <w:rFonts w:cs="Arial"/>
        </w:rPr>
        <w:t>porting documentation</w:t>
      </w:r>
      <w:r w:rsidR="00CD56FE">
        <w:rPr>
          <w:rFonts w:cs="Arial"/>
        </w:rPr>
        <w:t xml:space="preserve"> relevant to the </w:t>
      </w:r>
      <w:proofErr w:type="gramStart"/>
      <w:r w:rsidR="00CD56FE">
        <w:rPr>
          <w:rFonts w:cs="Arial"/>
        </w:rPr>
        <w:t>particular circumstances</w:t>
      </w:r>
      <w:proofErr w:type="gramEnd"/>
      <w:r w:rsidR="00CD56FE">
        <w:rPr>
          <w:rFonts w:cs="Arial"/>
        </w:rPr>
        <w:t>. Only information relevant to the current medical examination should be provided to the employing agency.</w:t>
      </w:r>
    </w:p>
    <w:p w14:paraId="380C98F2" w14:textId="77777777" w:rsidR="004B4075" w:rsidRDefault="00966D4B" w:rsidP="0067218D">
      <w:pPr>
        <w:pStyle w:val="BodyText"/>
        <w:ind w:left="720" w:hanging="720"/>
      </w:pPr>
      <w:r>
        <w:tab/>
      </w:r>
    </w:p>
    <w:p w14:paraId="7ACCB168" w14:textId="77777777" w:rsidR="004B4075" w:rsidRDefault="004B4075">
      <w:r>
        <w:br w:type="page"/>
      </w:r>
    </w:p>
    <w:p w14:paraId="3C6CA862" w14:textId="56544AF6" w:rsidR="00A60623" w:rsidRPr="0067218D" w:rsidRDefault="00966D4B" w:rsidP="004B4075">
      <w:pPr>
        <w:pStyle w:val="BodyText"/>
        <w:ind w:left="720"/>
      </w:pPr>
      <w:r>
        <w:lastRenderedPageBreak/>
        <w:t>It should be made clear to the doctor that the employee is following a lawful requirement to submit to the medical examination. The employee cannot be requ</w:t>
      </w:r>
      <w:r w:rsidR="00584CEA">
        <w:t>ested</w:t>
      </w:r>
      <w:r>
        <w:t xml:space="preserve"> to consent to medical procedures or provide their medical history because they are </w:t>
      </w:r>
      <w:r w:rsidR="007225A9">
        <w:t xml:space="preserve">already </w:t>
      </w:r>
      <w:r>
        <w:t xml:space="preserve">acting under a legal direction. </w:t>
      </w:r>
      <w:r w:rsidR="00E633A3">
        <w:br/>
      </w:r>
      <w:r w:rsidR="00E633A3">
        <w:br/>
      </w:r>
      <w:r>
        <w:t>The medical examiner is engaged by the employer to provide an opinion</w:t>
      </w:r>
      <w:r w:rsidR="00075869">
        <w:t xml:space="preserve"> under the PS Act</w:t>
      </w:r>
      <w:r w:rsidR="00404948">
        <w:t xml:space="preserve">; they are not </w:t>
      </w:r>
      <w:r w:rsidR="00A84485">
        <w:t>engaged</w:t>
      </w:r>
      <w:r w:rsidR="00404948">
        <w:t xml:space="preserve"> to provide a diagnosis</w:t>
      </w:r>
      <w:r w:rsidR="00827A76">
        <w:t xml:space="preserve"> or treatment information</w:t>
      </w:r>
      <w:r w:rsidR="00404948">
        <w:t>. The medical examiner</w:t>
      </w:r>
      <w:r>
        <w:t xml:space="preserve"> should be advised that the opinion and a report, where </w:t>
      </w:r>
      <w:r w:rsidR="00CD56FE">
        <w:t>one is given,</w:t>
      </w:r>
      <w:r>
        <w:t xml:space="preserve"> may be provided to </w:t>
      </w:r>
      <w:r w:rsidR="00CD56FE">
        <w:t>the employee either directly or through their nominated doctor</w:t>
      </w:r>
      <w:r w:rsidR="009822B6">
        <w:t>,</w:t>
      </w:r>
      <w:r w:rsidR="00B50987">
        <w:t xml:space="preserve"> and cannot place</w:t>
      </w:r>
      <w:r w:rsidR="00B16F99">
        <w:t xml:space="preserve"> </w:t>
      </w:r>
      <w:r w:rsidR="00B50987">
        <w:t>r</w:t>
      </w:r>
      <w:r w:rsidR="00CD56FE">
        <w:t>estrictions on third party release</w:t>
      </w:r>
      <w:r w:rsidR="00B50987">
        <w:t>.</w:t>
      </w:r>
    </w:p>
    <w:p w14:paraId="616A25F2" w14:textId="37166FAC" w:rsidR="007B3351" w:rsidRDefault="00A60623" w:rsidP="007B3351">
      <w:pPr>
        <w:tabs>
          <w:tab w:val="left" w:pos="1080"/>
        </w:tabs>
        <w:spacing w:before="240" w:line="276" w:lineRule="auto"/>
        <w:ind w:left="720"/>
        <w:rPr>
          <w:rFonts w:cs="Arial"/>
        </w:rPr>
      </w:pPr>
      <w:r w:rsidRPr="000A2160">
        <w:rPr>
          <w:rFonts w:cs="Arial"/>
        </w:rPr>
        <w:t xml:space="preserve">The </w:t>
      </w:r>
      <w:r>
        <w:rPr>
          <w:rFonts w:cs="Arial"/>
        </w:rPr>
        <w:t xml:space="preserve">written </w:t>
      </w:r>
      <w:r w:rsidRPr="000A2160">
        <w:rPr>
          <w:rFonts w:cs="Arial"/>
        </w:rPr>
        <w:t xml:space="preserve">request to the appointed doctor should </w:t>
      </w:r>
      <w:r w:rsidRPr="00707393">
        <w:rPr>
          <w:rFonts w:cs="Arial"/>
        </w:rPr>
        <w:t>seek an opinion</w:t>
      </w:r>
      <w:r w:rsidRPr="000A2160">
        <w:rPr>
          <w:rFonts w:cs="Arial"/>
        </w:rPr>
        <w:t xml:space="preserve"> as to whether the employee has a mental or physical illness or disability that may adversely affect the employee’s performance (section </w:t>
      </w:r>
      <w:r>
        <w:rPr>
          <w:rFonts w:cs="Arial"/>
        </w:rPr>
        <w:t>177</w:t>
      </w:r>
      <w:r w:rsidRPr="000A2160">
        <w:rPr>
          <w:rFonts w:cs="Arial"/>
        </w:rPr>
        <w:t>(</w:t>
      </w:r>
      <w:r>
        <w:rPr>
          <w:rFonts w:cs="Arial"/>
        </w:rPr>
        <w:t>1</w:t>
      </w:r>
      <w:r w:rsidRPr="000A2160">
        <w:rPr>
          <w:rFonts w:cs="Arial"/>
        </w:rPr>
        <w:t xml:space="preserve">) </w:t>
      </w:r>
      <w:r w:rsidRPr="00AD2FAC">
        <w:rPr>
          <w:rFonts w:cs="Arial"/>
        </w:rPr>
        <w:t>PS Act</w:t>
      </w:r>
      <w:r w:rsidRPr="00057ABB">
        <w:rPr>
          <w:rFonts w:cs="Arial"/>
        </w:rPr>
        <w:t>)</w:t>
      </w:r>
      <w:r w:rsidR="002D75A5">
        <w:rPr>
          <w:rFonts w:cs="Arial"/>
        </w:rPr>
        <w:t xml:space="preserve"> or cause a current absence</w:t>
      </w:r>
      <w:r>
        <w:rPr>
          <w:rFonts w:cs="Arial"/>
        </w:rPr>
        <w:t xml:space="preserve">. </w:t>
      </w:r>
    </w:p>
    <w:p w14:paraId="0A9620E3" w14:textId="58F0017A" w:rsidR="009822B6" w:rsidRPr="009822B6" w:rsidRDefault="00000000" w:rsidP="007B3351">
      <w:pPr>
        <w:tabs>
          <w:tab w:val="left" w:pos="1080"/>
        </w:tabs>
        <w:spacing w:before="240" w:line="276" w:lineRule="auto"/>
        <w:ind w:left="720"/>
        <w:rPr>
          <w:rFonts w:cs="Arial"/>
        </w:rPr>
      </w:pPr>
      <w:hyperlink r:id="rId17" w:history="1">
        <w:r w:rsidR="009822B6" w:rsidRPr="00DB217F">
          <w:rPr>
            <w:rStyle w:val="Hyperlink"/>
            <w:rFonts w:cs="Arial"/>
          </w:rPr>
          <w:t>See an example of a letter to the IME doctor</w:t>
        </w:r>
        <w:r w:rsidR="005F7A1D" w:rsidRPr="00DB217F">
          <w:rPr>
            <w:rStyle w:val="Hyperlink"/>
            <w:rFonts w:cs="Arial"/>
          </w:rPr>
          <w:t xml:space="preserve"> (DOCX)</w:t>
        </w:r>
      </w:hyperlink>
      <w:r w:rsidR="009822B6">
        <w:rPr>
          <w:rFonts w:cs="Arial"/>
        </w:rPr>
        <w:t>.</w:t>
      </w:r>
    </w:p>
    <w:p w14:paraId="72C6FAF7" w14:textId="1F368B99" w:rsidR="00CF54E4" w:rsidRPr="00F02F3A" w:rsidRDefault="00CF54E4" w:rsidP="007B3351">
      <w:pPr>
        <w:tabs>
          <w:tab w:val="left" w:pos="1080"/>
        </w:tabs>
        <w:spacing w:before="240" w:line="276" w:lineRule="auto"/>
        <w:ind w:left="720"/>
        <w:rPr>
          <w:rFonts w:cs="Arial"/>
          <w:b/>
        </w:rPr>
      </w:pPr>
      <w:r>
        <w:rPr>
          <w:rFonts w:cs="Arial"/>
          <w:b/>
        </w:rPr>
        <w:t>Information from the doctor</w:t>
      </w:r>
    </w:p>
    <w:p w14:paraId="2FF68781" w14:textId="24C00564" w:rsidR="00142177" w:rsidRPr="00055235" w:rsidRDefault="000301F2" w:rsidP="00F41560">
      <w:pPr>
        <w:tabs>
          <w:tab w:val="left" w:pos="1080"/>
        </w:tabs>
        <w:spacing w:line="276" w:lineRule="auto"/>
        <w:ind w:left="720"/>
        <w:rPr>
          <w:rFonts w:cs="Arial"/>
        </w:rPr>
      </w:pPr>
      <w:r>
        <w:rPr>
          <w:rFonts w:cs="Arial"/>
        </w:rPr>
        <w:t>Where</w:t>
      </w:r>
      <w:r w:rsidR="0005208F">
        <w:rPr>
          <w:rFonts w:cs="Arial"/>
        </w:rPr>
        <w:t xml:space="preserve"> the doctor </w:t>
      </w:r>
      <w:r w:rsidR="00D844AE">
        <w:rPr>
          <w:rFonts w:cs="Arial"/>
        </w:rPr>
        <w:t>advises that in their</w:t>
      </w:r>
      <w:r w:rsidR="0005208F">
        <w:rPr>
          <w:rFonts w:cs="Arial"/>
        </w:rPr>
        <w:t xml:space="preserve"> opinion there is no mental or physical illness or disability </w:t>
      </w:r>
      <w:r w:rsidR="002D75A5">
        <w:rPr>
          <w:rFonts w:cs="Arial"/>
        </w:rPr>
        <w:t>that may adversely affect the employee’s performance or cause a current absence</w:t>
      </w:r>
      <w:r w:rsidR="0005208F">
        <w:rPr>
          <w:rFonts w:cs="Arial"/>
        </w:rPr>
        <w:t>, no further action can be taken in relation to that opinion</w:t>
      </w:r>
      <w:r w:rsidR="00D844AE">
        <w:rPr>
          <w:rFonts w:cs="Arial"/>
        </w:rPr>
        <w:t xml:space="preserve"> and a medical report under s177(2) of the PS Act cannot be provided</w:t>
      </w:r>
      <w:r w:rsidR="0005208F">
        <w:rPr>
          <w:rFonts w:cs="Arial"/>
        </w:rPr>
        <w:t>.</w:t>
      </w:r>
      <w:r w:rsidR="00CD56FE">
        <w:rPr>
          <w:rFonts w:cs="Arial"/>
        </w:rPr>
        <w:t xml:space="preserve"> </w:t>
      </w:r>
      <w:r w:rsidR="00D844AE">
        <w:rPr>
          <w:rFonts w:cs="Arial"/>
        </w:rPr>
        <w:t xml:space="preserve">Once there is medical advice that there </w:t>
      </w:r>
      <w:proofErr w:type="gramStart"/>
      <w:r w:rsidR="00D844AE">
        <w:rPr>
          <w:rFonts w:cs="Arial"/>
        </w:rPr>
        <w:t>is</w:t>
      </w:r>
      <w:proofErr w:type="gramEnd"/>
      <w:r w:rsidR="00D844AE">
        <w:rPr>
          <w:rFonts w:cs="Arial"/>
        </w:rPr>
        <w:t xml:space="preserve"> no medical, further medical opinions should not be sought</w:t>
      </w:r>
      <w:r w:rsidR="006805BF">
        <w:rPr>
          <w:rFonts w:cs="Arial"/>
        </w:rPr>
        <w:t xml:space="preserve"> using the same direction</w:t>
      </w:r>
      <w:r w:rsidR="00D844AE">
        <w:rPr>
          <w:rFonts w:cs="Arial"/>
        </w:rPr>
        <w:t xml:space="preserve">. </w:t>
      </w:r>
      <w:r w:rsidR="0005208F">
        <w:rPr>
          <w:rFonts w:cs="Arial"/>
        </w:rPr>
        <w:t xml:space="preserve">Any performance issues </w:t>
      </w:r>
      <w:r w:rsidR="00D844AE">
        <w:rPr>
          <w:rFonts w:cs="Arial"/>
        </w:rPr>
        <w:t xml:space="preserve">or continuing absences </w:t>
      </w:r>
      <w:r w:rsidR="0005208F">
        <w:rPr>
          <w:rFonts w:cs="Arial"/>
        </w:rPr>
        <w:t>should be addressed through performance management.</w:t>
      </w:r>
    </w:p>
    <w:p w14:paraId="38870F1E" w14:textId="6F81DEDB" w:rsidR="00055235" w:rsidRPr="000A2160" w:rsidRDefault="00055235" w:rsidP="00E44A08">
      <w:pPr>
        <w:tabs>
          <w:tab w:val="left" w:pos="1080"/>
        </w:tabs>
        <w:spacing w:before="240"/>
        <w:ind w:left="720"/>
        <w:rPr>
          <w:rFonts w:cs="Arial"/>
        </w:rPr>
      </w:pPr>
      <w:r>
        <w:rPr>
          <w:rFonts w:cs="Arial"/>
        </w:rPr>
        <w:t xml:space="preserve">If the doctor concludes there is such an illness or disability, </w:t>
      </w:r>
      <w:r w:rsidR="0005208F">
        <w:rPr>
          <w:rFonts w:cs="Arial"/>
        </w:rPr>
        <w:t>their report</w:t>
      </w:r>
      <w:r>
        <w:rPr>
          <w:rFonts w:cs="Arial"/>
        </w:rPr>
        <w:t xml:space="preserve"> should </w:t>
      </w:r>
      <w:r w:rsidR="0005208F">
        <w:rPr>
          <w:rFonts w:cs="Arial"/>
        </w:rPr>
        <w:t>provide</w:t>
      </w:r>
      <w:r>
        <w:rPr>
          <w:rFonts w:cs="Arial"/>
        </w:rPr>
        <w:t xml:space="preserve"> advice on:</w:t>
      </w:r>
    </w:p>
    <w:p w14:paraId="305BD448" w14:textId="17AAE275" w:rsidR="00055235" w:rsidRPr="00055235" w:rsidRDefault="00055235" w:rsidP="00942BBF">
      <w:pPr>
        <w:pStyle w:val="ListParagraph"/>
        <w:numPr>
          <w:ilvl w:val="0"/>
          <w:numId w:val="28"/>
        </w:numPr>
        <w:tabs>
          <w:tab w:val="left" w:pos="1080"/>
        </w:tabs>
        <w:spacing w:before="240" w:after="120"/>
        <w:rPr>
          <w:rFonts w:cs="Arial"/>
        </w:rPr>
      </w:pPr>
      <w:r w:rsidRPr="00055235">
        <w:rPr>
          <w:rFonts w:cs="Arial"/>
        </w:rPr>
        <w:t xml:space="preserve">the likely direct or indirect effect of the illness or disability on the employee’s performance (section 177(2)(a) PS Act) </w:t>
      </w:r>
    </w:p>
    <w:p w14:paraId="61B034CD" w14:textId="7F7CDB16" w:rsidR="00055235" w:rsidRPr="007B3351" w:rsidRDefault="00055235" w:rsidP="00942BBF">
      <w:pPr>
        <w:pStyle w:val="ListParagraph"/>
        <w:numPr>
          <w:ilvl w:val="0"/>
          <w:numId w:val="28"/>
        </w:numPr>
        <w:tabs>
          <w:tab w:val="left" w:pos="1080"/>
        </w:tabs>
        <w:spacing w:before="240" w:after="120"/>
        <w:rPr>
          <w:rFonts w:cs="Arial"/>
        </w:rPr>
      </w:pPr>
      <w:r w:rsidRPr="00055235">
        <w:rPr>
          <w:rFonts w:cs="Arial"/>
        </w:rPr>
        <w:t>an estimate of how long the illness or disability or its effects are likely to la</w:t>
      </w:r>
      <w:r w:rsidR="007B3351">
        <w:rPr>
          <w:rFonts w:cs="Arial"/>
        </w:rPr>
        <w:t>st (section 177 (2)(b) PS Act)</w:t>
      </w:r>
      <w:r w:rsidRPr="007B3351">
        <w:rPr>
          <w:rFonts w:cs="Arial"/>
        </w:rPr>
        <w:t xml:space="preserve">; and </w:t>
      </w:r>
    </w:p>
    <w:p w14:paraId="3FE69568" w14:textId="7626AB97" w:rsidR="00055235" w:rsidRPr="003852A5" w:rsidRDefault="00055235" w:rsidP="00942BBF">
      <w:pPr>
        <w:pStyle w:val="ListParagraph"/>
        <w:numPr>
          <w:ilvl w:val="0"/>
          <w:numId w:val="28"/>
        </w:numPr>
        <w:tabs>
          <w:tab w:val="left" w:pos="1080"/>
        </w:tabs>
        <w:spacing w:before="240" w:after="120"/>
        <w:rPr>
          <w:rFonts w:cs="Arial"/>
        </w:rPr>
      </w:pPr>
      <w:r w:rsidRPr="00055235">
        <w:rPr>
          <w:rFonts w:cs="Arial"/>
        </w:rPr>
        <w:t>whether disclosing the information in the report to the employee might be prejudicial to the employee’s mental or physical health or well-being (section 177</w:t>
      </w:r>
      <w:r w:rsidRPr="001425D4">
        <w:rPr>
          <w:rFonts w:cs="Arial"/>
        </w:rPr>
        <w:t xml:space="preserve">(2)(c) </w:t>
      </w:r>
      <w:r w:rsidRPr="00AD2FAC">
        <w:rPr>
          <w:rFonts w:cs="Arial"/>
        </w:rPr>
        <w:t>PS Act</w:t>
      </w:r>
      <w:r w:rsidRPr="003852A5">
        <w:rPr>
          <w:rFonts w:cs="Arial"/>
        </w:rPr>
        <w:t>).</w:t>
      </w:r>
    </w:p>
    <w:p w14:paraId="7498E8D6" w14:textId="2A79FEB8" w:rsidR="0068355B" w:rsidRDefault="00055235" w:rsidP="00F02F3A">
      <w:pPr>
        <w:tabs>
          <w:tab w:val="left" w:pos="1080"/>
        </w:tabs>
        <w:spacing w:before="240"/>
        <w:ind w:left="720"/>
        <w:rPr>
          <w:rFonts w:cs="Arial"/>
        </w:rPr>
      </w:pPr>
      <w:r w:rsidRPr="006F4B3D">
        <w:rPr>
          <w:rFonts w:cs="Arial"/>
        </w:rPr>
        <w:t>Information that is not directly relevant to the effect of a mental or physical illness or disability on work performance or current absence should not be requested by</w:t>
      </w:r>
      <w:r w:rsidR="004955AC">
        <w:rPr>
          <w:rFonts w:cs="Arial"/>
        </w:rPr>
        <w:t xml:space="preserve"> </w:t>
      </w:r>
      <w:r w:rsidRPr="006F4B3D">
        <w:rPr>
          <w:rFonts w:cs="Arial"/>
        </w:rPr>
        <w:t>the agency.</w:t>
      </w:r>
      <w:r w:rsidR="004955AC">
        <w:rPr>
          <w:rFonts w:cs="Arial"/>
        </w:rPr>
        <w:t xml:space="preserve"> The doctor is to be advised not to provide information that is not directly relevant.</w:t>
      </w:r>
    </w:p>
    <w:p w14:paraId="252D9DA1" w14:textId="77777777" w:rsidR="0068355B" w:rsidRDefault="0068355B">
      <w:pPr>
        <w:rPr>
          <w:rFonts w:cs="Arial"/>
        </w:rPr>
      </w:pPr>
      <w:r>
        <w:rPr>
          <w:rFonts w:cs="Arial"/>
        </w:rPr>
        <w:br w:type="page"/>
      </w:r>
    </w:p>
    <w:p w14:paraId="38DDA7C5" w14:textId="77777777" w:rsidR="00E05576" w:rsidRDefault="00E05576" w:rsidP="00F02F3A">
      <w:pPr>
        <w:tabs>
          <w:tab w:val="left" w:pos="1080"/>
        </w:tabs>
        <w:spacing w:before="240"/>
        <w:ind w:left="720"/>
        <w:rPr>
          <w:rFonts w:cs="Arial"/>
        </w:rPr>
      </w:pPr>
    </w:p>
    <w:p w14:paraId="1A14B29E" w14:textId="793C61E6" w:rsidR="00D6085C" w:rsidRDefault="003D22FA" w:rsidP="005B3CC5">
      <w:pPr>
        <w:tabs>
          <w:tab w:val="left" w:pos="1080"/>
        </w:tabs>
        <w:spacing w:before="120" w:after="120" w:line="276" w:lineRule="auto"/>
        <w:ind w:left="720" w:hanging="720"/>
        <w:rPr>
          <w:rFonts w:cs="Arial"/>
        </w:rPr>
      </w:pPr>
      <w:r>
        <w:rPr>
          <w:rFonts w:cs="Arial"/>
        </w:rPr>
        <w:t>10</w:t>
      </w:r>
      <w:r w:rsidR="00E165C0" w:rsidRPr="00E165C0">
        <w:rPr>
          <w:rFonts w:cs="Arial"/>
        </w:rPr>
        <w:t>.3</w:t>
      </w:r>
      <w:r w:rsidR="00E165C0" w:rsidRPr="00E165C0">
        <w:rPr>
          <w:rFonts w:cs="Arial"/>
        </w:rPr>
        <w:tab/>
      </w:r>
      <w:r w:rsidR="00CF3FC5" w:rsidRPr="00E165C0">
        <w:rPr>
          <w:rFonts w:cs="Arial"/>
          <w:b/>
        </w:rPr>
        <w:t>Communicate with the employee</w:t>
      </w:r>
      <w:r w:rsidR="00CF3FC5" w:rsidRPr="00E165C0">
        <w:rPr>
          <w:rFonts w:cs="Arial"/>
        </w:rPr>
        <w:t xml:space="preserve"> – t</w:t>
      </w:r>
      <w:r w:rsidR="00055235" w:rsidRPr="00E165C0">
        <w:rPr>
          <w:rFonts w:cs="Arial"/>
        </w:rPr>
        <w:t xml:space="preserve">he agency must advise the employee in writing of the requirement to submit to a medical examination by the appointed doctor. </w:t>
      </w:r>
      <w:r w:rsidR="00D6085C">
        <w:rPr>
          <w:rFonts w:cs="Arial"/>
        </w:rPr>
        <w:t xml:space="preserve">The agency is to meet all reasonable costs of the employee attending the IME and this should be included in the written advice. The employee should also be advised that they can change the appointment time with </w:t>
      </w:r>
      <w:r w:rsidR="00F41560">
        <w:rPr>
          <w:rFonts w:cs="Arial"/>
        </w:rPr>
        <w:t xml:space="preserve">a </w:t>
      </w:r>
      <w:r w:rsidR="00D6085C">
        <w:rPr>
          <w:rFonts w:cs="Arial"/>
        </w:rPr>
        <w:t>valid reason.</w:t>
      </w:r>
    </w:p>
    <w:p w14:paraId="5CC0B33D" w14:textId="7435E25D" w:rsidR="00055235" w:rsidRPr="00E165C0" w:rsidRDefault="00D6085C" w:rsidP="005B3CC5">
      <w:pPr>
        <w:tabs>
          <w:tab w:val="left" w:pos="1080"/>
        </w:tabs>
        <w:spacing w:before="120" w:after="120" w:line="276" w:lineRule="auto"/>
        <w:ind w:left="720" w:hanging="720"/>
        <w:rPr>
          <w:rFonts w:cs="Arial"/>
        </w:rPr>
      </w:pPr>
      <w:r>
        <w:rPr>
          <w:rFonts w:cs="Arial"/>
        </w:rPr>
        <w:tab/>
      </w:r>
      <w:r w:rsidR="00055235" w:rsidRPr="00E165C0">
        <w:rPr>
          <w:rFonts w:cs="Arial"/>
        </w:rPr>
        <w:t xml:space="preserve">The advice </w:t>
      </w:r>
      <w:r>
        <w:rPr>
          <w:rFonts w:cs="Arial"/>
        </w:rPr>
        <w:t xml:space="preserve">to the employee </w:t>
      </w:r>
      <w:r w:rsidR="00055235" w:rsidRPr="00E165C0">
        <w:rPr>
          <w:rFonts w:cs="Arial"/>
        </w:rPr>
        <w:t>should include the statutory basis</w:t>
      </w:r>
      <w:r>
        <w:rPr>
          <w:rFonts w:cs="Arial"/>
        </w:rPr>
        <w:t xml:space="preserve"> for the requir</w:t>
      </w:r>
      <w:r w:rsidR="00CF54E4">
        <w:rPr>
          <w:rFonts w:cs="Arial"/>
        </w:rPr>
        <w:t>e</w:t>
      </w:r>
      <w:r>
        <w:rPr>
          <w:rFonts w:cs="Arial"/>
        </w:rPr>
        <w:t>ment</w:t>
      </w:r>
      <w:r w:rsidR="00055235" w:rsidRPr="00E165C0">
        <w:rPr>
          <w:rFonts w:cs="Arial"/>
        </w:rPr>
        <w:t xml:space="preserve"> and the </w:t>
      </w:r>
      <w:r w:rsidR="00601BD6">
        <w:rPr>
          <w:rFonts w:cs="Arial"/>
        </w:rPr>
        <w:t>information</w:t>
      </w:r>
      <w:r w:rsidR="00055235" w:rsidRPr="00E165C0">
        <w:rPr>
          <w:rFonts w:cs="Arial"/>
        </w:rPr>
        <w:t xml:space="preserve"> </w:t>
      </w:r>
      <w:r w:rsidR="00BD3790">
        <w:rPr>
          <w:rFonts w:cs="Arial"/>
        </w:rPr>
        <w:t xml:space="preserve">that is </w:t>
      </w:r>
      <w:r w:rsidR="00055235" w:rsidRPr="00E165C0">
        <w:rPr>
          <w:rFonts w:cs="Arial"/>
        </w:rPr>
        <w:t>relied on</w:t>
      </w:r>
      <w:r w:rsidR="00E14338">
        <w:rPr>
          <w:rFonts w:cs="Arial"/>
        </w:rPr>
        <w:t>.</w:t>
      </w:r>
      <w:r w:rsidR="00055235" w:rsidRPr="00E165C0">
        <w:rPr>
          <w:rFonts w:cs="Arial"/>
        </w:rPr>
        <w:t xml:space="preserve"> </w:t>
      </w:r>
      <w:r w:rsidR="004955AC">
        <w:rPr>
          <w:rFonts w:cs="Arial"/>
        </w:rPr>
        <w:t>The employee should also be advised of what will happen if they fail to submit to the IME.</w:t>
      </w:r>
      <w:r w:rsidR="00FC6452">
        <w:rPr>
          <w:rFonts w:cs="Arial"/>
        </w:rPr>
        <w:t xml:space="preserve"> </w:t>
      </w:r>
      <w:r w:rsidR="00FC6452" w:rsidRPr="009A2F86">
        <w:rPr>
          <w:rFonts w:cs="Arial"/>
        </w:rPr>
        <w:t xml:space="preserve">Submitting to an IME </w:t>
      </w:r>
      <w:r w:rsidR="00E05576">
        <w:rPr>
          <w:rFonts w:cs="Arial"/>
        </w:rPr>
        <w:t>requires more</w:t>
      </w:r>
      <w:r w:rsidR="00FC6452" w:rsidRPr="009A2F86">
        <w:rPr>
          <w:rFonts w:cs="Arial"/>
        </w:rPr>
        <w:t xml:space="preserve"> than</w:t>
      </w:r>
      <w:r w:rsidR="002E0B8E">
        <w:rPr>
          <w:rFonts w:cs="Arial"/>
        </w:rPr>
        <w:t xml:space="preserve"> mere</w:t>
      </w:r>
      <w:r w:rsidR="00E05576">
        <w:rPr>
          <w:rFonts w:cs="Arial"/>
        </w:rPr>
        <w:t xml:space="preserve"> </w:t>
      </w:r>
      <w:r w:rsidR="00FC6452" w:rsidRPr="009A2F86">
        <w:rPr>
          <w:rFonts w:cs="Arial"/>
        </w:rPr>
        <w:t>attendance</w:t>
      </w:r>
      <w:r w:rsidR="002E0B8E">
        <w:rPr>
          <w:rFonts w:cs="Arial"/>
        </w:rPr>
        <w:t xml:space="preserve"> at the IME appointment. </w:t>
      </w:r>
      <w:r w:rsidR="00E633A3">
        <w:rPr>
          <w:rFonts w:cs="Arial"/>
        </w:rPr>
        <w:br/>
      </w:r>
      <w:r w:rsidR="00E633A3">
        <w:rPr>
          <w:rFonts w:cs="Arial"/>
        </w:rPr>
        <w:br/>
      </w:r>
      <w:r w:rsidR="002E0B8E">
        <w:rPr>
          <w:rFonts w:cs="Arial"/>
        </w:rPr>
        <w:t>Submitting to an IME requires the employee to actively participate in the medical examination, co-operate</w:t>
      </w:r>
      <w:r w:rsidR="00FC6452" w:rsidRPr="009A2F86">
        <w:rPr>
          <w:rFonts w:cs="Arial"/>
        </w:rPr>
        <w:t xml:space="preserve"> with the IME doctor</w:t>
      </w:r>
      <w:r w:rsidR="002E0B8E">
        <w:rPr>
          <w:rFonts w:cs="Arial"/>
        </w:rPr>
        <w:t xml:space="preserve"> and provide</w:t>
      </w:r>
      <w:r w:rsidR="00FC6452" w:rsidRPr="009A2F86">
        <w:rPr>
          <w:rFonts w:cs="Arial"/>
        </w:rPr>
        <w:t xml:space="preserve"> </w:t>
      </w:r>
      <w:r w:rsidR="00CF54E4" w:rsidRPr="009A2F86">
        <w:rPr>
          <w:rFonts w:cs="Arial"/>
        </w:rPr>
        <w:t>honest responses to questions about their relevant medical history</w:t>
      </w:r>
      <w:r w:rsidR="002E0B8E">
        <w:rPr>
          <w:rFonts w:cs="Arial"/>
        </w:rPr>
        <w:t>. Submitting to an IME</w:t>
      </w:r>
      <w:r w:rsidR="00FC6452" w:rsidRPr="009A2F86">
        <w:rPr>
          <w:rFonts w:cs="Arial"/>
        </w:rPr>
        <w:t xml:space="preserve"> does not require the employee to hand</w:t>
      </w:r>
      <w:r w:rsidR="004133AB" w:rsidRPr="009A2F86">
        <w:rPr>
          <w:rFonts w:cs="Arial"/>
        </w:rPr>
        <w:t xml:space="preserve"> </w:t>
      </w:r>
      <w:r w:rsidR="00FC6452" w:rsidRPr="009A2F86">
        <w:rPr>
          <w:rFonts w:cs="Arial"/>
        </w:rPr>
        <w:t>over all past medical records.</w:t>
      </w:r>
    </w:p>
    <w:p w14:paraId="67A91628" w14:textId="08FED8F2" w:rsidR="00055235" w:rsidRDefault="00055235" w:rsidP="005B3CC5">
      <w:pPr>
        <w:tabs>
          <w:tab w:val="left" w:pos="1080"/>
        </w:tabs>
        <w:spacing w:before="120" w:after="120" w:line="276" w:lineRule="auto"/>
        <w:ind w:left="720"/>
        <w:rPr>
          <w:rFonts w:cs="Arial"/>
        </w:rPr>
      </w:pPr>
      <w:r>
        <w:rPr>
          <w:rFonts w:cs="Arial"/>
        </w:rPr>
        <w:t>The written direction should not</w:t>
      </w:r>
      <w:r w:rsidR="00FF06E2">
        <w:rPr>
          <w:rFonts w:cs="Arial"/>
        </w:rPr>
        <w:t xml:space="preserve"> be</w:t>
      </w:r>
      <w:r>
        <w:rPr>
          <w:rFonts w:cs="Arial"/>
        </w:rPr>
        <w:t xml:space="preserve"> </w:t>
      </w:r>
      <w:r w:rsidR="00FF06E2">
        <w:rPr>
          <w:rFonts w:cs="Arial"/>
        </w:rPr>
        <w:t xml:space="preserve">the first time the employer communicates with </w:t>
      </w:r>
      <w:r>
        <w:rPr>
          <w:rFonts w:cs="Arial"/>
        </w:rPr>
        <w:t xml:space="preserve">the employee </w:t>
      </w:r>
      <w:r w:rsidR="00FF06E2">
        <w:rPr>
          <w:rFonts w:cs="Arial"/>
        </w:rPr>
        <w:t xml:space="preserve">in relation to the medical examination. </w:t>
      </w:r>
      <w:r>
        <w:rPr>
          <w:rFonts w:cs="Arial"/>
        </w:rPr>
        <w:t xml:space="preserve">The method of communication may vary depending on the employee’s circumstances but in all cases should be done sensitively and with regard for their wellbeing. </w:t>
      </w:r>
    </w:p>
    <w:p w14:paraId="671674B8" w14:textId="68BE8C8A" w:rsidR="005B3CC5" w:rsidRDefault="00055235" w:rsidP="005B3CC5">
      <w:pPr>
        <w:tabs>
          <w:tab w:val="left" w:pos="1080"/>
        </w:tabs>
        <w:spacing w:before="120" w:after="120" w:line="276" w:lineRule="auto"/>
        <w:ind w:left="720"/>
        <w:rPr>
          <w:rFonts w:cs="Arial"/>
        </w:rPr>
      </w:pPr>
      <w:r>
        <w:rPr>
          <w:rFonts w:cs="Arial"/>
        </w:rPr>
        <w:t>The employee should also be provided with the name and contact details of the doctor, the time and location of the examination</w:t>
      </w:r>
      <w:r w:rsidR="00E14338">
        <w:rPr>
          <w:rFonts w:cs="Arial"/>
        </w:rPr>
        <w:t xml:space="preserve"> (including any travel</w:t>
      </w:r>
      <w:r w:rsidR="007310D2">
        <w:rPr>
          <w:rFonts w:cs="Arial"/>
        </w:rPr>
        <w:t xml:space="preserve"> arrangements made by the agency)</w:t>
      </w:r>
      <w:r w:rsidR="006A038E">
        <w:rPr>
          <w:rFonts w:cs="Arial"/>
        </w:rPr>
        <w:t>,</w:t>
      </w:r>
      <w:r>
        <w:rPr>
          <w:rFonts w:cs="Arial"/>
        </w:rPr>
        <w:t xml:space="preserve"> the information provided to the doctor</w:t>
      </w:r>
      <w:r w:rsidR="004955AC">
        <w:rPr>
          <w:rFonts w:cs="Arial"/>
        </w:rPr>
        <w:t>, and any information they need to take with them to the appointment (e</w:t>
      </w:r>
      <w:r w:rsidR="00E633A3">
        <w:rPr>
          <w:rFonts w:cs="Arial"/>
        </w:rPr>
        <w:t>.</w:t>
      </w:r>
      <w:r w:rsidR="004955AC">
        <w:rPr>
          <w:rFonts w:cs="Arial"/>
        </w:rPr>
        <w:t>g. x-rays)</w:t>
      </w:r>
      <w:r>
        <w:rPr>
          <w:rFonts w:cs="Arial"/>
        </w:rPr>
        <w:t xml:space="preserve">. Timing of the appointment should </w:t>
      </w:r>
      <w:r w:rsidR="004E55F8">
        <w:rPr>
          <w:rFonts w:cs="Arial"/>
        </w:rPr>
        <w:t>consider</w:t>
      </w:r>
      <w:r>
        <w:rPr>
          <w:rFonts w:cs="Arial"/>
        </w:rPr>
        <w:t xml:space="preserve"> the employee’s work hours, any approved </w:t>
      </w:r>
      <w:r w:rsidR="001874F7">
        <w:rPr>
          <w:rFonts w:cs="Arial"/>
        </w:rPr>
        <w:t xml:space="preserve">recreation </w:t>
      </w:r>
      <w:proofErr w:type="gramStart"/>
      <w:r>
        <w:rPr>
          <w:rFonts w:cs="Arial"/>
        </w:rPr>
        <w:t>leave</w:t>
      </w:r>
      <w:proofErr w:type="gramEnd"/>
      <w:r>
        <w:rPr>
          <w:rFonts w:cs="Arial"/>
        </w:rPr>
        <w:t xml:space="preserve"> and any travel that may be required, especially in regional and remote areas. </w:t>
      </w:r>
    </w:p>
    <w:p w14:paraId="695CD3C0" w14:textId="287DEEF8" w:rsidR="00DB0990" w:rsidRDefault="00055235" w:rsidP="005B3CC5">
      <w:pPr>
        <w:tabs>
          <w:tab w:val="left" w:pos="1080"/>
        </w:tabs>
        <w:spacing w:before="120" w:after="120" w:line="276" w:lineRule="auto"/>
        <w:ind w:left="720"/>
        <w:rPr>
          <w:rFonts w:cs="Arial"/>
        </w:rPr>
      </w:pPr>
      <w:r w:rsidRPr="00860E83">
        <w:rPr>
          <w:rFonts w:cs="Arial"/>
        </w:rPr>
        <w:t xml:space="preserve">The employee should generally be given a minimum of </w:t>
      </w:r>
      <w:r w:rsidR="00FB03A3">
        <w:rPr>
          <w:rFonts w:cs="Arial"/>
        </w:rPr>
        <w:t>two weeks</w:t>
      </w:r>
      <w:r w:rsidR="00945BE1">
        <w:rPr>
          <w:rFonts w:cs="Arial"/>
        </w:rPr>
        <w:t>’</w:t>
      </w:r>
      <w:r w:rsidR="00FB03A3">
        <w:rPr>
          <w:rFonts w:cs="Arial"/>
        </w:rPr>
        <w:t xml:space="preserve"> </w:t>
      </w:r>
      <w:r w:rsidR="00945BE1">
        <w:rPr>
          <w:rFonts w:cs="Arial"/>
        </w:rPr>
        <w:t>(</w:t>
      </w:r>
      <w:r>
        <w:rPr>
          <w:rFonts w:cs="Arial"/>
        </w:rPr>
        <w:t>10 working days’</w:t>
      </w:r>
      <w:r w:rsidR="00945BE1">
        <w:rPr>
          <w:rFonts w:cs="Arial"/>
        </w:rPr>
        <w:t>)</w:t>
      </w:r>
      <w:r w:rsidRPr="00860E83">
        <w:rPr>
          <w:rFonts w:cs="Arial"/>
        </w:rPr>
        <w:t xml:space="preserve"> notice of the medical appointment</w:t>
      </w:r>
      <w:r>
        <w:rPr>
          <w:rFonts w:cs="Arial"/>
        </w:rPr>
        <w:t>. Shorter notice can be given with the agreement of the employee where, for example, an earlier</w:t>
      </w:r>
      <w:r w:rsidR="00DB0990">
        <w:rPr>
          <w:rFonts w:cs="Arial"/>
        </w:rPr>
        <w:t xml:space="preserve"> appointment becomes available.</w:t>
      </w:r>
    </w:p>
    <w:p w14:paraId="51F4689E" w14:textId="5204D98E" w:rsidR="00055235" w:rsidRDefault="00055235" w:rsidP="007310D2">
      <w:pPr>
        <w:tabs>
          <w:tab w:val="left" w:pos="1080"/>
        </w:tabs>
        <w:spacing w:before="120" w:after="120" w:line="276" w:lineRule="auto"/>
        <w:ind w:left="720"/>
        <w:rPr>
          <w:rFonts w:cs="Arial"/>
        </w:rPr>
      </w:pPr>
      <w:r w:rsidRPr="00DB0990">
        <w:rPr>
          <w:rFonts w:cs="Arial"/>
        </w:rPr>
        <w:t>Before the employee attends the medical examination, the agency is</w:t>
      </w:r>
      <w:r w:rsidR="00E14338">
        <w:rPr>
          <w:rFonts w:cs="Arial"/>
        </w:rPr>
        <w:t xml:space="preserve"> </w:t>
      </w:r>
      <w:r w:rsidRPr="00DB0990">
        <w:rPr>
          <w:rFonts w:cs="Arial"/>
        </w:rPr>
        <w:t xml:space="preserve">to </w:t>
      </w:r>
      <w:r w:rsidR="001874F7">
        <w:rPr>
          <w:rFonts w:cs="Arial"/>
        </w:rPr>
        <w:t>advise</w:t>
      </w:r>
      <w:r w:rsidRPr="00DB0990">
        <w:rPr>
          <w:rFonts w:cs="Arial"/>
        </w:rPr>
        <w:t xml:space="preserve"> them </w:t>
      </w:r>
      <w:r w:rsidR="001874F7">
        <w:rPr>
          <w:rFonts w:cs="Arial"/>
        </w:rPr>
        <w:t xml:space="preserve">of </w:t>
      </w:r>
      <w:r w:rsidR="00DB0990" w:rsidRPr="00DB0990">
        <w:rPr>
          <w:rFonts w:cs="Arial"/>
        </w:rPr>
        <w:t xml:space="preserve">their appeal rights, </w:t>
      </w:r>
      <w:r w:rsidR="007310D2">
        <w:rPr>
          <w:rFonts w:cs="Arial"/>
        </w:rPr>
        <w:t>and that</w:t>
      </w:r>
      <w:r w:rsidR="00DB0990" w:rsidRPr="00DB0990">
        <w:rPr>
          <w:rFonts w:cs="Arial"/>
        </w:rPr>
        <w:t xml:space="preserve"> the agency will meet the cost of the medical examination</w:t>
      </w:r>
      <w:r w:rsidR="007310D2">
        <w:rPr>
          <w:rFonts w:cs="Arial"/>
        </w:rPr>
        <w:t xml:space="preserve"> and reasonable </w:t>
      </w:r>
      <w:r w:rsidR="00907CA1">
        <w:rPr>
          <w:rFonts w:cs="Arial"/>
        </w:rPr>
        <w:t xml:space="preserve">associated </w:t>
      </w:r>
      <w:r w:rsidR="007310D2">
        <w:rPr>
          <w:rFonts w:cs="Arial"/>
        </w:rPr>
        <w:t>expenses</w:t>
      </w:r>
      <w:r w:rsidR="00DB0990" w:rsidRPr="00DB0990">
        <w:rPr>
          <w:rFonts w:cs="Arial"/>
        </w:rPr>
        <w:t>.</w:t>
      </w:r>
      <w:r w:rsidR="007310D2">
        <w:rPr>
          <w:rFonts w:cs="Arial"/>
        </w:rPr>
        <w:t xml:space="preserve"> T</w:t>
      </w:r>
      <w:r w:rsidR="00DB0990">
        <w:rPr>
          <w:rFonts w:cs="Arial"/>
        </w:rPr>
        <w:t>he employee</w:t>
      </w:r>
      <w:r w:rsidR="007310D2">
        <w:rPr>
          <w:rFonts w:cs="Arial"/>
        </w:rPr>
        <w:t xml:space="preserve"> should also be advised</w:t>
      </w:r>
      <w:r w:rsidR="00DB0990">
        <w:rPr>
          <w:rFonts w:cs="Arial"/>
        </w:rPr>
        <w:t xml:space="preserve"> of t</w:t>
      </w:r>
      <w:r w:rsidRPr="00163A4A">
        <w:rPr>
          <w:rFonts w:cs="Arial"/>
        </w:rPr>
        <w:t>he proce</w:t>
      </w:r>
      <w:r>
        <w:rPr>
          <w:rFonts w:cs="Arial"/>
        </w:rPr>
        <w:t>ss to be undertaken after the agency receives</w:t>
      </w:r>
      <w:r w:rsidRPr="00163A4A">
        <w:rPr>
          <w:rFonts w:cs="Arial"/>
        </w:rPr>
        <w:t xml:space="preserve"> the medical report</w:t>
      </w:r>
      <w:r w:rsidR="00DB0990">
        <w:rPr>
          <w:rFonts w:cs="Arial"/>
        </w:rPr>
        <w:t>, t</w:t>
      </w:r>
      <w:r w:rsidRPr="00211DD7">
        <w:rPr>
          <w:rFonts w:cs="Arial"/>
        </w:rPr>
        <w:t>he steps the agency will</w:t>
      </w:r>
      <w:r>
        <w:rPr>
          <w:rFonts w:cs="Arial"/>
        </w:rPr>
        <w:t xml:space="preserve"> take to ensure confidentiality</w:t>
      </w:r>
      <w:r w:rsidRPr="00211DD7">
        <w:rPr>
          <w:rFonts w:cs="Arial"/>
        </w:rPr>
        <w:t xml:space="preserve"> of the</w:t>
      </w:r>
      <w:r>
        <w:rPr>
          <w:rFonts w:cs="Arial"/>
        </w:rPr>
        <w:t xml:space="preserve"> report</w:t>
      </w:r>
      <w:r w:rsidRPr="00211DD7">
        <w:rPr>
          <w:rFonts w:cs="Arial"/>
        </w:rPr>
        <w:t xml:space="preserve"> information</w:t>
      </w:r>
      <w:r w:rsidR="00DB0990">
        <w:rPr>
          <w:rFonts w:cs="Arial"/>
        </w:rPr>
        <w:t>, and t</w:t>
      </w:r>
      <w:r w:rsidRPr="00211DD7">
        <w:rPr>
          <w:rFonts w:cs="Arial"/>
        </w:rPr>
        <w:t>he steps that will be taken if the doctor considers that disclosing the information in the report to the employee might be prejudicial to the employee’s mental or p</w:t>
      </w:r>
      <w:r>
        <w:rPr>
          <w:rFonts w:cs="Arial"/>
        </w:rPr>
        <w:t>hysical health or wellbeing</w:t>
      </w:r>
      <w:r w:rsidR="00DB0990">
        <w:rPr>
          <w:rFonts w:cs="Arial"/>
        </w:rPr>
        <w:t>.</w:t>
      </w:r>
    </w:p>
    <w:p w14:paraId="085FD6CF" w14:textId="5AE95F0E" w:rsidR="0068355B" w:rsidRDefault="00000000" w:rsidP="00BD3790">
      <w:pPr>
        <w:tabs>
          <w:tab w:val="left" w:pos="1080"/>
        </w:tabs>
        <w:spacing w:before="240" w:line="276" w:lineRule="auto"/>
        <w:ind w:left="720"/>
        <w:rPr>
          <w:rFonts w:cs="Arial"/>
        </w:rPr>
      </w:pPr>
      <w:hyperlink r:id="rId18" w:history="1">
        <w:r w:rsidR="00BD3790" w:rsidRPr="005F7A1D">
          <w:rPr>
            <w:rStyle w:val="Hyperlink"/>
            <w:rFonts w:cs="Arial"/>
          </w:rPr>
          <w:t>See an example of a letter to the employee</w:t>
        </w:r>
        <w:r w:rsidR="005F7A1D" w:rsidRPr="005F7A1D">
          <w:rPr>
            <w:rStyle w:val="Hyperlink"/>
            <w:rFonts w:cs="Arial"/>
          </w:rPr>
          <w:t xml:space="preserve"> (DOCX)</w:t>
        </w:r>
      </w:hyperlink>
      <w:r w:rsidR="00BD3790">
        <w:rPr>
          <w:rFonts w:cs="Arial"/>
        </w:rPr>
        <w:t>.</w:t>
      </w:r>
    </w:p>
    <w:p w14:paraId="1758E0BF" w14:textId="77777777" w:rsidR="0068355B" w:rsidRDefault="0068355B">
      <w:pPr>
        <w:rPr>
          <w:rFonts w:cs="Arial"/>
        </w:rPr>
      </w:pPr>
      <w:r>
        <w:rPr>
          <w:rFonts w:cs="Arial"/>
        </w:rPr>
        <w:br w:type="page"/>
      </w:r>
    </w:p>
    <w:p w14:paraId="7759B4F5" w14:textId="77777777" w:rsidR="00BD3790" w:rsidRPr="009822B6" w:rsidRDefault="00BD3790" w:rsidP="00BD3790">
      <w:pPr>
        <w:tabs>
          <w:tab w:val="left" w:pos="1080"/>
        </w:tabs>
        <w:spacing w:before="240" w:line="276" w:lineRule="auto"/>
        <w:ind w:left="720"/>
        <w:rPr>
          <w:rFonts w:cs="Arial"/>
        </w:rPr>
      </w:pPr>
    </w:p>
    <w:p w14:paraId="57461D7F" w14:textId="234C68D2" w:rsidR="009B1DE0" w:rsidRDefault="003D22FA" w:rsidP="007310D2">
      <w:pPr>
        <w:tabs>
          <w:tab w:val="left" w:pos="1080"/>
        </w:tabs>
        <w:spacing w:before="120" w:after="120" w:line="276" w:lineRule="auto"/>
        <w:ind w:left="720" w:hanging="720"/>
        <w:rPr>
          <w:rFonts w:cs="Arial"/>
        </w:rPr>
      </w:pPr>
      <w:r w:rsidRPr="00DB0990">
        <w:rPr>
          <w:rFonts w:cs="Arial"/>
        </w:rPr>
        <w:t>10</w:t>
      </w:r>
      <w:r w:rsidR="00B035D2" w:rsidRPr="00DB0990">
        <w:rPr>
          <w:rFonts w:cs="Arial"/>
        </w:rPr>
        <w:t>.4</w:t>
      </w:r>
      <w:r w:rsidR="00B035D2" w:rsidRPr="00DB0990">
        <w:rPr>
          <w:rFonts w:cs="Arial"/>
        </w:rPr>
        <w:tab/>
      </w:r>
      <w:r w:rsidR="00B035D2" w:rsidRPr="00DB0990">
        <w:rPr>
          <w:rFonts w:cs="Arial"/>
          <w:b/>
        </w:rPr>
        <w:t>Consider</w:t>
      </w:r>
      <w:r w:rsidR="00FC6452">
        <w:rPr>
          <w:rFonts w:cs="Arial"/>
          <w:b/>
        </w:rPr>
        <w:t xml:space="preserve"> the IME</w:t>
      </w:r>
      <w:r w:rsidR="00B035D2" w:rsidRPr="00DB0990">
        <w:rPr>
          <w:rFonts w:cs="Arial"/>
          <w:b/>
        </w:rPr>
        <w:t xml:space="preserve"> report and engage with </w:t>
      </w:r>
      <w:r w:rsidR="0005208F" w:rsidRPr="00DB0990">
        <w:rPr>
          <w:rFonts w:cs="Arial"/>
          <w:b/>
        </w:rPr>
        <w:t xml:space="preserve">the </w:t>
      </w:r>
      <w:r w:rsidR="00B035D2" w:rsidRPr="00DB0990">
        <w:rPr>
          <w:rFonts w:cs="Arial"/>
          <w:b/>
        </w:rPr>
        <w:t xml:space="preserve">employee </w:t>
      </w:r>
      <w:r w:rsidR="00B035D2" w:rsidRPr="00DB0990">
        <w:rPr>
          <w:rFonts w:cs="Arial"/>
        </w:rPr>
        <w:t xml:space="preserve">– </w:t>
      </w:r>
      <w:r w:rsidR="009B1DE0" w:rsidRPr="00DB0990">
        <w:rPr>
          <w:rFonts w:cs="Arial"/>
        </w:rPr>
        <w:t>t</w:t>
      </w:r>
      <w:r w:rsidR="00103814">
        <w:rPr>
          <w:rFonts w:cs="Arial"/>
        </w:rPr>
        <w:t>o afford the</w:t>
      </w:r>
      <w:r w:rsidR="009B1DE0" w:rsidRPr="00DB0990">
        <w:rPr>
          <w:rFonts w:cs="Arial"/>
        </w:rPr>
        <w:t xml:space="preserve"> employee procedural fairness</w:t>
      </w:r>
      <w:r w:rsidR="00103814">
        <w:rPr>
          <w:rFonts w:cs="Arial"/>
        </w:rPr>
        <w:t>, t</w:t>
      </w:r>
      <w:r w:rsidR="009B1DE0" w:rsidRPr="00DB0990">
        <w:rPr>
          <w:rFonts w:cs="Arial"/>
        </w:rPr>
        <w:t>hey must be given relevant information to enable them to challenge the proposed actions and to provide their own further relevant information if they wish.</w:t>
      </w:r>
    </w:p>
    <w:p w14:paraId="64EA9AEA" w14:textId="54C5E60A" w:rsidR="005006D9" w:rsidRDefault="004B4075" w:rsidP="007310D2">
      <w:pPr>
        <w:tabs>
          <w:tab w:val="left" w:pos="1080"/>
        </w:tabs>
        <w:spacing w:before="120" w:after="120" w:line="276" w:lineRule="auto"/>
        <w:ind w:left="720" w:hanging="720"/>
        <w:rPr>
          <w:rFonts w:cs="Arial"/>
        </w:rPr>
      </w:pPr>
      <w:r w:rsidRPr="00B035D2">
        <w:rPr>
          <w:noProof/>
          <w:lang w:val="en-US" w:eastAsia="en-US"/>
        </w:rPr>
        <mc:AlternateContent>
          <mc:Choice Requires="wps">
            <w:drawing>
              <wp:anchor distT="45720" distB="45720" distL="114300" distR="114300" simplePos="0" relativeHeight="251714560" behindDoc="0" locked="0" layoutInCell="1" allowOverlap="1" wp14:anchorId="1203BA80" wp14:editId="00072B1E">
                <wp:simplePos x="0" y="0"/>
                <wp:positionH relativeFrom="margin">
                  <wp:posOffset>419100</wp:posOffset>
                </wp:positionH>
                <wp:positionV relativeFrom="paragraph">
                  <wp:posOffset>48895</wp:posOffset>
                </wp:positionV>
                <wp:extent cx="5294630" cy="1952625"/>
                <wp:effectExtent l="0" t="0" r="20320"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1952625"/>
                        </a:xfrm>
                        <a:prstGeom prst="rect">
                          <a:avLst/>
                        </a:prstGeom>
                        <a:solidFill>
                          <a:srgbClr val="FFFFFF"/>
                        </a:solidFill>
                        <a:ln w="9525">
                          <a:solidFill>
                            <a:srgbClr val="5ACAAF"/>
                          </a:solidFill>
                          <a:miter lim="800000"/>
                          <a:headEnd/>
                          <a:tailEnd/>
                        </a:ln>
                      </wps:spPr>
                      <wps:txbx>
                        <w:txbxContent>
                          <w:p w14:paraId="2B4E2568" w14:textId="6D5632BA" w:rsidR="002E6978" w:rsidRPr="00277AE5" w:rsidRDefault="002E6978" w:rsidP="00B035D2">
                            <w:pPr>
                              <w:rPr>
                                <w:b/>
                                <w:color w:val="60C3AD" w:themeColor="accent1"/>
                                <w:szCs w:val="22"/>
                              </w:rPr>
                            </w:pPr>
                            <w:r w:rsidRPr="00277AE5">
                              <w:rPr>
                                <w:b/>
                                <w:color w:val="60C3AD" w:themeColor="accent1"/>
                                <w:szCs w:val="22"/>
                              </w:rPr>
                              <w:t>Use of ex</w:t>
                            </w:r>
                            <w:r>
                              <w:rPr>
                                <w:b/>
                                <w:color w:val="60C3AD" w:themeColor="accent1"/>
                                <w:szCs w:val="22"/>
                              </w:rPr>
                              <w:t>isting medical reports</w:t>
                            </w:r>
                            <w:r w:rsidRPr="00277AE5">
                              <w:rPr>
                                <w:b/>
                                <w:color w:val="60C3AD" w:themeColor="accent1"/>
                                <w:szCs w:val="22"/>
                              </w:rPr>
                              <w:t xml:space="preserve"> </w:t>
                            </w:r>
                          </w:p>
                          <w:p w14:paraId="6FFDCF89" w14:textId="76008257" w:rsidR="002E6978" w:rsidRDefault="002E6978" w:rsidP="00604A20">
                            <w:pPr>
                              <w:spacing w:before="120" w:after="120"/>
                              <w:rPr>
                                <w:rFonts w:cs="Arial"/>
                                <w:color w:val="60C3AD" w:themeColor="accent1"/>
                              </w:rPr>
                            </w:pPr>
                            <w:r w:rsidRPr="00277AE5">
                              <w:rPr>
                                <w:rFonts w:cs="Arial"/>
                                <w:color w:val="60C3AD" w:themeColor="accent1"/>
                              </w:rPr>
                              <w:t>Where an employee provides a medical report or consents to the agency being provided with a medical report from a third party (e.g. QSuper) the agency can consider the information provided in determining what actions (if any) are required to manage the impact of the employee’s illness o</w:t>
                            </w:r>
                            <w:r>
                              <w:rPr>
                                <w:rFonts w:cs="Arial"/>
                                <w:color w:val="60C3AD" w:themeColor="accent1"/>
                              </w:rPr>
                              <w:t>r disability in the workplace. C</w:t>
                            </w:r>
                            <w:r w:rsidRPr="00277AE5">
                              <w:rPr>
                                <w:rFonts w:cs="Arial"/>
                                <w:color w:val="60C3AD" w:themeColor="accent1"/>
                              </w:rPr>
                              <w:t xml:space="preserve">lear written consent for the use of the report should </w:t>
                            </w:r>
                            <w:r>
                              <w:rPr>
                                <w:rFonts w:cs="Arial"/>
                                <w:color w:val="60C3AD" w:themeColor="accent1"/>
                              </w:rPr>
                              <w:t xml:space="preserve">be obtained from the employee. </w:t>
                            </w:r>
                          </w:p>
                          <w:p w14:paraId="6F934A91" w14:textId="3B5DFC8B" w:rsidR="002E6978" w:rsidRDefault="002E6978" w:rsidP="00604A20">
                            <w:pPr>
                              <w:spacing w:before="120" w:after="120"/>
                            </w:pPr>
                            <w:r>
                              <w:rPr>
                                <w:rFonts w:cs="Arial"/>
                                <w:color w:val="60C3AD" w:themeColor="accent1"/>
                              </w:rPr>
                              <w:t xml:space="preserve">Workers’ Compensation documents including </w:t>
                            </w:r>
                            <w:r w:rsidRPr="00277AE5">
                              <w:rPr>
                                <w:rFonts w:cs="Arial"/>
                                <w:color w:val="60C3AD" w:themeColor="accent1"/>
                              </w:rPr>
                              <w:t xml:space="preserve">WorkCover medical reports </w:t>
                            </w:r>
                            <w:r w:rsidRPr="00F02F3A">
                              <w:rPr>
                                <w:rFonts w:cs="Arial"/>
                                <w:b/>
                                <w:color w:val="60C3AD" w:themeColor="accent1"/>
                              </w:rPr>
                              <w:t>cannot</w:t>
                            </w:r>
                            <w:r w:rsidRPr="00277AE5">
                              <w:rPr>
                                <w:rFonts w:cs="Arial"/>
                                <w:color w:val="60C3AD" w:themeColor="accent1"/>
                              </w:rPr>
                              <w:t xml:space="preserve"> be used </w:t>
                            </w:r>
                            <w:r>
                              <w:rPr>
                                <w:rFonts w:cs="Arial"/>
                                <w:color w:val="60C3AD" w:themeColor="accent1"/>
                              </w:rPr>
                              <w:t>or paraphrased where action under s178 of the PS Act is or will be considered</w:t>
                            </w:r>
                            <w:r w:rsidRPr="00277AE5">
                              <w:rPr>
                                <w:rFonts w:cs="Arial"/>
                                <w:color w:val="60C3AD" w:themeColor="accent1"/>
                              </w:rPr>
                              <w:t xml:space="preserve"> as it is contrary to section 572A of the </w:t>
                            </w:r>
                            <w:r w:rsidRPr="006E76F1">
                              <w:rPr>
                                <w:rFonts w:cs="Arial"/>
                                <w:i/>
                                <w:color w:val="60C3AD" w:themeColor="accent1"/>
                              </w:rPr>
                              <w:t>Workers Compensation and Rehabilitation Act 2003</w:t>
                            </w:r>
                            <w:r w:rsidRPr="00277AE5">
                              <w:rPr>
                                <w:rFonts w:cs="Arial"/>
                                <w:color w:val="60C3AD" w:themeColor="accent1"/>
                              </w:rPr>
                              <w:t>.</w:t>
                            </w:r>
                            <w:r>
                              <w:rPr>
                                <w:rFonts w:cs="Arial"/>
                                <w:color w:val="60C3AD" w:themeColor="accen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3BA80" id="_x0000_t202" coordsize="21600,21600" o:spt="202" path="m,l,21600r21600,l21600,xe">
                <v:stroke joinstyle="miter"/>
                <v:path gradientshapeok="t" o:connecttype="rect"/>
              </v:shapetype>
              <v:shape id="Text Box 2" o:spid="_x0000_s1026" type="#_x0000_t202" style="position:absolute;left:0;text-align:left;margin-left:33pt;margin-top:3.85pt;width:416.9pt;height:153.7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" strokecolor="#5acaaf">
                <v:textbox>
                  <w:txbxContent>
                    <w:p w14:paraId="2B4E2568" w14:textId="6D5632BA" w:rsidR="002E6978" w:rsidRPr="00277AE5" w:rsidRDefault="002E6978" w:rsidP="00B035D2">
                      <w:pPr>
                        <w:rPr>
                          <w:b/>
                          <w:color w:val="60C3AD" w:themeColor="accent1"/>
                          <w:szCs w:val="22"/>
                        </w:rPr>
                      </w:pPr>
                      <w:r w:rsidRPr="00277AE5">
                        <w:rPr>
                          <w:b/>
                          <w:color w:val="60C3AD" w:themeColor="accent1"/>
                          <w:szCs w:val="22"/>
                        </w:rPr>
                        <w:t>Use of ex</w:t>
                      </w:r>
                      <w:r>
                        <w:rPr>
                          <w:b/>
                          <w:color w:val="60C3AD" w:themeColor="accent1"/>
                          <w:szCs w:val="22"/>
                        </w:rPr>
                        <w:t>isting medical reports</w:t>
                      </w:r>
                      <w:r w:rsidRPr="00277AE5">
                        <w:rPr>
                          <w:b/>
                          <w:color w:val="60C3AD" w:themeColor="accent1"/>
                          <w:szCs w:val="22"/>
                        </w:rPr>
                        <w:t xml:space="preserve"> </w:t>
                      </w:r>
                    </w:p>
                    <w:p w14:paraId="6FFDCF89" w14:textId="76008257" w:rsidR="002E6978" w:rsidRDefault="002E6978" w:rsidP="00604A20">
                      <w:pPr>
                        <w:spacing w:before="120" w:after="120"/>
                        <w:rPr>
                          <w:rFonts w:cs="Arial"/>
                          <w:color w:val="60C3AD" w:themeColor="accent1"/>
                        </w:rPr>
                      </w:pPr>
                      <w:r w:rsidRPr="00277AE5">
                        <w:rPr>
                          <w:rFonts w:cs="Arial"/>
                          <w:color w:val="60C3AD" w:themeColor="accent1"/>
                        </w:rPr>
                        <w:t>Where an employee provides a medical report or consents to the agency being provided with a medical report from a third party (e.g. QSuper) the agency can consider the information provided in determining what actions (if any) are required to manage the impact of the employee’s illness o</w:t>
                      </w:r>
                      <w:r>
                        <w:rPr>
                          <w:rFonts w:cs="Arial"/>
                          <w:color w:val="60C3AD" w:themeColor="accent1"/>
                        </w:rPr>
                        <w:t>r disability in the workplace. C</w:t>
                      </w:r>
                      <w:r w:rsidRPr="00277AE5">
                        <w:rPr>
                          <w:rFonts w:cs="Arial"/>
                          <w:color w:val="60C3AD" w:themeColor="accent1"/>
                        </w:rPr>
                        <w:t xml:space="preserve">lear written consent for the use of the report should </w:t>
                      </w:r>
                      <w:r>
                        <w:rPr>
                          <w:rFonts w:cs="Arial"/>
                          <w:color w:val="60C3AD" w:themeColor="accent1"/>
                        </w:rPr>
                        <w:t xml:space="preserve">be obtained from the employee. </w:t>
                      </w:r>
                    </w:p>
                    <w:p w14:paraId="6F934A91" w14:textId="3B5DFC8B" w:rsidR="002E6978" w:rsidRDefault="002E6978" w:rsidP="00604A20">
                      <w:pPr>
                        <w:spacing w:before="120" w:after="120"/>
                      </w:pPr>
                      <w:r>
                        <w:rPr>
                          <w:rFonts w:cs="Arial"/>
                          <w:color w:val="60C3AD" w:themeColor="accent1"/>
                        </w:rPr>
                        <w:t xml:space="preserve">Workers’ Compensation documents including </w:t>
                      </w:r>
                      <w:r w:rsidRPr="00277AE5">
                        <w:rPr>
                          <w:rFonts w:cs="Arial"/>
                          <w:color w:val="60C3AD" w:themeColor="accent1"/>
                        </w:rPr>
                        <w:t xml:space="preserve">WorkCover medical reports </w:t>
                      </w:r>
                      <w:r w:rsidRPr="00F02F3A">
                        <w:rPr>
                          <w:rFonts w:cs="Arial"/>
                          <w:b/>
                          <w:color w:val="60C3AD" w:themeColor="accent1"/>
                        </w:rPr>
                        <w:t>cannot</w:t>
                      </w:r>
                      <w:r w:rsidRPr="00277AE5">
                        <w:rPr>
                          <w:rFonts w:cs="Arial"/>
                          <w:color w:val="60C3AD" w:themeColor="accent1"/>
                        </w:rPr>
                        <w:t xml:space="preserve"> be used </w:t>
                      </w:r>
                      <w:r>
                        <w:rPr>
                          <w:rFonts w:cs="Arial"/>
                          <w:color w:val="60C3AD" w:themeColor="accent1"/>
                        </w:rPr>
                        <w:t>or paraphrased where action under s178 of the PS Act is or will be considered</w:t>
                      </w:r>
                      <w:r w:rsidRPr="00277AE5">
                        <w:rPr>
                          <w:rFonts w:cs="Arial"/>
                          <w:color w:val="60C3AD" w:themeColor="accent1"/>
                        </w:rPr>
                        <w:t xml:space="preserve"> as it is contrary to section 572A of the </w:t>
                      </w:r>
                      <w:r w:rsidRPr="006E76F1">
                        <w:rPr>
                          <w:rFonts w:cs="Arial"/>
                          <w:i/>
                          <w:color w:val="60C3AD" w:themeColor="accent1"/>
                        </w:rPr>
                        <w:t>Workers Compensation and Rehabilitation Act 2003</w:t>
                      </w:r>
                      <w:r w:rsidRPr="00277AE5">
                        <w:rPr>
                          <w:rFonts w:cs="Arial"/>
                          <w:color w:val="60C3AD" w:themeColor="accent1"/>
                        </w:rPr>
                        <w:t>.</w:t>
                      </w:r>
                      <w:r>
                        <w:rPr>
                          <w:rFonts w:cs="Arial"/>
                          <w:color w:val="60C3AD" w:themeColor="accent1"/>
                        </w:rPr>
                        <w:t xml:space="preserve">  </w:t>
                      </w:r>
                    </w:p>
                  </w:txbxContent>
                </v:textbox>
                <w10:wrap type="square" anchorx="margin"/>
              </v:shape>
            </w:pict>
          </mc:Fallback>
        </mc:AlternateContent>
      </w:r>
    </w:p>
    <w:p w14:paraId="5D0C900D" w14:textId="35F723F5" w:rsidR="00EE360D" w:rsidRPr="00DB0990" w:rsidRDefault="00EE360D" w:rsidP="007310D2">
      <w:pPr>
        <w:tabs>
          <w:tab w:val="left" w:pos="1080"/>
        </w:tabs>
        <w:spacing w:before="120" w:after="120" w:line="276" w:lineRule="auto"/>
        <w:ind w:left="720" w:hanging="720"/>
        <w:rPr>
          <w:rFonts w:cs="Arial"/>
        </w:rPr>
      </w:pPr>
    </w:p>
    <w:p w14:paraId="345551B5" w14:textId="64AF82C0" w:rsidR="00907CA1" w:rsidRDefault="00907CA1" w:rsidP="00DB79C3">
      <w:pPr>
        <w:spacing w:before="120" w:after="120"/>
      </w:pPr>
      <w:bookmarkStart w:id="11" w:name="_Hlk516046717"/>
    </w:p>
    <w:p w14:paraId="3C37DFE2" w14:textId="6887A21C" w:rsidR="00DB79C3" w:rsidRDefault="00DB79C3" w:rsidP="00DB79C3">
      <w:pPr>
        <w:spacing w:before="120" w:after="120"/>
      </w:pPr>
      <w:r w:rsidRPr="0054353F">
        <w:rPr>
          <w:rFonts w:cs="Arial"/>
          <w:noProof/>
          <w:sz w:val="88"/>
          <w:szCs w:val="88"/>
          <w:lang w:val="en-US" w:eastAsia="en-US"/>
        </w:rPr>
        <mc:AlternateContent>
          <mc:Choice Requires="wps">
            <w:drawing>
              <wp:anchor distT="0" distB="0" distL="114300" distR="114300" simplePos="0" relativeHeight="251716608" behindDoc="0" locked="0" layoutInCell="1" allowOverlap="1" wp14:anchorId="4D970B69" wp14:editId="2734F9D4">
                <wp:simplePos x="0" y="0"/>
                <wp:positionH relativeFrom="column">
                  <wp:posOffset>-58738</wp:posOffset>
                </wp:positionH>
                <wp:positionV relativeFrom="paragraph">
                  <wp:posOffset>73660</wp:posOffset>
                </wp:positionV>
                <wp:extent cx="347980" cy="353060"/>
                <wp:effectExtent l="19050" t="0" r="71120" b="0"/>
                <wp:wrapNone/>
                <wp:docPr id="13" name="Teardrop 4"/>
                <wp:cNvGraphicFramePr/>
                <a:graphic xmlns:a="http://schemas.openxmlformats.org/drawingml/2006/main">
                  <a:graphicData uri="http://schemas.microsoft.com/office/word/2010/wordprocessingShape">
                    <wps:wsp>
                      <wps:cNvSpPr/>
                      <wps:spPr>
                        <a:xfrm rot="2673838">
                          <a:off x="0" y="0"/>
                          <a:ext cx="347980" cy="3530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w="12700" cap="flat" cmpd="sng" algn="ctr">
                          <a:noFill/>
                          <a:prstDash val="solid"/>
                          <a:miter lim="800000"/>
                        </a:ln>
                        <a:effectLst/>
                      </wps:spPr>
                      <wps:bodyPr rtlCol="0" anchor="ctr"/>
                    </wps:wsp>
                  </a:graphicData>
                </a:graphic>
              </wp:anchor>
            </w:drawing>
          </mc:Choice>
          <mc:Fallback>
            <w:pict>
              <v:shape w14:anchorId="247FA8DA" id="Teardrop 4" o:spid="_x0000_s1026" style="position:absolute;margin-left:-4.65pt;margin-top:5.8pt;width:27.4pt;height:27.8pt;rotation:2920544fd;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98961;154186,44863;347980,0;308372,198961;154186,353060;0,198961" o:connectangles="0,0,0,0,0,0"/>
              </v:shape>
            </w:pict>
          </mc:Fallback>
        </mc:AlternateContent>
      </w:r>
    </w:p>
    <w:p w14:paraId="252F10D7" w14:textId="439DF32C" w:rsidR="00DB79C3" w:rsidRDefault="00DB79C3" w:rsidP="00DB79C3">
      <w:pPr>
        <w:spacing w:before="120" w:after="120"/>
      </w:pPr>
    </w:p>
    <w:p w14:paraId="507C3CA4" w14:textId="17B17664" w:rsidR="00DB79C3" w:rsidRDefault="00DB79C3" w:rsidP="00DB79C3">
      <w:pPr>
        <w:spacing w:before="120" w:after="120"/>
      </w:pPr>
    </w:p>
    <w:p w14:paraId="7D3BF6F9" w14:textId="5DF763CE" w:rsidR="00DB79C3" w:rsidRDefault="00DB79C3" w:rsidP="00DB79C3">
      <w:pPr>
        <w:spacing w:before="120" w:after="120"/>
      </w:pPr>
    </w:p>
    <w:p w14:paraId="5705E53E" w14:textId="659C971D" w:rsidR="00DB79C3" w:rsidRPr="00907CA1" w:rsidRDefault="00DB79C3" w:rsidP="00DB79C3">
      <w:pPr>
        <w:spacing w:before="120" w:after="120"/>
      </w:pPr>
    </w:p>
    <w:p w14:paraId="5816A737" w14:textId="20B8B1BF" w:rsidR="00907CA1" w:rsidRPr="00907CA1" w:rsidRDefault="00907CA1" w:rsidP="00F02F3A">
      <w:pPr>
        <w:pStyle w:val="ListParagraph"/>
        <w:spacing w:before="120" w:after="120"/>
      </w:pPr>
    </w:p>
    <w:p w14:paraId="61EB88B4" w14:textId="0C5C116B" w:rsidR="00907CA1" w:rsidRPr="00907CA1" w:rsidRDefault="00907CA1" w:rsidP="00DB79C3">
      <w:pPr>
        <w:spacing w:before="120" w:after="120"/>
        <w:ind w:left="284"/>
      </w:pPr>
    </w:p>
    <w:p w14:paraId="6AAD73A5" w14:textId="7B63FBA2" w:rsidR="007E3093" w:rsidRPr="00566B92" w:rsidRDefault="003D22FA" w:rsidP="00907CA1">
      <w:pPr>
        <w:pStyle w:val="ListParagraph"/>
        <w:numPr>
          <w:ilvl w:val="1"/>
          <w:numId w:val="14"/>
        </w:numPr>
        <w:spacing w:before="120" w:after="120"/>
        <w:ind w:left="709"/>
      </w:pPr>
      <w:r w:rsidRPr="00F02F3A">
        <w:rPr>
          <w:i/>
        </w:rPr>
        <w:t>10</w:t>
      </w:r>
      <w:r w:rsidR="009B1DE0" w:rsidRPr="00F02F3A">
        <w:rPr>
          <w:i/>
        </w:rPr>
        <w:t>.4.1</w:t>
      </w:r>
      <w:r w:rsidR="00907CA1">
        <w:rPr>
          <w:i/>
        </w:rPr>
        <w:t xml:space="preserve"> </w:t>
      </w:r>
      <w:r w:rsidR="007E3093" w:rsidRPr="00F02F3A">
        <w:rPr>
          <w:i/>
        </w:rPr>
        <w:t>Access to the medical examination report</w:t>
      </w:r>
    </w:p>
    <w:p w14:paraId="61D83F58" w14:textId="75736082" w:rsidR="00B035D2" w:rsidRDefault="007E3093" w:rsidP="006C3400">
      <w:pPr>
        <w:spacing w:before="120" w:after="120" w:line="276" w:lineRule="auto"/>
        <w:ind w:left="720"/>
      </w:pPr>
      <w:r>
        <w:t>T</w:t>
      </w:r>
      <w:r w:rsidR="00055235" w:rsidRPr="000A2160">
        <w:t xml:space="preserve">he agency </w:t>
      </w:r>
      <w:r w:rsidR="009B1DE0">
        <w:t>is required to</w:t>
      </w:r>
      <w:r w:rsidR="00055235" w:rsidRPr="000A2160">
        <w:t xml:space="preserve"> provide the employee with the medical examination report (section 1</w:t>
      </w:r>
      <w:r w:rsidR="00055235">
        <w:t>77</w:t>
      </w:r>
      <w:r w:rsidR="00055235" w:rsidRPr="000A2160">
        <w:t xml:space="preserve"> </w:t>
      </w:r>
      <w:r w:rsidR="00055235" w:rsidRPr="00973BBD">
        <w:t>PS Act</w:t>
      </w:r>
      <w:r w:rsidR="00055235" w:rsidRPr="000A2160">
        <w:t>) and any other material relied upon by the doctor or the agency in proposing a course of action to be taken</w:t>
      </w:r>
      <w:r w:rsidR="00055235">
        <w:t>.</w:t>
      </w:r>
    </w:p>
    <w:p w14:paraId="256A98AB" w14:textId="0AA189CF" w:rsidR="009B1DE0" w:rsidRDefault="00EA7663" w:rsidP="006C3400">
      <w:pPr>
        <w:spacing w:before="120" w:after="120" w:line="276" w:lineRule="auto"/>
        <w:ind w:left="720"/>
      </w:pPr>
      <w:r>
        <w:t>I</w:t>
      </w:r>
      <w:r w:rsidR="00055235">
        <w:t>f the appointed doctor indicates it might be prejudicial to the employee’s mental or physical health or wellbeing to provide them with the report</w:t>
      </w:r>
      <w:r w:rsidR="00055235" w:rsidRPr="000A2160">
        <w:t xml:space="preserve">, the </w:t>
      </w:r>
      <w:r w:rsidR="00C26BB9">
        <w:t xml:space="preserve">chief executive must not disclose the </w:t>
      </w:r>
      <w:r>
        <w:t xml:space="preserve">contents of the report to the employee </w:t>
      </w:r>
      <w:r w:rsidRPr="000A2160">
        <w:t>(section 1</w:t>
      </w:r>
      <w:r>
        <w:t>77</w:t>
      </w:r>
      <w:r w:rsidRPr="000A2160">
        <w:t>(</w:t>
      </w:r>
      <w:r>
        <w:t>4</w:t>
      </w:r>
      <w:r w:rsidRPr="000A2160">
        <w:t xml:space="preserve">) </w:t>
      </w:r>
      <w:r w:rsidRPr="00973BBD">
        <w:t>PS Act</w:t>
      </w:r>
      <w:r w:rsidRPr="000A2160">
        <w:t>)</w:t>
      </w:r>
      <w:r>
        <w:t xml:space="preserve">. However, if asked by the employee in writing, the chief executive must </w:t>
      </w:r>
      <w:r w:rsidR="00055235" w:rsidRPr="000A2160">
        <w:t>disclose the report to another doctor</w:t>
      </w:r>
      <w:r w:rsidR="00103814">
        <w:t xml:space="preserve"> nominated by the employee</w:t>
      </w:r>
      <w:r>
        <w:t xml:space="preserve"> in the request (</w:t>
      </w:r>
      <w:r w:rsidRPr="000A2160">
        <w:t xml:space="preserve">section </w:t>
      </w:r>
      <w:r>
        <w:t>177</w:t>
      </w:r>
      <w:r w:rsidRPr="000A2160">
        <w:t>(</w:t>
      </w:r>
      <w:r>
        <w:t>5</w:t>
      </w:r>
      <w:r w:rsidRPr="000A2160">
        <w:t xml:space="preserve">) </w:t>
      </w:r>
      <w:r w:rsidRPr="00973BBD">
        <w:t>PS Act</w:t>
      </w:r>
      <w:r w:rsidRPr="000A2160">
        <w:t>)</w:t>
      </w:r>
      <w:r>
        <w:t xml:space="preserve">. </w:t>
      </w:r>
      <w:r w:rsidR="009B1DE0">
        <w:t xml:space="preserve"> </w:t>
      </w:r>
      <w:r>
        <w:t xml:space="preserve">In practice, this </w:t>
      </w:r>
      <w:r w:rsidR="004E55F8">
        <w:t>is usually</w:t>
      </w:r>
      <w:r w:rsidR="009B1DE0">
        <w:t xml:space="preserve"> the </w:t>
      </w:r>
      <w:r w:rsidR="00E14338">
        <w:t xml:space="preserve">employee’s </w:t>
      </w:r>
      <w:r w:rsidR="009B1DE0">
        <w:t xml:space="preserve">treating </w:t>
      </w:r>
      <w:r w:rsidR="001923E6">
        <w:t>doctor</w:t>
      </w:r>
      <w:r w:rsidR="0061797B">
        <w:t>, and where this occurs, the agency should pay the reasonable costs of the employee’s visit to their nominated practitioner</w:t>
      </w:r>
      <w:bookmarkEnd w:id="11"/>
      <w:r w:rsidR="00055235" w:rsidRPr="000A2160">
        <w:t xml:space="preserve">. </w:t>
      </w:r>
    </w:p>
    <w:p w14:paraId="34FD2E44" w14:textId="58D3968B" w:rsidR="00055235" w:rsidRPr="000A2160" w:rsidRDefault="00055235" w:rsidP="005B3CC5">
      <w:pPr>
        <w:spacing w:before="120" w:line="276" w:lineRule="auto"/>
        <w:ind w:left="720"/>
        <w:rPr>
          <w:rFonts w:cs="Arial"/>
        </w:rPr>
      </w:pPr>
      <w:r w:rsidRPr="000A2160">
        <w:rPr>
          <w:rFonts w:cs="Arial"/>
        </w:rPr>
        <w:t xml:space="preserve">In this case, the agency </w:t>
      </w:r>
      <w:r>
        <w:rPr>
          <w:rFonts w:cs="Arial"/>
        </w:rPr>
        <w:t>must</w:t>
      </w:r>
      <w:r w:rsidRPr="000A2160">
        <w:rPr>
          <w:rFonts w:cs="Arial"/>
        </w:rPr>
        <w:t>:</w:t>
      </w:r>
    </w:p>
    <w:p w14:paraId="6FE4C1BE" w14:textId="4705F1BD" w:rsidR="00055235" w:rsidRPr="005A79A3" w:rsidRDefault="00055235" w:rsidP="00942BBF">
      <w:pPr>
        <w:pStyle w:val="ListParagraph"/>
        <w:numPr>
          <w:ilvl w:val="0"/>
          <w:numId w:val="29"/>
        </w:numPr>
        <w:tabs>
          <w:tab w:val="left" w:pos="1080"/>
        </w:tabs>
        <w:spacing w:before="120" w:after="120"/>
        <w:rPr>
          <w:rFonts w:cs="Arial"/>
        </w:rPr>
      </w:pPr>
      <w:r w:rsidRPr="00283DDF">
        <w:rPr>
          <w:rFonts w:cs="Arial"/>
        </w:rPr>
        <w:t>advise the employee in writing that the doctor has concluded that the disclosure of the report might be prejudicial to the employee’s mental or physical health or wellbeing</w:t>
      </w:r>
    </w:p>
    <w:p w14:paraId="35E97B1A" w14:textId="207857F3" w:rsidR="00055235" w:rsidRPr="00655A55" w:rsidRDefault="00055235" w:rsidP="00942BBF">
      <w:pPr>
        <w:pStyle w:val="ListParagraph"/>
        <w:numPr>
          <w:ilvl w:val="0"/>
          <w:numId w:val="29"/>
        </w:numPr>
        <w:tabs>
          <w:tab w:val="left" w:pos="1080"/>
        </w:tabs>
        <w:spacing w:before="120" w:after="120"/>
        <w:rPr>
          <w:rFonts w:cs="Arial"/>
        </w:rPr>
      </w:pPr>
      <w:r>
        <w:rPr>
          <w:rFonts w:cs="Arial"/>
        </w:rPr>
        <w:t>advise the employee that they may ask in writing for the report to be disclosed to a nominated doctor</w:t>
      </w:r>
    </w:p>
    <w:p w14:paraId="59246FA2" w14:textId="5C079450" w:rsidR="00055235" w:rsidRPr="00057ABB" w:rsidRDefault="00055235" w:rsidP="00942BBF">
      <w:pPr>
        <w:pStyle w:val="ListParagraph"/>
        <w:numPr>
          <w:ilvl w:val="0"/>
          <w:numId w:val="29"/>
        </w:numPr>
        <w:tabs>
          <w:tab w:val="left" w:pos="1080"/>
        </w:tabs>
        <w:spacing w:before="120" w:after="120"/>
        <w:rPr>
          <w:rFonts w:cs="Arial"/>
        </w:rPr>
      </w:pPr>
      <w:r w:rsidRPr="00E1788A">
        <w:rPr>
          <w:rFonts w:cs="Arial"/>
        </w:rPr>
        <w:t>write to the nominated doctor, provide</w:t>
      </w:r>
      <w:r w:rsidRPr="00B80380">
        <w:rPr>
          <w:rFonts w:cs="Arial"/>
        </w:rPr>
        <w:t xml:space="preserve"> the report and outline</w:t>
      </w:r>
      <w:r w:rsidRPr="00057ABB">
        <w:rPr>
          <w:rFonts w:cs="Arial"/>
        </w:rPr>
        <w:t xml:space="preserve"> the assessing doctor’s decision that release of the report directly to the employee might be prejudicial to their mental or physical health or wellbeing</w:t>
      </w:r>
    </w:p>
    <w:p w14:paraId="65DB75DD" w14:textId="771EBC81" w:rsidR="00055235" w:rsidRDefault="00055235" w:rsidP="00942BBF">
      <w:pPr>
        <w:pStyle w:val="ListParagraph"/>
        <w:numPr>
          <w:ilvl w:val="0"/>
          <w:numId w:val="29"/>
        </w:numPr>
        <w:tabs>
          <w:tab w:val="left" w:pos="1080"/>
        </w:tabs>
        <w:spacing w:before="120" w:after="120"/>
        <w:rPr>
          <w:rFonts w:cs="Arial"/>
        </w:rPr>
      </w:pPr>
      <w:r w:rsidRPr="00057ABB">
        <w:rPr>
          <w:rFonts w:cs="Arial"/>
        </w:rPr>
        <w:t>send the employee a copy of the correspondence sent to the nominated doctor (without the report).</w:t>
      </w:r>
    </w:p>
    <w:p w14:paraId="7775650F" w14:textId="331F82FB" w:rsidR="006C3400" w:rsidRPr="006C3400" w:rsidRDefault="006C3400" w:rsidP="006C3400">
      <w:pPr>
        <w:tabs>
          <w:tab w:val="left" w:pos="1080"/>
        </w:tabs>
        <w:spacing w:before="120" w:after="120" w:line="276" w:lineRule="auto"/>
        <w:ind w:left="720"/>
        <w:rPr>
          <w:rFonts w:cs="Arial"/>
        </w:rPr>
      </w:pPr>
      <w:r>
        <w:rPr>
          <w:rFonts w:cs="Arial"/>
        </w:rPr>
        <w:t xml:space="preserve">Where the IME doctor considers the employee should not be directly provided with a copy of the report, and the employee does not nominate a doctor to receive the report, the agency will need to consider appropriate actions based </w:t>
      </w:r>
      <w:r>
        <w:rPr>
          <w:rFonts w:cs="Arial"/>
        </w:rPr>
        <w:lastRenderedPageBreak/>
        <w:t xml:space="preserve">on the report. The agency is to engage with the employee to enable them to participate meaningfully in that process. How that is done </w:t>
      </w:r>
      <w:r w:rsidR="006D45D2">
        <w:rPr>
          <w:rFonts w:cs="Arial"/>
        </w:rPr>
        <w:t>can</w:t>
      </w:r>
      <w:r>
        <w:rPr>
          <w:rFonts w:cs="Arial"/>
        </w:rPr>
        <w:t xml:space="preserve"> vary depending on the </w:t>
      </w:r>
      <w:proofErr w:type="gramStart"/>
      <w:r>
        <w:rPr>
          <w:rFonts w:cs="Arial"/>
        </w:rPr>
        <w:t>particular circumstances</w:t>
      </w:r>
      <w:proofErr w:type="gramEnd"/>
      <w:r>
        <w:rPr>
          <w:rFonts w:cs="Arial"/>
        </w:rPr>
        <w:t>.</w:t>
      </w:r>
    </w:p>
    <w:p w14:paraId="7063498A" w14:textId="357FE7EB" w:rsidR="007E3093" w:rsidRPr="00907CA1" w:rsidRDefault="007E3093" w:rsidP="00907CA1">
      <w:pPr>
        <w:pStyle w:val="ListParagraph"/>
        <w:numPr>
          <w:ilvl w:val="1"/>
          <w:numId w:val="14"/>
        </w:numPr>
        <w:spacing w:before="120" w:after="120"/>
        <w:ind w:left="709"/>
        <w:rPr>
          <w:i/>
        </w:rPr>
      </w:pPr>
      <w:r w:rsidRPr="00F02F3A">
        <w:rPr>
          <w:i/>
        </w:rPr>
        <w:t>10.4.2</w:t>
      </w:r>
      <w:r w:rsidRPr="00F02F3A">
        <w:rPr>
          <w:i/>
        </w:rPr>
        <w:tab/>
        <w:t>Consider the medical report</w:t>
      </w:r>
      <w:r w:rsidR="006C3400" w:rsidRPr="00F02F3A">
        <w:rPr>
          <w:i/>
        </w:rPr>
        <w:t xml:space="preserve"> and determine the action that may be taken</w:t>
      </w:r>
    </w:p>
    <w:p w14:paraId="4361518C" w14:textId="5D0DBB1E" w:rsidR="00277AE5" w:rsidRPr="009B1DE0" w:rsidRDefault="00055235" w:rsidP="006C3400">
      <w:pPr>
        <w:tabs>
          <w:tab w:val="left" w:pos="1080"/>
        </w:tabs>
        <w:spacing w:before="120" w:after="120" w:line="276" w:lineRule="auto"/>
        <w:ind w:left="709"/>
      </w:pPr>
      <w:r w:rsidRPr="000A2160">
        <w:rPr>
          <w:rFonts w:cs="Arial"/>
        </w:rPr>
        <w:t xml:space="preserve">The agency should consider the </w:t>
      </w:r>
      <w:r>
        <w:rPr>
          <w:rFonts w:cs="Arial"/>
        </w:rPr>
        <w:t>IME</w:t>
      </w:r>
      <w:r w:rsidRPr="000A2160">
        <w:rPr>
          <w:rFonts w:cs="Arial"/>
        </w:rPr>
        <w:t xml:space="preserve"> report and other relevant material and </w:t>
      </w:r>
      <w:r w:rsidR="009B1DE0">
        <w:rPr>
          <w:rFonts w:cs="Arial"/>
        </w:rPr>
        <w:t xml:space="preserve">either </w:t>
      </w:r>
      <w:r w:rsidRPr="000A2160">
        <w:rPr>
          <w:rFonts w:cs="Arial"/>
        </w:rPr>
        <w:t>propose</w:t>
      </w:r>
      <w:r>
        <w:rPr>
          <w:rFonts w:cs="Arial"/>
        </w:rPr>
        <w:t xml:space="preserve"> no </w:t>
      </w:r>
      <w:r w:rsidR="009B1DE0">
        <w:rPr>
          <w:rFonts w:cs="Arial"/>
        </w:rPr>
        <w:t xml:space="preserve">further </w:t>
      </w:r>
      <w:r>
        <w:rPr>
          <w:rFonts w:cs="Arial"/>
        </w:rPr>
        <w:t>action or</w:t>
      </w:r>
      <w:r w:rsidRPr="000A2160">
        <w:rPr>
          <w:rFonts w:cs="Arial"/>
        </w:rPr>
        <w:t xml:space="preserve"> a course o</w:t>
      </w:r>
      <w:r>
        <w:rPr>
          <w:rFonts w:cs="Arial"/>
        </w:rPr>
        <w:t xml:space="preserve">f action to be taken. </w:t>
      </w:r>
    </w:p>
    <w:p w14:paraId="078231BE" w14:textId="53ADAD5B" w:rsidR="00277AE5" w:rsidRPr="00EC4875" w:rsidRDefault="00277AE5" w:rsidP="00942BBF">
      <w:pPr>
        <w:pStyle w:val="ListParagraph"/>
        <w:numPr>
          <w:ilvl w:val="0"/>
          <w:numId w:val="30"/>
        </w:numPr>
        <w:tabs>
          <w:tab w:val="left" w:pos="1080"/>
        </w:tabs>
        <w:spacing w:before="240" w:after="120"/>
        <w:rPr>
          <w:rFonts w:cs="Arial"/>
          <w:szCs w:val="22"/>
        </w:rPr>
      </w:pPr>
      <w:r w:rsidRPr="00057ABB">
        <w:rPr>
          <w:rFonts w:cs="Arial"/>
          <w:b/>
          <w:szCs w:val="22"/>
        </w:rPr>
        <w:t xml:space="preserve">Continue or initiate action </w:t>
      </w:r>
      <w:r w:rsidR="00EC4875" w:rsidRPr="00EC4875">
        <w:rPr>
          <w:rFonts w:cs="Arial"/>
          <w:szCs w:val="22"/>
        </w:rPr>
        <w:t>–</w:t>
      </w:r>
      <w:r w:rsidR="00EC4875">
        <w:rPr>
          <w:rFonts w:cs="Arial"/>
          <w:b/>
          <w:szCs w:val="22"/>
        </w:rPr>
        <w:t xml:space="preserve"> </w:t>
      </w:r>
      <w:r w:rsidRPr="00EC4875">
        <w:rPr>
          <w:rFonts w:cs="Arial"/>
          <w:szCs w:val="22"/>
        </w:rPr>
        <w:t xml:space="preserve">to manage unsatisfactory work performance or a return to work from a current </w:t>
      </w:r>
      <w:r w:rsidR="004E55F8" w:rsidRPr="00EC4875">
        <w:rPr>
          <w:rFonts w:cs="Arial"/>
          <w:szCs w:val="22"/>
        </w:rPr>
        <w:t>absence if</w:t>
      </w:r>
      <w:r w:rsidRPr="00EC4875">
        <w:rPr>
          <w:rFonts w:cs="Arial"/>
          <w:szCs w:val="22"/>
        </w:rPr>
        <w:t xml:space="preserve"> there is no medical reason for the unsatisfactory performance or current absence</w:t>
      </w:r>
      <w:r w:rsidR="00EC4875">
        <w:rPr>
          <w:rFonts w:cs="Arial"/>
          <w:szCs w:val="22"/>
        </w:rPr>
        <w:t>.</w:t>
      </w:r>
    </w:p>
    <w:p w14:paraId="28BAFD3F" w14:textId="2FAB0F93" w:rsidR="00277AE5" w:rsidRPr="00057ABB" w:rsidRDefault="00277AE5" w:rsidP="00942BBF">
      <w:pPr>
        <w:pStyle w:val="ListParagraph"/>
        <w:numPr>
          <w:ilvl w:val="0"/>
          <w:numId w:val="30"/>
        </w:numPr>
        <w:tabs>
          <w:tab w:val="left" w:pos="1080"/>
        </w:tabs>
        <w:spacing w:before="240" w:after="120"/>
        <w:rPr>
          <w:rFonts w:cs="Arial"/>
          <w:szCs w:val="22"/>
        </w:rPr>
      </w:pPr>
      <w:r w:rsidRPr="00057ABB">
        <w:rPr>
          <w:rFonts w:cs="Arial"/>
          <w:b/>
          <w:szCs w:val="22"/>
        </w:rPr>
        <w:t>Continue or commence action</w:t>
      </w:r>
      <w:r w:rsidRPr="00057ABB">
        <w:rPr>
          <w:rFonts w:cs="Arial"/>
          <w:szCs w:val="22"/>
        </w:rPr>
        <w:t xml:space="preserve"> </w:t>
      </w:r>
      <w:r w:rsidR="00EC4875" w:rsidRPr="00EC4875">
        <w:rPr>
          <w:rFonts w:cs="Arial"/>
          <w:szCs w:val="22"/>
        </w:rPr>
        <w:t>–</w:t>
      </w:r>
      <w:r w:rsidR="00EC4875">
        <w:rPr>
          <w:rFonts w:cs="Arial"/>
          <w:szCs w:val="22"/>
        </w:rPr>
        <w:t xml:space="preserve"> </w:t>
      </w:r>
      <w:r w:rsidRPr="00057ABB">
        <w:rPr>
          <w:rFonts w:cs="Arial"/>
          <w:szCs w:val="22"/>
        </w:rPr>
        <w:t>to manage the employee and thei</w:t>
      </w:r>
      <w:r w:rsidR="007C63CC">
        <w:rPr>
          <w:rFonts w:cs="Arial"/>
          <w:szCs w:val="22"/>
        </w:rPr>
        <w:t>r illness, disability or injury.</w:t>
      </w:r>
    </w:p>
    <w:p w14:paraId="28922EB5" w14:textId="7589A290" w:rsidR="00277AE5" w:rsidRPr="00057ABB" w:rsidRDefault="00277AE5" w:rsidP="00942BBF">
      <w:pPr>
        <w:pStyle w:val="ListParagraph"/>
        <w:numPr>
          <w:ilvl w:val="0"/>
          <w:numId w:val="30"/>
        </w:numPr>
        <w:tabs>
          <w:tab w:val="left" w:pos="1080"/>
        </w:tabs>
        <w:spacing w:before="240" w:after="120"/>
        <w:rPr>
          <w:rFonts w:cs="Arial"/>
          <w:szCs w:val="22"/>
        </w:rPr>
      </w:pPr>
      <w:r>
        <w:rPr>
          <w:rFonts w:cs="Arial"/>
          <w:b/>
          <w:szCs w:val="22"/>
        </w:rPr>
        <w:t>P</w:t>
      </w:r>
      <w:r w:rsidRPr="00057ABB">
        <w:rPr>
          <w:rFonts w:cs="Arial"/>
          <w:b/>
          <w:szCs w:val="22"/>
        </w:rPr>
        <w:t>rovide reasonable adjustment</w:t>
      </w:r>
      <w:r w:rsidRPr="00057ABB">
        <w:rPr>
          <w:rFonts w:cs="Arial"/>
          <w:szCs w:val="22"/>
        </w:rPr>
        <w:t xml:space="preserve"> </w:t>
      </w:r>
      <w:r w:rsidR="00EC4875" w:rsidRPr="00EC4875">
        <w:rPr>
          <w:rFonts w:cs="Arial"/>
          <w:szCs w:val="22"/>
        </w:rPr>
        <w:t>–</w:t>
      </w:r>
      <w:r w:rsidR="00EC4875">
        <w:rPr>
          <w:rFonts w:cs="Arial"/>
          <w:szCs w:val="22"/>
        </w:rPr>
        <w:t xml:space="preserve"> </w:t>
      </w:r>
      <w:r w:rsidRPr="00057ABB">
        <w:rPr>
          <w:rFonts w:cs="Arial"/>
          <w:szCs w:val="22"/>
        </w:rPr>
        <w:t xml:space="preserve">to enable the employee to continue in their substantive position (e.g. </w:t>
      </w:r>
      <w:r>
        <w:rPr>
          <w:rFonts w:cs="Arial"/>
          <w:szCs w:val="22"/>
        </w:rPr>
        <w:t xml:space="preserve">provide specialised equipment, </w:t>
      </w:r>
      <w:r w:rsidRPr="00057ABB">
        <w:rPr>
          <w:rFonts w:cs="Arial"/>
          <w:szCs w:val="22"/>
        </w:rPr>
        <w:t>modify work tasks or the workplace, or consider other action such as retraining, if practic</w:t>
      </w:r>
      <w:r w:rsidR="00EC4875">
        <w:rPr>
          <w:rFonts w:cs="Arial"/>
          <w:szCs w:val="22"/>
        </w:rPr>
        <w:t>a</w:t>
      </w:r>
      <w:r w:rsidR="003E5FD7">
        <w:rPr>
          <w:rFonts w:cs="Arial"/>
          <w:szCs w:val="22"/>
        </w:rPr>
        <w:t>b</w:t>
      </w:r>
      <w:r w:rsidR="00EC4875">
        <w:rPr>
          <w:rFonts w:cs="Arial"/>
          <w:szCs w:val="22"/>
        </w:rPr>
        <w:t>l</w:t>
      </w:r>
      <w:r w:rsidR="003E5FD7">
        <w:rPr>
          <w:rFonts w:cs="Arial"/>
          <w:szCs w:val="22"/>
        </w:rPr>
        <w:t>e</w:t>
      </w:r>
      <w:r w:rsidRPr="00057ABB">
        <w:rPr>
          <w:rFonts w:cs="Arial"/>
          <w:szCs w:val="22"/>
        </w:rPr>
        <w:t>)</w:t>
      </w:r>
      <w:r>
        <w:rPr>
          <w:rFonts w:cs="Arial"/>
          <w:szCs w:val="22"/>
        </w:rPr>
        <w:t xml:space="preserve">. </w:t>
      </w:r>
      <w:r w:rsidR="00E633A3">
        <w:rPr>
          <w:rFonts w:cs="Arial"/>
          <w:szCs w:val="22"/>
        </w:rPr>
        <w:br/>
      </w:r>
      <w:r w:rsidR="00E633A3">
        <w:rPr>
          <w:rFonts w:cs="Arial"/>
          <w:szCs w:val="22"/>
        </w:rPr>
        <w:br/>
      </w:r>
      <w:r>
        <w:rPr>
          <w:rFonts w:cs="Arial"/>
          <w:szCs w:val="22"/>
        </w:rPr>
        <w:t xml:space="preserve">This may not be possible where there are </w:t>
      </w:r>
      <w:r w:rsidRPr="00EC4875">
        <w:rPr>
          <w:rFonts w:cs="Arial"/>
          <w:szCs w:val="22"/>
        </w:rPr>
        <w:t>genuine occupational requirements of a role that are inconsistent with proposed adjustments or the proposed adjustments would cause unjustifiable hardship for</w:t>
      </w:r>
      <w:r>
        <w:rPr>
          <w:rFonts w:cs="Arial"/>
          <w:szCs w:val="22"/>
        </w:rPr>
        <w:t xml:space="preserve"> the employer. </w:t>
      </w:r>
    </w:p>
    <w:p w14:paraId="0B16A0E9" w14:textId="48E057D8" w:rsidR="00277AE5" w:rsidRPr="00057ABB" w:rsidRDefault="00277AE5" w:rsidP="00942BBF">
      <w:pPr>
        <w:pStyle w:val="ListParagraph"/>
        <w:numPr>
          <w:ilvl w:val="0"/>
          <w:numId w:val="30"/>
        </w:numPr>
        <w:tabs>
          <w:tab w:val="left" w:pos="1080"/>
        </w:tabs>
        <w:spacing w:before="240" w:after="120"/>
        <w:rPr>
          <w:rFonts w:cs="Arial"/>
          <w:szCs w:val="22"/>
        </w:rPr>
      </w:pPr>
      <w:r>
        <w:rPr>
          <w:rFonts w:cs="Arial"/>
          <w:b/>
          <w:szCs w:val="22"/>
        </w:rPr>
        <w:t>S</w:t>
      </w:r>
      <w:r w:rsidRPr="00057ABB">
        <w:rPr>
          <w:rFonts w:cs="Arial"/>
          <w:b/>
          <w:szCs w:val="22"/>
        </w:rPr>
        <w:t xml:space="preserve">earch for a suitable role and </w:t>
      </w:r>
      <w:r w:rsidRPr="00803227">
        <w:rPr>
          <w:rFonts w:cs="Arial"/>
          <w:b/>
          <w:szCs w:val="22"/>
        </w:rPr>
        <w:t>transfer</w:t>
      </w:r>
      <w:r w:rsidRPr="00973BBD">
        <w:rPr>
          <w:rFonts w:cs="Arial"/>
          <w:b/>
          <w:szCs w:val="22"/>
        </w:rPr>
        <w:t xml:space="preserve"> or</w:t>
      </w:r>
      <w:r w:rsidRPr="00057ABB">
        <w:rPr>
          <w:rFonts w:cs="Arial"/>
          <w:szCs w:val="22"/>
        </w:rPr>
        <w:t xml:space="preserve"> </w:t>
      </w:r>
      <w:r w:rsidRPr="00057ABB">
        <w:rPr>
          <w:rFonts w:cs="Arial"/>
          <w:b/>
          <w:szCs w:val="22"/>
        </w:rPr>
        <w:t xml:space="preserve">redeploy </w:t>
      </w:r>
      <w:r w:rsidR="00EC4875" w:rsidRPr="00EC4875">
        <w:rPr>
          <w:rFonts w:cs="Arial"/>
          <w:szCs w:val="22"/>
        </w:rPr>
        <w:t>–</w:t>
      </w:r>
      <w:r w:rsidR="007974C3">
        <w:rPr>
          <w:rFonts w:cs="Arial"/>
          <w:szCs w:val="22"/>
        </w:rPr>
        <w:t xml:space="preserve"> </w:t>
      </w:r>
      <w:r w:rsidRPr="00057ABB">
        <w:rPr>
          <w:rFonts w:cs="Arial"/>
          <w:szCs w:val="22"/>
        </w:rPr>
        <w:t>to a suitable</w:t>
      </w:r>
      <w:r>
        <w:rPr>
          <w:rFonts w:cs="Arial"/>
          <w:szCs w:val="22"/>
        </w:rPr>
        <w:t xml:space="preserve"> position within the work group, </w:t>
      </w:r>
      <w:r w:rsidRPr="00057ABB">
        <w:rPr>
          <w:rFonts w:cs="Arial"/>
          <w:szCs w:val="22"/>
        </w:rPr>
        <w:t>agency</w:t>
      </w:r>
      <w:r>
        <w:rPr>
          <w:rFonts w:cs="Arial"/>
          <w:szCs w:val="22"/>
        </w:rPr>
        <w:t xml:space="preserve"> or the Queensland public service</w:t>
      </w:r>
      <w:r w:rsidRPr="00057ABB">
        <w:rPr>
          <w:rFonts w:cs="Arial"/>
          <w:szCs w:val="22"/>
        </w:rPr>
        <w:t xml:space="preserve"> on the basis that the employee is medically incapable of performing the genuine occupational requirements of their substantive position for the foreseeable </w:t>
      </w:r>
      <w:r w:rsidR="004E55F8" w:rsidRPr="00057ABB">
        <w:rPr>
          <w:rFonts w:cs="Arial"/>
          <w:szCs w:val="22"/>
        </w:rPr>
        <w:t>future,</w:t>
      </w:r>
      <w:r>
        <w:rPr>
          <w:rFonts w:cs="Arial"/>
          <w:szCs w:val="22"/>
        </w:rPr>
        <w:t xml:space="preserve"> </w:t>
      </w:r>
      <w:r w:rsidRPr="006566B0">
        <w:rPr>
          <w:rFonts w:cs="Arial"/>
          <w:szCs w:val="22"/>
        </w:rPr>
        <w:t>but they could perform required duties elsewhere</w:t>
      </w:r>
      <w:r>
        <w:rPr>
          <w:rFonts w:cs="Arial"/>
          <w:szCs w:val="22"/>
        </w:rPr>
        <w:t>.</w:t>
      </w:r>
      <w:r w:rsidR="006D45D2">
        <w:rPr>
          <w:rFonts w:cs="Arial"/>
          <w:szCs w:val="22"/>
        </w:rPr>
        <w:t xml:space="preserve"> </w:t>
      </w:r>
    </w:p>
    <w:p w14:paraId="7E27C53C" w14:textId="75238D9D" w:rsidR="00277AE5" w:rsidRPr="00057ABB" w:rsidRDefault="00EC4875" w:rsidP="00942BBF">
      <w:pPr>
        <w:pStyle w:val="ListParagraph"/>
        <w:numPr>
          <w:ilvl w:val="0"/>
          <w:numId w:val="30"/>
        </w:numPr>
        <w:tabs>
          <w:tab w:val="left" w:pos="1080"/>
        </w:tabs>
        <w:spacing w:before="240" w:after="120"/>
        <w:rPr>
          <w:rFonts w:cs="Arial"/>
          <w:szCs w:val="22"/>
        </w:rPr>
      </w:pPr>
      <w:r>
        <w:rPr>
          <w:rFonts w:cs="Arial"/>
          <w:b/>
          <w:szCs w:val="22"/>
        </w:rPr>
        <w:t xml:space="preserve">Consider </w:t>
      </w:r>
      <w:r w:rsidRPr="001923E6">
        <w:rPr>
          <w:rFonts w:cs="Arial"/>
          <w:b/>
          <w:szCs w:val="22"/>
        </w:rPr>
        <w:t>retiring</w:t>
      </w:r>
      <w:r w:rsidR="00FA7A4E" w:rsidRPr="001923E6">
        <w:rPr>
          <w:rFonts w:cs="Arial"/>
          <w:b/>
          <w:szCs w:val="22"/>
        </w:rPr>
        <w:t xml:space="preserve"> the employee</w:t>
      </w:r>
      <w:r>
        <w:rPr>
          <w:rFonts w:cs="Arial"/>
          <w:szCs w:val="22"/>
        </w:rPr>
        <w:t xml:space="preserve"> </w:t>
      </w:r>
      <w:r w:rsidRPr="00EC4875">
        <w:rPr>
          <w:rFonts w:cs="Arial"/>
          <w:szCs w:val="22"/>
        </w:rPr>
        <w:t>–</w:t>
      </w:r>
      <w:r>
        <w:rPr>
          <w:rFonts w:cs="Arial"/>
          <w:szCs w:val="22"/>
        </w:rPr>
        <w:t xml:space="preserve"> </w:t>
      </w:r>
      <w:r w:rsidR="00277AE5" w:rsidRPr="00057ABB">
        <w:rPr>
          <w:rFonts w:cs="Arial"/>
          <w:szCs w:val="22"/>
        </w:rPr>
        <w:t>for those employees it is not reasonably practi</w:t>
      </w:r>
      <w:r>
        <w:rPr>
          <w:rFonts w:cs="Arial"/>
          <w:szCs w:val="22"/>
        </w:rPr>
        <w:t>ca</w:t>
      </w:r>
      <w:r w:rsidR="003E5FD7">
        <w:rPr>
          <w:rFonts w:cs="Arial"/>
          <w:szCs w:val="22"/>
        </w:rPr>
        <w:t>b</w:t>
      </w:r>
      <w:r>
        <w:rPr>
          <w:rFonts w:cs="Arial"/>
          <w:szCs w:val="22"/>
        </w:rPr>
        <w:t>l</w:t>
      </w:r>
      <w:r w:rsidR="003E5FD7">
        <w:rPr>
          <w:rFonts w:cs="Arial"/>
          <w:szCs w:val="22"/>
        </w:rPr>
        <w:t>e</w:t>
      </w:r>
      <w:r>
        <w:rPr>
          <w:rFonts w:cs="Arial"/>
          <w:szCs w:val="22"/>
        </w:rPr>
        <w:t xml:space="preserve"> to transfer or redeploy</w:t>
      </w:r>
      <w:r w:rsidR="00096C5A">
        <w:rPr>
          <w:rFonts w:cs="Arial"/>
          <w:szCs w:val="22"/>
        </w:rPr>
        <w:t>, and where reasonable adjustment has also not been possible</w:t>
      </w:r>
      <w:r>
        <w:rPr>
          <w:rFonts w:cs="Arial"/>
          <w:szCs w:val="22"/>
        </w:rPr>
        <w:t xml:space="preserve">. </w:t>
      </w:r>
      <w:r w:rsidR="00277AE5" w:rsidRPr="00057ABB">
        <w:rPr>
          <w:rFonts w:cs="Arial"/>
          <w:szCs w:val="22"/>
        </w:rPr>
        <w:t xml:space="preserve">Whether or </w:t>
      </w:r>
      <w:r>
        <w:rPr>
          <w:rFonts w:cs="Arial"/>
          <w:szCs w:val="22"/>
        </w:rPr>
        <w:t xml:space="preserve">not </w:t>
      </w:r>
      <w:r w:rsidR="00096C5A">
        <w:rPr>
          <w:rFonts w:cs="Arial"/>
          <w:szCs w:val="22"/>
        </w:rPr>
        <w:t>transfer or redeployment</w:t>
      </w:r>
      <w:r>
        <w:rPr>
          <w:rFonts w:cs="Arial"/>
          <w:szCs w:val="22"/>
        </w:rPr>
        <w:t xml:space="preserve"> is reasonably practica</w:t>
      </w:r>
      <w:r w:rsidR="003E5FD7">
        <w:rPr>
          <w:rFonts w:cs="Arial"/>
          <w:szCs w:val="22"/>
        </w:rPr>
        <w:t>ble</w:t>
      </w:r>
      <w:r w:rsidR="00277AE5" w:rsidRPr="00057ABB">
        <w:rPr>
          <w:rFonts w:cs="Arial"/>
          <w:szCs w:val="22"/>
        </w:rPr>
        <w:t xml:space="preserve"> depends on the circumstances of each </w:t>
      </w:r>
      <w:r w:rsidR="004E55F8" w:rsidRPr="00057ABB">
        <w:rPr>
          <w:rFonts w:cs="Arial"/>
          <w:szCs w:val="22"/>
        </w:rPr>
        <w:t>case,</w:t>
      </w:r>
      <w:r w:rsidR="006D45D2">
        <w:rPr>
          <w:rFonts w:cs="Arial"/>
          <w:szCs w:val="22"/>
        </w:rPr>
        <w:t xml:space="preserve"> </w:t>
      </w:r>
      <w:r w:rsidR="006D45D2" w:rsidRPr="00DC65D0">
        <w:rPr>
          <w:rFonts w:cs="Arial"/>
          <w:szCs w:val="22"/>
        </w:rPr>
        <w:t>but this option should always be explored before retirement is considered</w:t>
      </w:r>
      <w:r w:rsidR="00277AE5" w:rsidRPr="00DC65D0">
        <w:rPr>
          <w:rFonts w:cs="Arial"/>
          <w:szCs w:val="22"/>
        </w:rPr>
        <w:t>.</w:t>
      </w:r>
      <w:r w:rsidR="00277AE5" w:rsidRPr="00057ABB">
        <w:rPr>
          <w:rFonts w:cs="Arial"/>
          <w:szCs w:val="22"/>
        </w:rPr>
        <w:t xml:space="preserve"> </w:t>
      </w:r>
    </w:p>
    <w:p w14:paraId="7439E55D" w14:textId="6FFCBE5D" w:rsidR="006E76F1" w:rsidRPr="001923E6" w:rsidRDefault="003D22FA" w:rsidP="001923E6">
      <w:pPr>
        <w:pStyle w:val="ListParagraph"/>
        <w:numPr>
          <w:ilvl w:val="1"/>
          <w:numId w:val="14"/>
        </w:numPr>
        <w:spacing w:before="120" w:after="120"/>
        <w:ind w:left="709"/>
        <w:rPr>
          <w:i/>
        </w:rPr>
      </w:pPr>
      <w:r w:rsidRPr="005C1DAA">
        <w:rPr>
          <w:i/>
        </w:rPr>
        <w:t>10</w:t>
      </w:r>
      <w:r w:rsidR="009B1DE0" w:rsidRPr="005C1DAA">
        <w:rPr>
          <w:i/>
        </w:rPr>
        <w:t>.4.</w:t>
      </w:r>
      <w:r w:rsidR="00200908">
        <w:rPr>
          <w:i/>
        </w:rPr>
        <w:t>3</w:t>
      </w:r>
      <w:r w:rsidR="005C1DAA" w:rsidRPr="005C1DAA">
        <w:rPr>
          <w:i/>
        </w:rPr>
        <w:t xml:space="preserve"> </w:t>
      </w:r>
      <w:r w:rsidR="009147F4" w:rsidRPr="005C1DAA">
        <w:rPr>
          <w:i/>
        </w:rPr>
        <w:t>P</w:t>
      </w:r>
      <w:r w:rsidR="00277AE5" w:rsidRPr="005C1DAA">
        <w:rPr>
          <w:i/>
        </w:rPr>
        <w:t xml:space="preserve">rovide </w:t>
      </w:r>
      <w:r w:rsidR="000D1E48" w:rsidRPr="005C1DAA">
        <w:rPr>
          <w:i/>
        </w:rPr>
        <w:t>procedural fairness</w:t>
      </w:r>
    </w:p>
    <w:p w14:paraId="2D7D61ED" w14:textId="3C434BFD" w:rsidR="009147F4" w:rsidRPr="009147F4" w:rsidRDefault="000D1E48" w:rsidP="006E76F1">
      <w:pPr>
        <w:pStyle w:val="ListParagraph"/>
        <w:spacing w:before="120" w:after="120"/>
        <w:rPr>
          <w:rFonts w:cs="Arial"/>
        </w:rPr>
      </w:pPr>
      <w:r>
        <w:rPr>
          <w:rFonts w:cs="Arial"/>
        </w:rPr>
        <w:ptab w:relativeTo="indent" w:alignment="left" w:leader="none"/>
      </w:r>
      <w:r w:rsidR="006E76F1">
        <w:rPr>
          <w:rFonts w:cs="Arial"/>
        </w:rPr>
        <w:tab/>
      </w:r>
      <w:r w:rsidR="009147F4" w:rsidRPr="006E76F1">
        <w:t>The agency should provide the employee with</w:t>
      </w:r>
      <w:r w:rsidR="00E633A3">
        <w:t>:</w:t>
      </w:r>
    </w:p>
    <w:p w14:paraId="1AA801E7" w14:textId="4E1FD937" w:rsidR="00277AE5" w:rsidRPr="00057ABB" w:rsidRDefault="00277AE5" w:rsidP="00942BBF">
      <w:pPr>
        <w:pStyle w:val="ListParagraph"/>
        <w:numPr>
          <w:ilvl w:val="0"/>
          <w:numId w:val="31"/>
        </w:numPr>
        <w:tabs>
          <w:tab w:val="left" w:pos="1080"/>
        </w:tabs>
        <w:spacing w:before="120" w:after="120"/>
        <w:ind w:left="1077"/>
        <w:rPr>
          <w:rFonts w:cs="Arial"/>
        </w:rPr>
      </w:pPr>
      <w:r w:rsidRPr="00283DDF">
        <w:rPr>
          <w:rFonts w:cs="Arial"/>
        </w:rPr>
        <w:t xml:space="preserve">written details of </w:t>
      </w:r>
      <w:r w:rsidR="0095342D">
        <w:rPr>
          <w:rFonts w:cs="Arial"/>
        </w:rPr>
        <w:t>any</w:t>
      </w:r>
      <w:r w:rsidR="0095342D" w:rsidRPr="00283DDF">
        <w:rPr>
          <w:rFonts w:cs="Arial"/>
        </w:rPr>
        <w:t xml:space="preserve"> </w:t>
      </w:r>
      <w:r w:rsidRPr="00283DDF">
        <w:rPr>
          <w:rFonts w:cs="Arial"/>
        </w:rPr>
        <w:t xml:space="preserve">action </w:t>
      </w:r>
      <w:r w:rsidRPr="005A79A3">
        <w:rPr>
          <w:rFonts w:cs="Arial"/>
        </w:rPr>
        <w:t>proposed in response to th</w:t>
      </w:r>
      <w:r w:rsidRPr="00655A55">
        <w:rPr>
          <w:rFonts w:cs="Arial"/>
        </w:rPr>
        <w:t>e IME report (e</w:t>
      </w:r>
      <w:r w:rsidR="00FA7A4E">
        <w:rPr>
          <w:rFonts w:cs="Arial"/>
        </w:rPr>
        <w:t>.</w:t>
      </w:r>
      <w:r w:rsidRPr="00655A55">
        <w:rPr>
          <w:rFonts w:cs="Arial"/>
        </w:rPr>
        <w:t xml:space="preserve">g. </w:t>
      </w:r>
      <w:r w:rsidRPr="00E1788A">
        <w:rPr>
          <w:rFonts w:cs="Arial"/>
        </w:rPr>
        <w:t xml:space="preserve">permanent </w:t>
      </w:r>
      <w:r w:rsidRPr="00B80380">
        <w:rPr>
          <w:rFonts w:cs="Arial"/>
        </w:rPr>
        <w:t>change to workstation, adjustment to hours of work, t</w:t>
      </w:r>
      <w:r w:rsidRPr="00057ABB">
        <w:rPr>
          <w:rFonts w:cs="Arial"/>
        </w:rPr>
        <w:t>ransfer within the agency</w:t>
      </w:r>
      <w:r w:rsidR="00F54492">
        <w:rPr>
          <w:rFonts w:cs="Arial"/>
        </w:rPr>
        <w:t xml:space="preserve"> or sector</w:t>
      </w:r>
      <w:r w:rsidRPr="00057ABB">
        <w:rPr>
          <w:rFonts w:cs="Arial"/>
        </w:rPr>
        <w:t>, or ill health retirement)</w:t>
      </w:r>
      <w:r w:rsidR="00577744">
        <w:rPr>
          <w:rFonts w:cs="Arial"/>
        </w:rPr>
        <w:t xml:space="preserve">, and </w:t>
      </w:r>
      <w:r w:rsidR="00A43D7E">
        <w:rPr>
          <w:rFonts w:cs="Arial"/>
        </w:rPr>
        <w:t>an explanation of why that action is proposed</w:t>
      </w:r>
    </w:p>
    <w:p w14:paraId="3B9B54F4" w14:textId="36DCEE52" w:rsidR="00277AE5" w:rsidRPr="00D84988" w:rsidRDefault="00277AE5" w:rsidP="00942BBF">
      <w:pPr>
        <w:pStyle w:val="ListParagraph"/>
        <w:numPr>
          <w:ilvl w:val="0"/>
          <w:numId w:val="31"/>
        </w:numPr>
        <w:tabs>
          <w:tab w:val="left" w:pos="1080"/>
        </w:tabs>
        <w:spacing w:before="120" w:after="120"/>
        <w:ind w:left="1077"/>
        <w:rPr>
          <w:rFonts w:cs="Arial"/>
        </w:rPr>
      </w:pPr>
      <w:r w:rsidRPr="00057ABB">
        <w:rPr>
          <w:rFonts w:cs="Arial"/>
        </w:rPr>
        <w:t xml:space="preserve">the opportunity to respond to </w:t>
      </w:r>
      <w:r w:rsidR="0095342D">
        <w:rPr>
          <w:rFonts w:cs="Arial"/>
        </w:rPr>
        <w:t>any</w:t>
      </w:r>
      <w:r w:rsidR="0095342D" w:rsidRPr="00057ABB">
        <w:rPr>
          <w:rFonts w:cs="Arial"/>
        </w:rPr>
        <w:t xml:space="preserve"> </w:t>
      </w:r>
      <w:r w:rsidRPr="00057ABB">
        <w:rPr>
          <w:rFonts w:cs="Arial"/>
        </w:rPr>
        <w:t>proposed action</w:t>
      </w:r>
      <w:r w:rsidR="00D84988">
        <w:rPr>
          <w:rFonts w:cs="Arial"/>
        </w:rPr>
        <w:t xml:space="preserve">, within </w:t>
      </w:r>
      <w:r w:rsidRPr="00D84988">
        <w:rPr>
          <w:rFonts w:cs="Arial"/>
        </w:rPr>
        <w:t xml:space="preserve">a </w:t>
      </w:r>
      <w:r w:rsidRPr="004B4075">
        <w:rPr>
          <w:rFonts w:cs="Arial"/>
        </w:rPr>
        <w:t>minimum period</w:t>
      </w:r>
      <w:r w:rsidRPr="0067218D">
        <w:rPr>
          <w:rFonts w:cs="Arial"/>
        </w:rPr>
        <w:t xml:space="preserve"> of</w:t>
      </w:r>
      <w:r w:rsidRPr="00D84988">
        <w:rPr>
          <w:rFonts w:cs="Arial"/>
        </w:rPr>
        <w:t xml:space="preserve"> </w:t>
      </w:r>
      <w:r w:rsidRPr="005E5C5A">
        <w:rPr>
          <w:rFonts w:cs="Arial"/>
        </w:rPr>
        <w:t>14 d</w:t>
      </w:r>
      <w:r w:rsidRPr="00D84988">
        <w:rPr>
          <w:rFonts w:cs="Arial"/>
        </w:rPr>
        <w:t>ays</w:t>
      </w:r>
      <w:r w:rsidR="00AB01E1">
        <w:rPr>
          <w:rFonts w:cs="Arial"/>
        </w:rPr>
        <w:t xml:space="preserve"> (a</w:t>
      </w:r>
      <w:r w:rsidR="005E5C5A">
        <w:rPr>
          <w:rFonts w:cs="Arial"/>
        </w:rPr>
        <w:t>n agreed</w:t>
      </w:r>
      <w:r w:rsidR="00AB01E1">
        <w:rPr>
          <w:rFonts w:cs="Arial"/>
        </w:rPr>
        <w:t xml:space="preserve"> longer period to respond </w:t>
      </w:r>
      <w:r w:rsidR="005E5C5A">
        <w:rPr>
          <w:rFonts w:cs="Arial"/>
        </w:rPr>
        <w:t>may</w:t>
      </w:r>
      <w:r w:rsidR="00AB01E1">
        <w:rPr>
          <w:rFonts w:cs="Arial"/>
        </w:rPr>
        <w:t xml:space="preserve"> be appropriate </w:t>
      </w:r>
      <w:r w:rsidR="005E5C5A">
        <w:rPr>
          <w:rFonts w:cs="Arial"/>
        </w:rPr>
        <w:t xml:space="preserve">particularly </w:t>
      </w:r>
      <w:r w:rsidR="00AB01E1">
        <w:rPr>
          <w:rFonts w:cs="Arial"/>
        </w:rPr>
        <w:t>where the employee is seeking additional advice)</w:t>
      </w:r>
    </w:p>
    <w:p w14:paraId="5116E005" w14:textId="08413623" w:rsidR="00277AE5" w:rsidRDefault="00277AE5" w:rsidP="00942BBF">
      <w:pPr>
        <w:pStyle w:val="ListParagraph"/>
        <w:numPr>
          <w:ilvl w:val="0"/>
          <w:numId w:val="31"/>
        </w:numPr>
        <w:tabs>
          <w:tab w:val="left" w:pos="1080"/>
        </w:tabs>
        <w:spacing w:before="120" w:after="120"/>
        <w:ind w:left="1077"/>
        <w:rPr>
          <w:rFonts w:cs="Arial"/>
        </w:rPr>
      </w:pPr>
      <w:r w:rsidRPr="00655A55">
        <w:rPr>
          <w:rFonts w:cs="Arial"/>
        </w:rPr>
        <w:t>written advic</w:t>
      </w:r>
      <w:r w:rsidRPr="00E1788A">
        <w:rPr>
          <w:rFonts w:cs="Arial"/>
        </w:rPr>
        <w:t>e that as part of their response, the employee may</w:t>
      </w:r>
      <w:r>
        <w:rPr>
          <w:rFonts w:cs="Arial"/>
        </w:rPr>
        <w:t xml:space="preserve"> </w:t>
      </w:r>
      <w:r w:rsidRPr="00283DDF">
        <w:rPr>
          <w:rFonts w:cs="Arial"/>
        </w:rPr>
        <w:t>submit any</w:t>
      </w:r>
      <w:r>
        <w:rPr>
          <w:rFonts w:cs="Arial"/>
        </w:rPr>
        <w:t xml:space="preserve"> additional</w:t>
      </w:r>
      <w:r w:rsidRPr="00283DDF">
        <w:rPr>
          <w:rFonts w:cs="Arial"/>
        </w:rPr>
        <w:t xml:space="preserve"> material they consider relevant</w:t>
      </w:r>
      <w:r w:rsidR="00177DE6">
        <w:rPr>
          <w:rFonts w:cs="Arial"/>
        </w:rPr>
        <w:t xml:space="preserve"> e.</w:t>
      </w:r>
      <w:r>
        <w:rPr>
          <w:rFonts w:cs="Arial"/>
        </w:rPr>
        <w:t>g.</w:t>
      </w:r>
      <w:r w:rsidRPr="00283DDF">
        <w:rPr>
          <w:rFonts w:cs="Arial"/>
        </w:rPr>
        <w:t xml:space="preserve"> a medical report from their</w:t>
      </w:r>
      <w:r w:rsidRPr="005A79A3">
        <w:rPr>
          <w:rFonts w:cs="Arial"/>
        </w:rPr>
        <w:t xml:space="preserve"> treating doc</w:t>
      </w:r>
      <w:r w:rsidRPr="00655A55">
        <w:rPr>
          <w:rFonts w:cs="Arial"/>
        </w:rPr>
        <w:t>tor or a QSuper report.</w:t>
      </w:r>
      <w:r>
        <w:rPr>
          <w:rFonts w:cs="Arial"/>
        </w:rPr>
        <w:t xml:space="preserve"> These reports will be most useful where </w:t>
      </w:r>
      <w:r>
        <w:rPr>
          <w:rFonts w:cs="Arial"/>
        </w:rPr>
        <w:lastRenderedPageBreak/>
        <w:t>it is clear the report provider understood the job requirements.</w:t>
      </w:r>
      <w:r w:rsidRPr="00655A55">
        <w:rPr>
          <w:rFonts w:cs="Arial"/>
        </w:rPr>
        <w:t xml:space="preserve"> Employees who seek such additional advice </w:t>
      </w:r>
      <w:r>
        <w:rPr>
          <w:rFonts w:cs="Arial"/>
        </w:rPr>
        <w:t>are to</w:t>
      </w:r>
      <w:r w:rsidRPr="00655A55">
        <w:rPr>
          <w:rFonts w:cs="Arial"/>
        </w:rPr>
        <w:t xml:space="preserve"> meet associated </w:t>
      </w:r>
      <w:r>
        <w:rPr>
          <w:rFonts w:cs="Arial"/>
        </w:rPr>
        <w:t>costs.</w:t>
      </w:r>
    </w:p>
    <w:p w14:paraId="759CEF50" w14:textId="2EFAD29F" w:rsidR="00277AE5" w:rsidRPr="007974C3" w:rsidRDefault="00277AE5" w:rsidP="001923E6">
      <w:pPr>
        <w:spacing w:before="240"/>
        <w:ind w:left="714"/>
      </w:pPr>
      <w:r w:rsidRPr="007974C3">
        <w:t xml:space="preserve">The agency must ensure the privacy of information contained in the IME report and related documents. Only officers with legitimate reasons to consider the report should access it (i.e. officers who are or will be involved in </w:t>
      </w:r>
      <w:r w:rsidR="00D85922">
        <w:t xml:space="preserve">or advising on </w:t>
      </w:r>
      <w:r w:rsidRPr="007974C3">
        <w:t>the decision</w:t>
      </w:r>
      <w:r w:rsidR="001923E6">
        <w:t>-</w:t>
      </w:r>
      <w:r w:rsidRPr="007974C3">
        <w:t>making process).</w:t>
      </w:r>
    </w:p>
    <w:p w14:paraId="117A7963" w14:textId="693D8CB1" w:rsidR="00922FF8" w:rsidRDefault="00277AE5" w:rsidP="001923E6">
      <w:pPr>
        <w:spacing w:before="240"/>
        <w:ind w:left="714"/>
      </w:pPr>
      <w:r w:rsidRPr="00DC65D0">
        <w:t xml:space="preserve">In deciding the action to be taken, the agency should also consider </w:t>
      </w:r>
      <w:r w:rsidR="00C84AF6" w:rsidRPr="00DC65D0">
        <w:t>statutory protections for injured employees.</w:t>
      </w:r>
      <w:r w:rsidRPr="00DC65D0">
        <w:t xml:space="preserve"> </w:t>
      </w:r>
      <w:r w:rsidR="005C74C6" w:rsidRPr="00DC65D0">
        <w:t xml:space="preserve">Section 297 of the </w:t>
      </w:r>
      <w:r w:rsidR="005C74C6" w:rsidRPr="00DC65D0">
        <w:rPr>
          <w:i/>
        </w:rPr>
        <w:t xml:space="preserve">Industrial Relations Act 2016 </w:t>
      </w:r>
      <w:r w:rsidR="005C74C6" w:rsidRPr="00DC65D0">
        <w:t>provides that an employer must not dismiss an employee because the employee is temporarily absent from work because of a prescribed illness or injury.</w:t>
      </w:r>
      <w:r w:rsidRPr="00DC65D0">
        <w:t xml:space="preserve"> </w:t>
      </w:r>
      <w:r w:rsidR="005C74C6" w:rsidRPr="001923E6">
        <w:t>Section 8 of the</w:t>
      </w:r>
      <w:r w:rsidR="005C74C6" w:rsidRPr="00DC65D0">
        <w:rPr>
          <w:i/>
        </w:rPr>
        <w:t xml:space="preserve"> Industrial Relations Regulation 2018 </w:t>
      </w:r>
      <w:r w:rsidR="00922FF8" w:rsidRPr="00DC65D0">
        <w:t xml:space="preserve">(the Regulation) </w:t>
      </w:r>
      <w:r w:rsidR="00113BBB" w:rsidRPr="00DC65D0">
        <w:t>defines a prescribed illness or prescribed injury.</w:t>
      </w:r>
      <w:r w:rsidR="00113BBB">
        <w:t xml:space="preserve"> </w:t>
      </w:r>
      <w:r w:rsidR="00922FF8">
        <w:t xml:space="preserve">An employee may be </w:t>
      </w:r>
      <w:r w:rsidR="0033098C">
        <w:t>directed</w:t>
      </w:r>
      <w:r w:rsidR="00922FF8">
        <w:t xml:space="preserve"> </w:t>
      </w:r>
      <w:r w:rsidR="0033098C">
        <w:t>to</w:t>
      </w:r>
      <w:r w:rsidR="00922FF8">
        <w:t xml:space="preserve"> an independent medical examination where this protection applies but </w:t>
      </w:r>
      <w:r w:rsidR="000F0777">
        <w:t xml:space="preserve">the agency </w:t>
      </w:r>
      <w:r w:rsidR="00922FF8">
        <w:t xml:space="preserve">cannot consider retirement of the employee, if that is the recommendation of the doctor, until the </w:t>
      </w:r>
      <w:r w:rsidR="000F0777">
        <w:t>conditions</w:t>
      </w:r>
      <w:r w:rsidR="00922FF8">
        <w:t xml:space="preserve"> in section 8(4) of the Regulation </w:t>
      </w:r>
      <w:r w:rsidR="000F0777">
        <w:t>are met.</w:t>
      </w:r>
    </w:p>
    <w:p w14:paraId="2095C58D" w14:textId="1D3089CF" w:rsidR="00277AE5" w:rsidRDefault="00277AE5" w:rsidP="001923E6">
      <w:pPr>
        <w:spacing w:before="240"/>
        <w:ind w:left="714"/>
      </w:pPr>
      <w:r>
        <w:t>S</w:t>
      </w:r>
      <w:r w:rsidRPr="00057ABB">
        <w:t xml:space="preserve">ection 232B of the </w:t>
      </w:r>
      <w:r w:rsidRPr="00403F80">
        <w:rPr>
          <w:i/>
        </w:rPr>
        <w:t>Workers’ Compensation and Rehabilitation Act 2003</w:t>
      </w:r>
      <w:r w:rsidRPr="00057ABB">
        <w:t xml:space="preserve"> prohibits the dismissal of an employee within 12 months of the date of a work-related injury if the dismissal is solely or mainly because the employee is not fit for employment in a</w:t>
      </w:r>
      <w:r>
        <w:t xml:space="preserve"> position because of the injury.</w:t>
      </w:r>
    </w:p>
    <w:p w14:paraId="2CC884DF" w14:textId="6C437ED2" w:rsidR="00277AE5" w:rsidRPr="00177DE6" w:rsidRDefault="00277AE5" w:rsidP="001923E6">
      <w:pPr>
        <w:spacing w:before="240"/>
        <w:ind w:left="714"/>
        <w:rPr>
          <w:b/>
        </w:rPr>
      </w:pPr>
      <w:r w:rsidRPr="00177DE6">
        <w:t xml:space="preserve">While it is appropriate to discuss with an employee their mental or physical illness or disability, the impact it is having on their performance or current absence and the options available to them, </w:t>
      </w:r>
      <w:r w:rsidR="00403F80">
        <w:t>they cannot be asked</w:t>
      </w:r>
      <w:r w:rsidRPr="00177DE6">
        <w:t xml:space="preserve"> to resign or retire. </w:t>
      </w:r>
    </w:p>
    <w:p w14:paraId="2CA4AEF6" w14:textId="38DE3431" w:rsidR="00511ED7" w:rsidRDefault="00277AE5" w:rsidP="001923E6">
      <w:pPr>
        <w:spacing w:before="240"/>
        <w:ind w:left="714"/>
      </w:pPr>
      <w:r w:rsidRPr="00177DE6">
        <w:t>An employee who is considering resigning or retiring because of a mental or physical illness or disability should be provided with information about their entitlements</w:t>
      </w:r>
      <w:r w:rsidR="005E1D51">
        <w:t xml:space="preserve"> and advised to seek advice prior to any action.  Under the Voluntary Medical Retirement</w:t>
      </w:r>
      <w:r w:rsidR="001923E6">
        <w:t xml:space="preserve"> (VMR) Scheme (D</w:t>
      </w:r>
      <w:r w:rsidR="005E1D51">
        <w:t xml:space="preserve">irective </w:t>
      </w:r>
      <w:r w:rsidR="006533E7">
        <w:t>22/16</w:t>
      </w:r>
      <w:r w:rsidR="00304EB3">
        <w:t xml:space="preserve"> – applies to participating agencies only</w:t>
      </w:r>
      <w:r w:rsidR="006533E7">
        <w:t>), a</w:t>
      </w:r>
      <w:r w:rsidR="005E1D51">
        <w:t xml:space="preserve">n employee cannot apply for a voluntary retirement package after the employee has been required to submit to an independent medical examination, unless invited to do so by the chief executive or the chief executive has </w:t>
      </w:r>
      <w:r w:rsidR="00B27DE8">
        <w:t>decided</w:t>
      </w:r>
      <w:r w:rsidR="005E1D51">
        <w:t xml:space="preserve"> under section 178 of the PS Act to continue an employee’s employment with or without reasonabl</w:t>
      </w:r>
      <w:r w:rsidR="00A80675">
        <w:t>e</w:t>
      </w:r>
      <w:r w:rsidR="005E1D51">
        <w:t xml:space="preserve"> adjustment.</w:t>
      </w:r>
    </w:p>
    <w:p w14:paraId="58166472" w14:textId="64554C9A" w:rsidR="00277AE5" w:rsidRPr="00A53A2C" w:rsidRDefault="003D22FA" w:rsidP="001923E6">
      <w:pPr>
        <w:pStyle w:val="BodyText"/>
        <w:spacing w:line="240" w:lineRule="auto"/>
        <w:ind w:left="709" w:hanging="709"/>
      </w:pPr>
      <w:r>
        <w:t>10</w:t>
      </w:r>
      <w:r w:rsidR="00951BF8">
        <w:t xml:space="preserve">.5 </w:t>
      </w:r>
      <w:r w:rsidR="00951BF8">
        <w:tab/>
      </w:r>
      <w:proofErr w:type="gramStart"/>
      <w:r w:rsidR="00951BF8" w:rsidRPr="00FA7A4E">
        <w:rPr>
          <w:b/>
        </w:rPr>
        <w:t>Make a decision</w:t>
      </w:r>
      <w:proofErr w:type="gramEnd"/>
      <w:r w:rsidR="00951BF8" w:rsidRPr="00FA7A4E">
        <w:rPr>
          <w:b/>
        </w:rPr>
        <w:t xml:space="preserve"> and advise the employee in writing</w:t>
      </w:r>
      <w:r w:rsidR="00951BF8">
        <w:t xml:space="preserve"> – once the employee’s response is </w:t>
      </w:r>
      <w:r w:rsidR="00951BF8" w:rsidRPr="000A2160">
        <w:rPr>
          <w:rFonts w:cs="Arial"/>
        </w:rPr>
        <w:t>received</w:t>
      </w:r>
      <w:r w:rsidR="0060546C">
        <w:rPr>
          <w:rFonts w:cs="Arial"/>
        </w:rPr>
        <w:t>,</w:t>
      </w:r>
      <w:r w:rsidR="00951BF8" w:rsidRPr="000A2160">
        <w:rPr>
          <w:rFonts w:cs="Arial"/>
        </w:rPr>
        <w:t xml:space="preserve"> (or the nominated period has passed without an agreed extension and the employee has not provided a response) the agency should consider all relevant material, including the </w:t>
      </w:r>
      <w:r w:rsidR="00951BF8">
        <w:rPr>
          <w:rFonts w:cs="Arial"/>
        </w:rPr>
        <w:t>IME</w:t>
      </w:r>
      <w:r w:rsidR="00951BF8" w:rsidRPr="000A2160">
        <w:rPr>
          <w:rFonts w:cs="Arial"/>
        </w:rPr>
        <w:t xml:space="preserve"> report and any informat</w:t>
      </w:r>
      <w:r w:rsidR="00951BF8">
        <w:rPr>
          <w:rFonts w:cs="Arial"/>
        </w:rPr>
        <w:t>ion submitted by the employee</w:t>
      </w:r>
      <w:r w:rsidR="00951BF8" w:rsidRPr="00CD68CF">
        <w:rPr>
          <w:rFonts w:cs="Arial"/>
        </w:rPr>
        <w:t xml:space="preserve"> </w:t>
      </w:r>
      <w:r w:rsidR="00951BF8" w:rsidRPr="000A2160">
        <w:rPr>
          <w:rFonts w:cs="Arial"/>
        </w:rPr>
        <w:t xml:space="preserve">as soon as </w:t>
      </w:r>
      <w:r w:rsidR="00951BF8">
        <w:rPr>
          <w:rFonts w:cs="Arial"/>
        </w:rPr>
        <w:t>possible.</w:t>
      </w:r>
      <w:r w:rsidR="007012C2">
        <w:rPr>
          <w:rFonts w:cs="Arial"/>
        </w:rPr>
        <w:t xml:space="preserve">  </w:t>
      </w:r>
    </w:p>
    <w:p w14:paraId="6E185456" w14:textId="7B3A03FD" w:rsidR="00277AE5" w:rsidRPr="000A2160" w:rsidRDefault="00E66768" w:rsidP="003E4D77">
      <w:pPr>
        <w:tabs>
          <w:tab w:val="left" w:pos="1080"/>
        </w:tabs>
        <w:spacing w:before="240"/>
        <w:ind w:left="709"/>
        <w:rPr>
          <w:rFonts w:cs="Arial"/>
        </w:rPr>
      </w:pPr>
      <w:r>
        <w:rPr>
          <w:rFonts w:cs="Arial"/>
        </w:rPr>
        <w:t xml:space="preserve">Before </w:t>
      </w:r>
      <w:proofErr w:type="gramStart"/>
      <w:r>
        <w:rPr>
          <w:rFonts w:cs="Arial"/>
        </w:rPr>
        <w:t>taking action</w:t>
      </w:r>
      <w:proofErr w:type="gramEnd"/>
      <w:r>
        <w:rPr>
          <w:rFonts w:cs="Arial"/>
        </w:rPr>
        <w:t xml:space="preserve"> under section 178, t</w:t>
      </w:r>
      <w:r w:rsidR="00277AE5" w:rsidRPr="000A2160">
        <w:rPr>
          <w:rFonts w:cs="Arial"/>
        </w:rPr>
        <w:t xml:space="preserve">he </w:t>
      </w:r>
      <w:r w:rsidR="00277AE5">
        <w:rPr>
          <w:rFonts w:cs="Arial"/>
        </w:rPr>
        <w:t>chief executive</w:t>
      </w:r>
      <w:r>
        <w:rPr>
          <w:rFonts w:cs="Arial"/>
        </w:rPr>
        <w:t>, after considering the IME report</w:t>
      </w:r>
      <w:r w:rsidR="00443BFD">
        <w:rPr>
          <w:rFonts w:cs="Arial"/>
        </w:rPr>
        <w:t>,</w:t>
      </w:r>
      <w:r w:rsidR="00277AE5">
        <w:rPr>
          <w:rFonts w:cs="Arial"/>
        </w:rPr>
        <w:t xml:space="preserve"> must decide if they are</w:t>
      </w:r>
      <w:r w:rsidR="00D85922">
        <w:rPr>
          <w:rFonts w:cs="Arial"/>
        </w:rPr>
        <w:t xml:space="preserve"> reasonably</w:t>
      </w:r>
      <w:r w:rsidR="00277AE5" w:rsidRPr="000A2160">
        <w:rPr>
          <w:rFonts w:cs="Arial"/>
        </w:rPr>
        <w:t xml:space="preserve"> satisfied that the employee’s </w:t>
      </w:r>
      <w:r w:rsidR="00277AE5">
        <w:rPr>
          <w:rFonts w:cs="Arial"/>
        </w:rPr>
        <w:t xml:space="preserve">current </w:t>
      </w:r>
      <w:r w:rsidR="00277AE5" w:rsidRPr="000A2160">
        <w:rPr>
          <w:rFonts w:cs="Arial"/>
        </w:rPr>
        <w:t xml:space="preserve">absence or </w:t>
      </w:r>
      <w:r w:rsidR="00550A22">
        <w:rPr>
          <w:rFonts w:cs="Arial"/>
        </w:rPr>
        <w:t>unsatisfactory</w:t>
      </w:r>
      <w:r w:rsidR="00277AE5" w:rsidRPr="000A2160">
        <w:rPr>
          <w:rFonts w:cs="Arial"/>
        </w:rPr>
        <w:t xml:space="preserve"> performance is caused by </w:t>
      </w:r>
      <w:r w:rsidR="00277AE5">
        <w:rPr>
          <w:rFonts w:cs="Arial"/>
        </w:rPr>
        <w:t xml:space="preserve">a </w:t>
      </w:r>
      <w:r w:rsidR="00277AE5" w:rsidRPr="000A2160">
        <w:rPr>
          <w:rFonts w:cs="Arial"/>
        </w:rPr>
        <w:t>mental or p</w:t>
      </w:r>
      <w:r w:rsidR="00277AE5">
        <w:rPr>
          <w:rFonts w:cs="Arial"/>
        </w:rPr>
        <w:t>hysical illness or disability and</w:t>
      </w:r>
      <w:r w:rsidR="00805524">
        <w:rPr>
          <w:rFonts w:cs="Arial"/>
        </w:rPr>
        <w:t>, if so,</w:t>
      </w:r>
      <w:r w:rsidR="00277AE5">
        <w:rPr>
          <w:rFonts w:cs="Arial"/>
        </w:rPr>
        <w:t xml:space="preserve"> the </w:t>
      </w:r>
      <w:r w:rsidR="00277AE5" w:rsidRPr="000A2160">
        <w:rPr>
          <w:rFonts w:cs="Arial"/>
        </w:rPr>
        <w:t xml:space="preserve">action </w:t>
      </w:r>
      <w:r w:rsidR="00277AE5">
        <w:rPr>
          <w:rFonts w:cs="Arial"/>
        </w:rPr>
        <w:t>that will be</w:t>
      </w:r>
      <w:r w:rsidR="00277AE5" w:rsidRPr="000A2160">
        <w:rPr>
          <w:rFonts w:cs="Arial"/>
        </w:rPr>
        <w:t xml:space="preserve"> taken</w:t>
      </w:r>
      <w:r w:rsidR="00277AE5">
        <w:rPr>
          <w:rFonts w:cs="Arial"/>
        </w:rPr>
        <w:t xml:space="preserve">. Reasons for the decision must be </w:t>
      </w:r>
      <w:r w:rsidR="00277AE5" w:rsidRPr="000A2160">
        <w:rPr>
          <w:rFonts w:cs="Arial"/>
        </w:rPr>
        <w:t>clearly document</w:t>
      </w:r>
      <w:r w:rsidR="00277AE5">
        <w:rPr>
          <w:rFonts w:cs="Arial"/>
        </w:rPr>
        <w:t>ed.</w:t>
      </w:r>
      <w:r w:rsidR="00277AE5" w:rsidRPr="000A2160">
        <w:rPr>
          <w:rFonts w:cs="Arial"/>
        </w:rPr>
        <w:t xml:space="preserve"> The decision </w:t>
      </w:r>
      <w:r w:rsidR="00277AE5">
        <w:rPr>
          <w:rFonts w:cs="Arial"/>
        </w:rPr>
        <w:t xml:space="preserve">and </w:t>
      </w:r>
      <w:r w:rsidR="00277AE5" w:rsidRPr="000A2160">
        <w:rPr>
          <w:rFonts w:cs="Arial"/>
        </w:rPr>
        <w:t>the reasons for th</w:t>
      </w:r>
      <w:r w:rsidR="00277AE5">
        <w:rPr>
          <w:rFonts w:cs="Arial"/>
        </w:rPr>
        <w:t>e</w:t>
      </w:r>
      <w:r w:rsidR="00277AE5" w:rsidRPr="000A2160">
        <w:rPr>
          <w:rFonts w:cs="Arial"/>
        </w:rPr>
        <w:t xml:space="preserve"> decision </w:t>
      </w:r>
      <w:r w:rsidR="00277AE5">
        <w:rPr>
          <w:rFonts w:cs="Arial"/>
        </w:rPr>
        <w:t>must</w:t>
      </w:r>
      <w:r w:rsidR="00277AE5" w:rsidRPr="000A2160">
        <w:rPr>
          <w:rFonts w:cs="Arial"/>
        </w:rPr>
        <w:t xml:space="preserve"> be communicat</w:t>
      </w:r>
      <w:r w:rsidR="00277AE5">
        <w:rPr>
          <w:rFonts w:cs="Arial"/>
        </w:rPr>
        <w:t>ed in writing to the employee, and the employee advised of their rights of review.</w:t>
      </w:r>
    </w:p>
    <w:p w14:paraId="366848CD" w14:textId="101CB947" w:rsidR="00277AE5" w:rsidRDefault="00097C69" w:rsidP="00A53A2C">
      <w:pPr>
        <w:tabs>
          <w:tab w:val="left" w:pos="1080"/>
        </w:tabs>
        <w:spacing w:before="240"/>
        <w:ind w:left="709"/>
        <w:rPr>
          <w:rFonts w:cs="Arial"/>
        </w:rPr>
      </w:pPr>
      <w:r>
        <w:rPr>
          <w:rFonts w:cs="Arial"/>
        </w:rPr>
        <w:t xml:space="preserve">Where the action to be taken is retirement, </w:t>
      </w:r>
      <w:r w:rsidR="006913A8">
        <w:rPr>
          <w:rFonts w:cs="Arial"/>
        </w:rPr>
        <w:t xml:space="preserve">it is good practice for </w:t>
      </w:r>
      <w:r>
        <w:rPr>
          <w:rFonts w:cs="Arial"/>
        </w:rPr>
        <w:t>t</w:t>
      </w:r>
      <w:r w:rsidR="00277AE5" w:rsidRPr="000A2160">
        <w:rPr>
          <w:rFonts w:cs="Arial"/>
        </w:rPr>
        <w:t xml:space="preserve">he agency </w:t>
      </w:r>
      <w:r w:rsidR="006913A8">
        <w:rPr>
          <w:rFonts w:cs="Arial"/>
        </w:rPr>
        <w:t>to</w:t>
      </w:r>
      <w:r w:rsidR="00277AE5" w:rsidRPr="000A2160">
        <w:rPr>
          <w:rFonts w:cs="Arial"/>
        </w:rPr>
        <w:t xml:space="preserve"> advise</w:t>
      </w:r>
      <w:r w:rsidR="00601BD6">
        <w:rPr>
          <w:rFonts w:cs="Arial"/>
        </w:rPr>
        <w:t xml:space="preserve"> the employee to contact their superannuation fund </w:t>
      </w:r>
      <w:r w:rsidR="00277AE5" w:rsidRPr="000A2160">
        <w:rPr>
          <w:rFonts w:cs="Arial"/>
        </w:rPr>
        <w:t>for information about potential superannuation entitlements</w:t>
      </w:r>
      <w:r w:rsidR="00277AE5">
        <w:rPr>
          <w:rFonts w:cs="Arial"/>
        </w:rPr>
        <w:t xml:space="preserve">. </w:t>
      </w:r>
      <w:r w:rsidR="00277AE5" w:rsidRPr="000A2160">
        <w:rPr>
          <w:rFonts w:cs="Arial"/>
        </w:rPr>
        <w:t xml:space="preserve">The agency </w:t>
      </w:r>
      <w:r w:rsidR="00200908">
        <w:rPr>
          <w:rFonts w:cs="Arial"/>
        </w:rPr>
        <w:t>will also</w:t>
      </w:r>
      <w:r w:rsidR="00277AE5" w:rsidRPr="000A2160">
        <w:rPr>
          <w:rFonts w:cs="Arial"/>
        </w:rPr>
        <w:t xml:space="preserve"> need to</w:t>
      </w:r>
      <w:r w:rsidR="00200908">
        <w:rPr>
          <w:rFonts w:cs="Arial"/>
        </w:rPr>
        <w:t xml:space="preserve"> identify any obligations it has to notify</w:t>
      </w:r>
      <w:r w:rsidR="00807EFB">
        <w:rPr>
          <w:rFonts w:cs="Arial"/>
        </w:rPr>
        <w:t xml:space="preserve"> a</w:t>
      </w:r>
      <w:r w:rsidR="00277AE5" w:rsidRPr="000A2160">
        <w:rPr>
          <w:rFonts w:cs="Arial"/>
        </w:rPr>
        <w:t xml:space="preserve"> registration board or council (e.g. nurses, allied </w:t>
      </w:r>
      <w:r w:rsidR="00277AE5" w:rsidRPr="000A2160">
        <w:rPr>
          <w:rFonts w:cs="Arial"/>
        </w:rPr>
        <w:lastRenderedPageBreak/>
        <w:t>health professionals, teachers etc.) of a</w:t>
      </w:r>
      <w:r w:rsidR="00277AE5">
        <w:rPr>
          <w:rFonts w:cs="Arial"/>
        </w:rPr>
        <w:t>n</w:t>
      </w:r>
      <w:r w:rsidR="00277AE5" w:rsidRPr="000A2160">
        <w:rPr>
          <w:rFonts w:cs="Arial"/>
        </w:rPr>
        <w:t xml:space="preserve"> employee’s retirement on the grounds of ill-health</w:t>
      </w:r>
      <w:r w:rsidR="00807EFB">
        <w:rPr>
          <w:rFonts w:cs="Arial"/>
        </w:rPr>
        <w:t>, subject to employee p</w:t>
      </w:r>
      <w:r w:rsidR="00277AE5" w:rsidRPr="000A2160">
        <w:rPr>
          <w:rFonts w:cs="Arial"/>
        </w:rPr>
        <w:t xml:space="preserve">rivacy </w:t>
      </w:r>
      <w:r w:rsidR="00277AE5">
        <w:rPr>
          <w:rFonts w:cs="Arial"/>
        </w:rPr>
        <w:t>protections</w:t>
      </w:r>
      <w:r w:rsidR="00807EFB">
        <w:rPr>
          <w:rFonts w:cs="Arial"/>
        </w:rPr>
        <w:t xml:space="preserve">. </w:t>
      </w:r>
    </w:p>
    <w:p w14:paraId="59BDA721" w14:textId="38FC88D3" w:rsidR="00277AE5" w:rsidRDefault="00277AE5" w:rsidP="00A53A2C">
      <w:pPr>
        <w:tabs>
          <w:tab w:val="left" w:pos="1080"/>
        </w:tabs>
        <w:spacing w:before="240" w:after="240"/>
        <w:ind w:left="709"/>
        <w:rPr>
          <w:rFonts w:cs="Arial"/>
        </w:rPr>
      </w:pPr>
      <w:r>
        <w:rPr>
          <w:rFonts w:cs="Arial"/>
        </w:rPr>
        <w:t xml:space="preserve">Where an illness or disability is </w:t>
      </w:r>
      <w:r w:rsidR="00B27DE8">
        <w:rPr>
          <w:rFonts w:cs="Arial"/>
        </w:rPr>
        <w:t>ongoing,</w:t>
      </w:r>
      <w:r w:rsidR="006913A8">
        <w:rPr>
          <w:rFonts w:cs="Arial"/>
        </w:rPr>
        <w:t xml:space="preserve"> and the employee remains within the agency after consideration of the IME report</w:t>
      </w:r>
      <w:r>
        <w:rPr>
          <w:rFonts w:cs="Arial"/>
        </w:rPr>
        <w:t xml:space="preserve">, </w:t>
      </w:r>
      <w:r w:rsidR="006913A8">
        <w:rPr>
          <w:rFonts w:cs="Arial"/>
        </w:rPr>
        <w:t xml:space="preserve">the </w:t>
      </w:r>
      <w:r>
        <w:rPr>
          <w:rFonts w:cs="Arial"/>
        </w:rPr>
        <w:t>action taken should be monitored, reviewed and adjusted as required by any changes in the employee’s condition.</w:t>
      </w:r>
    </w:p>
    <w:p w14:paraId="5BC181D7" w14:textId="23D83B7D" w:rsidR="00277AE5" w:rsidRPr="0072124D" w:rsidRDefault="00277AE5" w:rsidP="00942BBF">
      <w:pPr>
        <w:pStyle w:val="Heading1"/>
        <w:numPr>
          <w:ilvl w:val="0"/>
          <w:numId w:val="32"/>
        </w:numPr>
      </w:pPr>
      <w:bookmarkStart w:id="12" w:name="_Toc1731097"/>
      <w:r w:rsidRPr="0072124D">
        <w:t xml:space="preserve">Complaints, </w:t>
      </w:r>
      <w:r w:rsidR="003E4D77">
        <w:t>a</w:t>
      </w:r>
      <w:r w:rsidRPr="0072124D">
        <w:t>ppeals and</w:t>
      </w:r>
      <w:r w:rsidR="003E4D77">
        <w:t xml:space="preserve"> r</w:t>
      </w:r>
      <w:r w:rsidRPr="0072124D">
        <w:t>ights</w:t>
      </w:r>
      <w:r w:rsidR="003E4D77">
        <w:t xml:space="preserve"> of r</w:t>
      </w:r>
      <w:r w:rsidRPr="0072124D">
        <w:t>eview</w:t>
      </w:r>
      <w:bookmarkEnd w:id="12"/>
    </w:p>
    <w:p w14:paraId="54102B41" w14:textId="05C4C69A" w:rsidR="00277AE5" w:rsidRDefault="003D22FA" w:rsidP="00FA7A4E">
      <w:pPr>
        <w:ind w:left="720" w:hanging="720"/>
      </w:pPr>
      <w:r>
        <w:t>11</w:t>
      </w:r>
      <w:r w:rsidR="00277AE5" w:rsidRPr="00FA7A4E">
        <w:t>.1</w:t>
      </w:r>
      <w:r w:rsidR="00277AE5" w:rsidRPr="00FA7A4E">
        <w:tab/>
      </w:r>
      <w:r w:rsidR="00277AE5" w:rsidRPr="00FA7A4E">
        <w:rPr>
          <w:b/>
        </w:rPr>
        <w:t xml:space="preserve">Employee right to appeal a decision to </w:t>
      </w:r>
      <w:r w:rsidR="00601BD6">
        <w:rPr>
          <w:b/>
        </w:rPr>
        <w:t>direct</w:t>
      </w:r>
      <w:r w:rsidR="00277AE5" w:rsidRPr="00FA7A4E">
        <w:rPr>
          <w:b/>
        </w:rPr>
        <w:t xml:space="preserve"> them to an IME</w:t>
      </w:r>
      <w:r w:rsidR="00277AE5" w:rsidRPr="00FA7A4E">
        <w:t xml:space="preserve"> </w:t>
      </w:r>
      <w:r w:rsidR="00FA7A4E">
        <w:t>–</w:t>
      </w:r>
      <w:r w:rsidR="006D45D2">
        <w:t xml:space="preserve"> </w:t>
      </w:r>
      <w:r w:rsidR="00FA7A4E">
        <w:t>a</w:t>
      </w:r>
      <w:r w:rsidR="00277AE5">
        <w:t xml:space="preserve">n employee may, within 21 days of receiving a </w:t>
      </w:r>
      <w:r w:rsidR="00601BD6">
        <w:t>direction</w:t>
      </w:r>
      <w:r w:rsidR="00277AE5">
        <w:t xml:space="preserve"> to attend an IME, appeal the decision to </w:t>
      </w:r>
      <w:r w:rsidR="00601BD6">
        <w:t>direct</w:t>
      </w:r>
      <w:r w:rsidR="00277AE5">
        <w:t xml:space="preserve"> them to an IME on the basis that the conditions in section 174 </w:t>
      </w:r>
      <w:r w:rsidR="001923E6">
        <w:t xml:space="preserve">of the </w:t>
      </w:r>
      <w:r w:rsidR="00277AE5">
        <w:t xml:space="preserve">PS Act were not met. </w:t>
      </w:r>
      <w:r w:rsidR="00277AE5">
        <w:rPr>
          <w:szCs w:val="22"/>
        </w:rPr>
        <w:t xml:space="preserve">The </w:t>
      </w:r>
      <w:r w:rsidR="00277AE5">
        <w:t>Queensland Industrial Relations Commission (QIRC)</w:t>
      </w:r>
      <w:r w:rsidR="00277AE5">
        <w:rPr>
          <w:szCs w:val="22"/>
        </w:rPr>
        <w:t xml:space="preserve"> may stop the IME process while the appeal is considered. </w:t>
      </w:r>
      <w:r w:rsidR="00277AE5">
        <w:t xml:space="preserve">Information about how to appeal is in the </w:t>
      </w:r>
      <w:hyperlink r:id="rId19" w:history="1">
        <w:r w:rsidR="00277AE5" w:rsidRPr="006F63D6">
          <w:rPr>
            <w:rStyle w:val="Hyperlink"/>
          </w:rPr>
          <w:t>Appeals Guide</w:t>
        </w:r>
      </w:hyperlink>
      <w:r w:rsidR="00277AE5">
        <w:t xml:space="preserve"> available from the QIRC. This is an appeal under s194(1)(a) </w:t>
      </w:r>
      <w:r w:rsidR="001923E6">
        <w:t xml:space="preserve">of the </w:t>
      </w:r>
      <w:r w:rsidR="00277AE5">
        <w:t>PS Act.</w:t>
      </w:r>
    </w:p>
    <w:p w14:paraId="52F14904" w14:textId="02C87BDF" w:rsidR="00277AE5" w:rsidRDefault="003D22FA" w:rsidP="00FA7A4E">
      <w:pPr>
        <w:spacing w:before="120"/>
        <w:ind w:left="720" w:hanging="720"/>
      </w:pPr>
      <w:r>
        <w:t>11</w:t>
      </w:r>
      <w:r w:rsidR="00277AE5" w:rsidRPr="00FA7A4E">
        <w:t>.2</w:t>
      </w:r>
      <w:r w:rsidR="00277AE5">
        <w:tab/>
      </w:r>
      <w:r w:rsidR="00277AE5" w:rsidRPr="00FA7A4E">
        <w:rPr>
          <w:b/>
        </w:rPr>
        <w:t>Rights of review available in relation to the outcome of an IME report</w:t>
      </w:r>
      <w:r w:rsidR="00277AE5">
        <w:t xml:space="preserve"> </w:t>
      </w:r>
      <w:r w:rsidR="00FA7A4E">
        <w:t>– a</w:t>
      </w:r>
      <w:r w:rsidR="00277AE5">
        <w:t>n employee who is or is to be transferred as the outcome of an IME may appeal the transfer decision under s194(1)(d)</w:t>
      </w:r>
      <w:r w:rsidR="001923E6">
        <w:t xml:space="preserve"> of the PS Act</w:t>
      </w:r>
      <w:r w:rsidR="00277AE5">
        <w:t xml:space="preserve">. An employee who is retired as the outcome of an IME may bring an action for unfair dismissal in the QIRC, under the </w:t>
      </w:r>
      <w:r w:rsidR="00277AE5" w:rsidRPr="00057ABB">
        <w:rPr>
          <w:i/>
        </w:rPr>
        <w:t>Industrial Relations Act 2016</w:t>
      </w:r>
      <w:r w:rsidR="00277AE5">
        <w:t>.</w:t>
      </w:r>
    </w:p>
    <w:p w14:paraId="2B5239A8" w14:textId="69DDDC38" w:rsidR="00277AE5" w:rsidRPr="00FA7A4E" w:rsidRDefault="003D22FA" w:rsidP="004253CE">
      <w:pPr>
        <w:spacing w:before="120"/>
        <w:ind w:left="720" w:hanging="720"/>
        <w:rPr>
          <w:i/>
        </w:rPr>
      </w:pPr>
      <w:r>
        <w:t>11</w:t>
      </w:r>
      <w:r w:rsidR="00277AE5" w:rsidRPr="00FA7A4E">
        <w:t>.3</w:t>
      </w:r>
      <w:r w:rsidR="00277AE5" w:rsidRPr="00F23315">
        <w:rPr>
          <w:i/>
        </w:rPr>
        <w:tab/>
      </w:r>
      <w:r w:rsidR="00277AE5" w:rsidRPr="00FA7A4E">
        <w:rPr>
          <w:b/>
        </w:rPr>
        <w:t>Complaints</w:t>
      </w:r>
      <w:r w:rsidR="00FA7A4E">
        <w:rPr>
          <w:i/>
        </w:rPr>
        <w:t xml:space="preserve"> – e</w:t>
      </w:r>
      <w:r w:rsidR="00277AE5" w:rsidRPr="00F23315">
        <w:t>arly resolution of any complaint is in the interests of all parties, so agencies should seek to address the complaint as soon as practica</w:t>
      </w:r>
      <w:r w:rsidR="003E5FD7">
        <w:t>b</w:t>
      </w:r>
      <w:r w:rsidR="00277AE5" w:rsidRPr="00F23315">
        <w:t>l</w:t>
      </w:r>
      <w:r w:rsidR="003E5FD7">
        <w:t>e</w:t>
      </w:r>
      <w:r w:rsidR="00277AE5" w:rsidRPr="00F23315">
        <w:t xml:space="preserve"> and in accordance with their complaints process.  </w:t>
      </w:r>
      <w:r w:rsidR="001923E6">
        <w:t>The Managing Employee Complaints (</w:t>
      </w:r>
      <w:r w:rsidR="00BA5270">
        <w:t>Directive 02/17</w:t>
      </w:r>
      <w:r w:rsidR="001923E6">
        <w:t>)</w:t>
      </w:r>
      <w:r w:rsidR="00BA5270">
        <w:t xml:space="preserve"> also provides instruction as to the employee complaints process.</w:t>
      </w:r>
    </w:p>
    <w:p w14:paraId="58055408" w14:textId="6E95C465" w:rsidR="00255C0D" w:rsidRDefault="00277AE5" w:rsidP="004253CE">
      <w:pPr>
        <w:spacing w:before="120"/>
        <w:ind w:left="720"/>
      </w:pPr>
      <w:r w:rsidRPr="00F23315">
        <w:t xml:space="preserve">Employees may also lodge complaints with external bodies, such as the Anti-Discrimination Commission of Queensland, in relation to proposed action under section 178 PS Act. If a complaint is lodged, managers should notify their human resources and/or legal services area to discuss appropriate actions, including the continued provision of support to all parties. </w:t>
      </w:r>
    </w:p>
    <w:p w14:paraId="4C8D94E4" w14:textId="2A7E124D" w:rsidR="00277AE5" w:rsidRDefault="00255C0D" w:rsidP="00942BBF">
      <w:pPr>
        <w:pStyle w:val="Heading1"/>
        <w:numPr>
          <w:ilvl w:val="0"/>
          <w:numId w:val="32"/>
        </w:numPr>
      </w:pPr>
      <w:bookmarkStart w:id="13" w:name="_Ref533081110"/>
      <w:bookmarkStart w:id="14" w:name="_Ref533081111"/>
      <w:bookmarkStart w:id="15" w:name="_Toc1731098"/>
      <w:r>
        <w:lastRenderedPageBreak/>
        <w:t>Glossary</w:t>
      </w:r>
      <w:bookmarkEnd w:id="13"/>
      <w:bookmarkEnd w:id="14"/>
      <w:bookmarkEnd w:id="15"/>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95"/>
        <w:gridCol w:w="5492"/>
      </w:tblGrid>
      <w:tr w:rsidR="002733B0" w14:paraId="66420618" w14:textId="77777777" w:rsidTr="00F02F3A">
        <w:trPr>
          <w:tblHeader w:val="0"/>
        </w:trPr>
        <w:tc>
          <w:tcPr>
            <w:tcW w:w="2895" w:type="dxa"/>
          </w:tcPr>
          <w:p w14:paraId="751E94E3" w14:textId="69E1B48C" w:rsidR="002733B0" w:rsidRDefault="00523B9A" w:rsidP="00BA792B">
            <w:pPr>
              <w:pStyle w:val="TableTextLeft"/>
              <w:ind w:right="112"/>
            </w:pPr>
            <w:r>
              <w:t>D</w:t>
            </w:r>
            <w:r w:rsidR="0045096F">
              <w:t>octor</w:t>
            </w:r>
          </w:p>
        </w:tc>
        <w:tc>
          <w:tcPr>
            <w:tcW w:w="5492" w:type="dxa"/>
          </w:tcPr>
          <w:p w14:paraId="3F041418" w14:textId="5A7233B9" w:rsidR="0045096F" w:rsidRDefault="0045096F" w:rsidP="00BA792B">
            <w:pPr>
              <w:pStyle w:val="TableTextLeft"/>
            </w:pPr>
            <w:r>
              <w:t>‘</w:t>
            </w:r>
            <w:r w:rsidR="0060546C">
              <w:t>M</w:t>
            </w:r>
            <w:r>
              <w:t>edical practitioner’ registered under the Health Practitioner Regulation National Law to practice in the medical profession (other than a student).</w:t>
            </w:r>
          </w:p>
          <w:p w14:paraId="1A83ADB8" w14:textId="77777777" w:rsidR="0045096F" w:rsidRDefault="0045096F" w:rsidP="00BA792B">
            <w:pPr>
              <w:pStyle w:val="TableTextLeft"/>
            </w:pPr>
          </w:p>
          <w:p w14:paraId="680F8C77" w14:textId="77777777" w:rsidR="0045096F" w:rsidRDefault="0045096F" w:rsidP="00BA792B">
            <w:pPr>
              <w:pStyle w:val="TableTextLeft"/>
            </w:pPr>
            <w:r>
              <w:t xml:space="preserve">The Medical Board of Australia defines the scope of the different types of medical practitioners. Only people who practise as one of these types of medical practitioners may be appointed to examine an employee. Examples include: </w:t>
            </w:r>
          </w:p>
          <w:p w14:paraId="286C246F" w14:textId="77777777" w:rsidR="0045096F" w:rsidRDefault="0045096F" w:rsidP="00BA792B">
            <w:pPr>
              <w:pStyle w:val="TableTextLeft"/>
            </w:pPr>
          </w:p>
          <w:p w14:paraId="7AF4E794" w14:textId="77777777" w:rsidR="0045096F" w:rsidRDefault="0045096F" w:rsidP="00BA792B">
            <w:pPr>
              <w:pStyle w:val="TableTextLeft"/>
            </w:pPr>
            <w:r w:rsidRPr="0045096F">
              <w:rPr>
                <w:i/>
              </w:rPr>
              <w:t>Psychiatrist</w:t>
            </w:r>
            <w:r>
              <w:t xml:space="preserve"> – diagnoses and treats mental, emotional and behavioural disorders and prescribes medications and treatment to promote or restore mental health.</w:t>
            </w:r>
          </w:p>
          <w:p w14:paraId="5FEF05B0" w14:textId="77777777" w:rsidR="0045096F" w:rsidRDefault="0045096F" w:rsidP="00BA792B">
            <w:pPr>
              <w:pStyle w:val="TableTextLeft"/>
            </w:pPr>
          </w:p>
          <w:p w14:paraId="6843EB33" w14:textId="77777777" w:rsidR="0045096F" w:rsidRDefault="0045096F" w:rsidP="0045096F">
            <w:pPr>
              <w:pStyle w:val="TableTextLeft"/>
            </w:pPr>
            <w:r>
              <w:rPr>
                <w:i/>
              </w:rPr>
              <w:t>Occupational Physician</w:t>
            </w:r>
            <w:r>
              <w:t xml:space="preserve"> – assess, treat and prevent musculoskeletal disorders and determine whether the condition is related to work.  Trained to assess a person’s capacity for work.</w:t>
            </w:r>
          </w:p>
          <w:p w14:paraId="5831F5D9" w14:textId="77777777" w:rsidR="0045096F" w:rsidRDefault="0045096F" w:rsidP="0045096F">
            <w:pPr>
              <w:pStyle w:val="TableTextLeft"/>
            </w:pPr>
          </w:p>
          <w:p w14:paraId="0C66A05B" w14:textId="77777777" w:rsidR="0045096F" w:rsidRDefault="0045096F" w:rsidP="0045096F">
            <w:pPr>
              <w:pStyle w:val="TableTextLeft"/>
            </w:pPr>
            <w:r>
              <w:rPr>
                <w:i/>
              </w:rPr>
              <w:t>Orthopaedic Surgeon</w:t>
            </w:r>
            <w:r>
              <w:t xml:space="preserve"> – specialist surgeon who diagnoses and provides surgical treatment of conditions of the musculoskeletal system including conditions of bones, joints, ligaments, tendons, muscles and nerves.</w:t>
            </w:r>
          </w:p>
          <w:p w14:paraId="3CD6DB31" w14:textId="77777777" w:rsidR="0045096F" w:rsidRDefault="0045096F" w:rsidP="0045096F">
            <w:pPr>
              <w:pStyle w:val="TableTextLeft"/>
            </w:pPr>
          </w:p>
          <w:p w14:paraId="17532726" w14:textId="77777777" w:rsidR="0045096F" w:rsidRDefault="0045096F" w:rsidP="0045096F">
            <w:pPr>
              <w:pStyle w:val="TableTextLeft"/>
            </w:pPr>
            <w:r>
              <w:rPr>
                <w:i/>
              </w:rPr>
              <w:t>Rheumatologist</w:t>
            </w:r>
            <w:r>
              <w:t xml:space="preserve"> – specialises in the diagnosis and management of inflammatory conditions of joints, muscles and soft tissues.</w:t>
            </w:r>
          </w:p>
          <w:p w14:paraId="79D5E072" w14:textId="77777777" w:rsidR="0045096F" w:rsidRDefault="0045096F" w:rsidP="0045096F">
            <w:pPr>
              <w:pStyle w:val="TableTextLeft"/>
            </w:pPr>
          </w:p>
          <w:p w14:paraId="3B3C7805" w14:textId="77777777" w:rsidR="0045096F" w:rsidRDefault="0045096F" w:rsidP="0045096F">
            <w:pPr>
              <w:pStyle w:val="TableTextLeft"/>
            </w:pPr>
            <w:r>
              <w:rPr>
                <w:i/>
              </w:rPr>
              <w:t>Neurologist</w:t>
            </w:r>
            <w:r>
              <w:t xml:space="preserve"> – diagnoses and provides non-surgical management of conditions of the brain, spine and peripheral nerves. Neurologists can assess all neurological conditions and cognitive deficits.</w:t>
            </w:r>
          </w:p>
          <w:p w14:paraId="19D53704" w14:textId="77777777" w:rsidR="0045096F" w:rsidRDefault="0045096F" w:rsidP="0045096F">
            <w:pPr>
              <w:pStyle w:val="TableTextLeft"/>
            </w:pPr>
          </w:p>
          <w:p w14:paraId="1AC42E27" w14:textId="77777777" w:rsidR="0045096F" w:rsidRDefault="0045096F" w:rsidP="0045096F">
            <w:pPr>
              <w:pStyle w:val="TableTextLeft"/>
            </w:pPr>
            <w:r>
              <w:rPr>
                <w:i/>
              </w:rPr>
              <w:t>Neurosurgeon</w:t>
            </w:r>
            <w:r>
              <w:t xml:space="preserve"> – specialist surgeon who specialises in conditions and surgery of the brain and spine.</w:t>
            </w:r>
          </w:p>
          <w:p w14:paraId="5DE9A3F5" w14:textId="77777777" w:rsidR="0045096F" w:rsidRDefault="0045096F" w:rsidP="0045096F">
            <w:pPr>
              <w:pStyle w:val="TableTextLeft"/>
            </w:pPr>
          </w:p>
          <w:p w14:paraId="17634E26" w14:textId="77777777" w:rsidR="0045096F" w:rsidRDefault="0045096F" w:rsidP="0045096F">
            <w:pPr>
              <w:pStyle w:val="TableTextLeft"/>
            </w:pPr>
            <w:r>
              <w:t xml:space="preserve">A list of medical practitioners on the WorkCover Queensland “Independent medical examinations panel” is available at: </w:t>
            </w:r>
          </w:p>
          <w:p w14:paraId="3142AF0B" w14:textId="3C4CDAED" w:rsidR="0045096F" w:rsidRPr="0045096F" w:rsidRDefault="00000000" w:rsidP="00471783">
            <w:pPr>
              <w:pStyle w:val="TableTextLeft"/>
            </w:pPr>
            <w:hyperlink r:id="rId20" w:history="1">
              <w:r w:rsidR="0045096F" w:rsidRPr="0045096F">
                <w:rPr>
                  <w:rStyle w:val="Hyperlink"/>
                </w:rPr>
                <w:t>https://www.worksafe.qld.gov.au/service-providers/medical-services/independent-opinion/independent-medical-examinations-panel</w:t>
              </w:r>
            </w:hyperlink>
          </w:p>
        </w:tc>
      </w:tr>
      <w:tr w:rsidR="0045096F" w14:paraId="1B8DF3B0" w14:textId="77777777" w:rsidTr="00F02F3A">
        <w:tc>
          <w:tcPr>
            <w:tcW w:w="2895" w:type="dxa"/>
          </w:tcPr>
          <w:p w14:paraId="5B5EE6AC" w14:textId="477E74F7" w:rsidR="0045096F" w:rsidRDefault="0045096F" w:rsidP="00BA792B">
            <w:pPr>
              <w:pStyle w:val="TableTextLeft"/>
              <w:ind w:right="112"/>
              <w:rPr>
                <w:highlight w:val="magenta"/>
              </w:rPr>
            </w:pPr>
            <w:r w:rsidRPr="0045096F">
              <w:lastRenderedPageBreak/>
              <w:t>Genuine occupational requirement</w:t>
            </w:r>
          </w:p>
        </w:tc>
        <w:tc>
          <w:tcPr>
            <w:tcW w:w="5492" w:type="dxa"/>
            <w:shd w:val="clear" w:color="auto" w:fill="auto"/>
          </w:tcPr>
          <w:p w14:paraId="741C724C" w14:textId="45C76467" w:rsidR="0045096F" w:rsidRDefault="002C0037" w:rsidP="00BA792B">
            <w:pPr>
              <w:pStyle w:val="TableTextLeft"/>
            </w:pPr>
            <w:r>
              <w:t xml:space="preserve">An employer is required to make reasonable adjustments to </w:t>
            </w:r>
            <w:r w:rsidR="00F41A93">
              <w:t xml:space="preserve">the workplace to support an employee with an illness or disability to meet the genuine occupational requirements of the role. Failure to do so may be discrimination. </w:t>
            </w:r>
          </w:p>
          <w:p w14:paraId="072D6BA7" w14:textId="77777777" w:rsidR="00F41A93" w:rsidRDefault="00F41A93" w:rsidP="00BA792B">
            <w:pPr>
              <w:pStyle w:val="TableTextLeft"/>
            </w:pPr>
          </w:p>
          <w:p w14:paraId="4467F194" w14:textId="5AF76E44" w:rsidR="008D0350" w:rsidRDefault="00F41A93" w:rsidP="00BA792B">
            <w:pPr>
              <w:pStyle w:val="TableTextLeft"/>
            </w:pPr>
            <w:r>
              <w:t>However, it may not be unlawful if the person is unable to carry ou</w:t>
            </w:r>
            <w:r w:rsidR="008D0350">
              <w:t>t</w:t>
            </w:r>
            <w:r>
              <w:t xml:space="preserve">, with reasonable adjustment, </w:t>
            </w:r>
            <w:r w:rsidR="008D0350">
              <w:t xml:space="preserve">the </w:t>
            </w:r>
            <w:r>
              <w:t>genuine occupational, or inh</w:t>
            </w:r>
            <w:r w:rsidR="008D0350">
              <w:t xml:space="preserve">erent, requirements of the role. The inherent </w:t>
            </w:r>
            <w:r w:rsidR="00B27DE8">
              <w:t>requirements</w:t>
            </w:r>
            <w:r w:rsidR="008D0350">
              <w:t xml:space="preserve"> of the role may include:</w:t>
            </w:r>
          </w:p>
          <w:p w14:paraId="10EF393F" w14:textId="77777777" w:rsidR="008D0350" w:rsidRDefault="008D0350" w:rsidP="00BA792B">
            <w:pPr>
              <w:pStyle w:val="TableTextLeft"/>
            </w:pPr>
          </w:p>
          <w:p w14:paraId="106A398C" w14:textId="3343599C" w:rsidR="008D0350" w:rsidRPr="00147E96" w:rsidRDefault="0060546C" w:rsidP="00F02F3A">
            <w:pPr>
              <w:pStyle w:val="TableTextLeft"/>
              <w:numPr>
                <w:ilvl w:val="0"/>
                <w:numId w:val="22"/>
              </w:numPr>
            </w:pPr>
            <w:r>
              <w:t>t</w:t>
            </w:r>
            <w:r w:rsidR="008D0350" w:rsidRPr="00147E96">
              <w:t>he ability to perform tasks which are essential to perform a job productively and to the required quality</w:t>
            </w:r>
          </w:p>
          <w:p w14:paraId="70B98FEC" w14:textId="62109239" w:rsidR="008D0350" w:rsidRPr="00147E96" w:rsidRDefault="0060546C" w:rsidP="00F02F3A">
            <w:pPr>
              <w:pStyle w:val="TableTextLeft"/>
              <w:numPr>
                <w:ilvl w:val="0"/>
                <w:numId w:val="22"/>
              </w:numPr>
            </w:pPr>
            <w:r>
              <w:t>t</w:t>
            </w:r>
            <w:r w:rsidR="008D0350" w:rsidRPr="00147E96">
              <w:t>he ability to work effectively in a team or other organisation</w:t>
            </w:r>
          </w:p>
          <w:p w14:paraId="2638DD7E" w14:textId="70D8AE6C" w:rsidR="00F41A93" w:rsidRPr="00147E96" w:rsidRDefault="0060546C" w:rsidP="00F02F3A">
            <w:pPr>
              <w:pStyle w:val="TableTextLeft"/>
              <w:numPr>
                <w:ilvl w:val="0"/>
                <w:numId w:val="22"/>
              </w:numPr>
            </w:pPr>
            <w:r>
              <w:t>t</w:t>
            </w:r>
            <w:r w:rsidR="008D0350" w:rsidRPr="00147E96">
              <w:t>he ability to work safely.</w:t>
            </w:r>
            <w:r w:rsidR="00F41A93" w:rsidRPr="00147E96">
              <w:t xml:space="preserve"> </w:t>
            </w:r>
          </w:p>
          <w:p w14:paraId="0A89E499" w14:textId="77777777" w:rsidR="008D0350" w:rsidRDefault="008D0350" w:rsidP="008D0350">
            <w:pPr>
              <w:pStyle w:val="TableTextLeft"/>
            </w:pPr>
          </w:p>
          <w:p w14:paraId="62C430B8" w14:textId="13F19C4D" w:rsidR="008D0350" w:rsidRDefault="008D0350" w:rsidP="008D0350">
            <w:pPr>
              <w:pStyle w:val="TableTextLeft"/>
              <w:rPr>
                <w:highlight w:val="magenta"/>
              </w:rPr>
            </w:pPr>
            <w:r>
              <w:t>(Australian Human Rights Commission)</w:t>
            </w:r>
          </w:p>
        </w:tc>
      </w:tr>
      <w:tr w:rsidR="0045096F" w14:paraId="1F44A21F" w14:textId="77777777" w:rsidTr="00F02F3A">
        <w:tc>
          <w:tcPr>
            <w:tcW w:w="2895" w:type="dxa"/>
          </w:tcPr>
          <w:p w14:paraId="109350EE" w14:textId="1624F7BB" w:rsidR="0045096F" w:rsidRPr="0045096F" w:rsidRDefault="0045096F" w:rsidP="00BA792B">
            <w:pPr>
              <w:pStyle w:val="TableTextLeft"/>
              <w:ind w:right="112"/>
            </w:pPr>
            <w:r>
              <w:t>Health professional</w:t>
            </w:r>
          </w:p>
        </w:tc>
        <w:tc>
          <w:tcPr>
            <w:tcW w:w="5492" w:type="dxa"/>
            <w:shd w:val="clear" w:color="auto" w:fill="auto"/>
          </w:tcPr>
          <w:p w14:paraId="7E946DC9" w14:textId="0E08B4C4" w:rsidR="0045096F" w:rsidRPr="0045096F" w:rsidRDefault="0045096F" w:rsidP="00BA792B">
            <w:pPr>
              <w:pStyle w:val="TableTextLeft"/>
            </w:pPr>
            <w:r>
              <w:t xml:space="preserve">An individual accredited by a professional body upon completing a course of study, and usually licensed by a government agency to practice a </w:t>
            </w:r>
            <w:proofErr w:type="gramStart"/>
            <w:r>
              <w:t>health related</w:t>
            </w:r>
            <w:proofErr w:type="gramEnd"/>
            <w:r>
              <w:t xml:space="preserve"> profession, such as physiotherapy, occupational therapy or radiology.</w:t>
            </w:r>
          </w:p>
        </w:tc>
      </w:tr>
      <w:tr w:rsidR="0045096F" w14:paraId="092B4461" w14:textId="77777777" w:rsidTr="00F02F3A">
        <w:tc>
          <w:tcPr>
            <w:tcW w:w="2895" w:type="dxa"/>
          </w:tcPr>
          <w:p w14:paraId="587BF0E5" w14:textId="7F0B7CD2" w:rsidR="0045096F" w:rsidRPr="0045096F" w:rsidRDefault="0045096F" w:rsidP="00BA792B">
            <w:pPr>
              <w:pStyle w:val="TableTextLeft"/>
              <w:ind w:right="112"/>
            </w:pPr>
            <w:r>
              <w:t>Medical condition</w:t>
            </w:r>
          </w:p>
        </w:tc>
        <w:tc>
          <w:tcPr>
            <w:tcW w:w="5492" w:type="dxa"/>
            <w:shd w:val="clear" w:color="auto" w:fill="auto"/>
          </w:tcPr>
          <w:p w14:paraId="25D57662" w14:textId="12BBDEF5" w:rsidR="0045096F" w:rsidRPr="0045096F" w:rsidRDefault="0045096F" w:rsidP="00BA792B">
            <w:pPr>
              <w:pStyle w:val="TableTextLeft"/>
            </w:pPr>
            <w:r>
              <w:t>A</w:t>
            </w:r>
            <w:r w:rsidR="00C178CF">
              <w:t xml:space="preserve"> generic term for</w:t>
            </w:r>
            <w:r>
              <w:t xml:space="preserve"> </w:t>
            </w:r>
            <w:r w:rsidRPr="00C178CF">
              <w:rPr>
                <w:i/>
              </w:rPr>
              <w:t>mental or physical illness or disability</w:t>
            </w:r>
            <w:r>
              <w:t xml:space="preserve"> in section 174 PS Act.</w:t>
            </w:r>
            <w:r w:rsidR="00096C5A">
              <w:t xml:space="preserve"> </w:t>
            </w:r>
          </w:p>
        </w:tc>
      </w:tr>
      <w:tr w:rsidR="0045096F" w14:paraId="5F5D647A" w14:textId="77777777" w:rsidTr="00F02F3A">
        <w:tc>
          <w:tcPr>
            <w:tcW w:w="2895" w:type="dxa"/>
          </w:tcPr>
          <w:p w14:paraId="7376E9E9" w14:textId="50D31C86" w:rsidR="0045096F" w:rsidRPr="0045096F" w:rsidRDefault="0045096F" w:rsidP="00BA792B">
            <w:pPr>
              <w:pStyle w:val="TableTextLeft"/>
              <w:ind w:right="112"/>
            </w:pPr>
            <w:r>
              <w:t>Unjustifiable hardship</w:t>
            </w:r>
          </w:p>
        </w:tc>
        <w:tc>
          <w:tcPr>
            <w:tcW w:w="5492" w:type="dxa"/>
            <w:shd w:val="clear" w:color="auto" w:fill="auto"/>
          </w:tcPr>
          <w:p w14:paraId="33F88043" w14:textId="5B76FB28" w:rsidR="0045096F" w:rsidRPr="0045096F" w:rsidRDefault="0045096F" w:rsidP="0045096F">
            <w:pPr>
              <w:pStyle w:val="TableTextLeft"/>
            </w:pPr>
            <w:r>
              <w:t xml:space="preserve">Determined by reference to all the relevant circumstances, including the nature of the special services or facilities, the cost and number of people who would be advantaged, the financial circumstances of the employer, the disruption caused and the nature of any benefit or detriment to all people involved. With the resources available to </w:t>
            </w:r>
            <w:r w:rsidR="0060546C">
              <w:t>g</w:t>
            </w:r>
            <w:r>
              <w:t>overnment, cost or other adverse impact would need to be significant to find unjustifiable hardship for an agency.</w:t>
            </w:r>
          </w:p>
        </w:tc>
      </w:tr>
      <w:tr w:rsidR="0045096F" w14:paraId="705F614F" w14:textId="77777777" w:rsidTr="00F02F3A">
        <w:tc>
          <w:tcPr>
            <w:tcW w:w="2895" w:type="dxa"/>
          </w:tcPr>
          <w:p w14:paraId="1CE489DE" w14:textId="2F862337" w:rsidR="0045096F" w:rsidRPr="0045096F" w:rsidRDefault="0045096F" w:rsidP="00BA792B">
            <w:pPr>
              <w:pStyle w:val="TableTextLeft"/>
              <w:ind w:right="112"/>
            </w:pPr>
            <w:r>
              <w:t>Unsatisfactory performance</w:t>
            </w:r>
          </w:p>
        </w:tc>
        <w:tc>
          <w:tcPr>
            <w:tcW w:w="5492" w:type="dxa"/>
            <w:shd w:val="clear" w:color="auto" w:fill="auto"/>
          </w:tcPr>
          <w:p w14:paraId="0689D28F" w14:textId="059C602B" w:rsidR="0045096F" w:rsidRPr="0045096F" w:rsidRDefault="0045096F" w:rsidP="00BA792B">
            <w:pPr>
              <w:pStyle w:val="TableTextLeft"/>
            </w:pPr>
            <w:r>
              <w:t>Conduct or work performance that does not meet the standard required of the position.</w:t>
            </w:r>
          </w:p>
        </w:tc>
      </w:tr>
    </w:tbl>
    <w:p w14:paraId="2F574253" w14:textId="77777777" w:rsidR="000261A8" w:rsidRDefault="000261A8" w:rsidP="00277AE5">
      <w:pPr>
        <w:jc w:val="both"/>
        <w:rPr>
          <w:rFonts w:cs="Arial"/>
        </w:rPr>
      </w:pPr>
    </w:p>
    <w:p w14:paraId="0B04B480" w14:textId="77777777" w:rsidR="008A0AD2" w:rsidRDefault="008A0AD2">
      <w:pPr>
        <w:rPr>
          <w:b/>
          <w:color w:val="5ACAAF"/>
          <w:szCs w:val="22"/>
        </w:rPr>
      </w:pPr>
      <w:r>
        <w:rPr>
          <w:szCs w:val="22"/>
        </w:rPr>
        <w:br w:type="page"/>
      </w:r>
    </w:p>
    <w:p w14:paraId="1CD99261" w14:textId="2F4D17D6" w:rsidR="0022473D" w:rsidRDefault="0022473D">
      <w:pPr>
        <w:rPr>
          <w:b/>
          <w:color w:val="5ACAAF"/>
          <w:szCs w:val="22"/>
        </w:rPr>
      </w:pPr>
    </w:p>
    <w:p w14:paraId="07B6BD2F" w14:textId="697DDECF" w:rsidR="00073784" w:rsidRPr="00F02F3A" w:rsidRDefault="00073784" w:rsidP="00F02F3A">
      <w:pPr>
        <w:rPr>
          <w:color w:val="55BAA6" w:themeColor="accent2" w:themeShade="BF"/>
          <w:sz w:val="32"/>
          <w:szCs w:val="32"/>
        </w:rPr>
      </w:pPr>
      <w:r w:rsidRPr="00F02F3A">
        <w:rPr>
          <w:color w:val="55BAA6" w:themeColor="accent2" w:themeShade="BF"/>
          <w:sz w:val="32"/>
          <w:szCs w:val="32"/>
        </w:rPr>
        <w:t xml:space="preserve">FAQs for </w:t>
      </w:r>
      <w:r w:rsidR="00AC3B67" w:rsidRPr="00F02F3A">
        <w:rPr>
          <w:color w:val="55BAA6" w:themeColor="accent2" w:themeShade="BF"/>
          <w:sz w:val="32"/>
          <w:szCs w:val="32"/>
        </w:rPr>
        <w:t>m</w:t>
      </w:r>
      <w:r w:rsidRPr="00F02F3A">
        <w:rPr>
          <w:color w:val="55BAA6" w:themeColor="accent2" w:themeShade="BF"/>
          <w:sz w:val="32"/>
          <w:szCs w:val="32"/>
        </w:rPr>
        <w:t>anagers</w:t>
      </w:r>
    </w:p>
    <w:p w14:paraId="0E0B4D8A" w14:textId="4D51F6C1" w:rsidR="00BF765D" w:rsidRPr="00F02F3A" w:rsidRDefault="00BF765D" w:rsidP="00F02F3A">
      <w:pPr>
        <w:rPr>
          <w:b/>
          <w:color w:val="55BAA6" w:themeColor="accent2" w:themeShade="BF"/>
          <w:sz w:val="28"/>
          <w:szCs w:val="28"/>
        </w:rPr>
      </w:pPr>
      <w:r w:rsidRPr="00F02F3A">
        <w:rPr>
          <w:b/>
          <w:color w:val="55BAA6" w:themeColor="accent2" w:themeShade="BF"/>
          <w:sz w:val="28"/>
          <w:szCs w:val="28"/>
        </w:rPr>
        <w:t xml:space="preserve">How long does an employee have to be absent before they can be </w:t>
      </w:r>
      <w:r w:rsidR="0033098C" w:rsidRPr="00F02F3A">
        <w:rPr>
          <w:b/>
          <w:color w:val="55BAA6" w:themeColor="accent2" w:themeShade="BF"/>
          <w:sz w:val="28"/>
          <w:szCs w:val="28"/>
        </w:rPr>
        <w:t>directed to submit to</w:t>
      </w:r>
      <w:r w:rsidRPr="00F02F3A">
        <w:rPr>
          <w:b/>
          <w:color w:val="55BAA6" w:themeColor="accent2" w:themeShade="BF"/>
          <w:sz w:val="28"/>
          <w:szCs w:val="28"/>
        </w:rPr>
        <w:t xml:space="preserve"> a medical examination?</w:t>
      </w:r>
    </w:p>
    <w:p w14:paraId="62AA4D92" w14:textId="19C97AAE" w:rsidR="00BF765D" w:rsidRPr="00575F28" w:rsidRDefault="00BF765D" w:rsidP="009112C1">
      <w:pPr>
        <w:spacing w:line="276" w:lineRule="auto"/>
      </w:pPr>
      <w:r w:rsidRPr="00575F28">
        <w:t>The PS Act does not prescribe a timeframe for absence before a medical examination can occur, only that the decision maker reasonably suspects that the current absence is caused by mental or physical illness or disability.</w:t>
      </w:r>
      <w:r w:rsidR="008D0350">
        <w:t xml:space="preserve"> </w:t>
      </w:r>
      <w:r w:rsidR="002D04F4">
        <w:t xml:space="preserve">The employee must be currently absent to </w:t>
      </w:r>
      <w:r w:rsidR="009C078D">
        <w:t xml:space="preserve">be required </w:t>
      </w:r>
      <w:r w:rsidR="002D04F4">
        <w:t>to</w:t>
      </w:r>
      <w:r w:rsidR="009C078D">
        <w:t xml:space="preserve"> attend</w:t>
      </w:r>
      <w:r w:rsidR="002D04F4">
        <w:t xml:space="preserve"> an IME for absence in section 174 of the PS Act.</w:t>
      </w:r>
      <w:r w:rsidRPr="00575F28">
        <w:t xml:space="preserve"> </w:t>
      </w:r>
    </w:p>
    <w:p w14:paraId="59CA864D" w14:textId="77777777" w:rsidR="00073784" w:rsidRPr="00F02F3A" w:rsidRDefault="00073784" w:rsidP="00F02F3A">
      <w:pPr>
        <w:rPr>
          <w:b/>
          <w:color w:val="55BAA6" w:themeColor="accent2" w:themeShade="BF"/>
          <w:sz w:val="28"/>
          <w:szCs w:val="28"/>
        </w:rPr>
      </w:pPr>
      <w:r w:rsidRPr="00F02F3A">
        <w:rPr>
          <w:b/>
          <w:color w:val="55BAA6" w:themeColor="accent2" w:themeShade="BF"/>
          <w:sz w:val="28"/>
          <w:szCs w:val="28"/>
        </w:rPr>
        <w:t>How can agencies manage the impact of a medical examination process?</w:t>
      </w:r>
    </w:p>
    <w:p w14:paraId="10800C2D" w14:textId="721DB6C6" w:rsidR="00073784" w:rsidRPr="0016296C" w:rsidRDefault="005D4074" w:rsidP="00073784">
      <w:pPr>
        <w:spacing w:before="120" w:after="120" w:line="276" w:lineRule="auto"/>
        <w:rPr>
          <w:szCs w:val="22"/>
        </w:rPr>
      </w:pPr>
      <w:r>
        <w:rPr>
          <w:szCs w:val="22"/>
        </w:rPr>
        <w:t>I</w:t>
      </w:r>
      <w:r w:rsidR="00073784" w:rsidRPr="0016296C">
        <w:rPr>
          <w:szCs w:val="22"/>
        </w:rPr>
        <w:t xml:space="preserve">t is important that the process be implemented in a reasonable and respectful manner. A key feature of this is to ensure appropriate communication between the parties. Clear information about steps to be taken and reasons for them should be provided to the employee. It is also important that information about the purpose of the examination is provided to the employee (i.e. </w:t>
      </w:r>
      <w:r>
        <w:rPr>
          <w:szCs w:val="22"/>
        </w:rPr>
        <w:t>the</w:t>
      </w:r>
      <w:r w:rsidR="00073784" w:rsidRPr="0016296C">
        <w:rPr>
          <w:szCs w:val="22"/>
        </w:rPr>
        <w:t xml:space="preserve"> starting point is making informed decisions to support continued </w:t>
      </w:r>
      <w:r w:rsidR="003B6B5B">
        <w:rPr>
          <w:szCs w:val="22"/>
        </w:rPr>
        <w:t xml:space="preserve">safe and productive </w:t>
      </w:r>
      <w:r w:rsidR="00073784" w:rsidRPr="0016296C">
        <w:rPr>
          <w:szCs w:val="22"/>
        </w:rPr>
        <w:t xml:space="preserve">employment where possible </w:t>
      </w:r>
      <w:r w:rsidR="00073784" w:rsidRPr="004B4075">
        <w:rPr>
          <w:b/>
          <w:szCs w:val="22"/>
        </w:rPr>
        <w:t>not</w:t>
      </w:r>
      <w:r w:rsidR="00073784" w:rsidRPr="0067218D">
        <w:rPr>
          <w:szCs w:val="22"/>
        </w:rPr>
        <w:t xml:space="preserve"> medical</w:t>
      </w:r>
      <w:r w:rsidR="00073784" w:rsidRPr="0016296C">
        <w:rPr>
          <w:szCs w:val="22"/>
        </w:rPr>
        <w:t xml:space="preserve"> retirement).  </w:t>
      </w:r>
    </w:p>
    <w:p w14:paraId="1B5FE4D4" w14:textId="04008A0C" w:rsidR="00073784" w:rsidRDefault="00073784" w:rsidP="00073784">
      <w:pPr>
        <w:spacing w:before="120" w:after="120" w:line="276" w:lineRule="auto"/>
        <w:rPr>
          <w:szCs w:val="22"/>
        </w:rPr>
      </w:pPr>
      <w:r w:rsidRPr="0016296C">
        <w:rPr>
          <w:szCs w:val="22"/>
        </w:rPr>
        <w:t xml:space="preserve">Managers also need to consider what impact the employee’s condition and the process is having on other employees in the work area and ensure appropriate steps are put in place to support all employees (e.g. workload management).  </w:t>
      </w:r>
    </w:p>
    <w:p w14:paraId="3FFB4448" w14:textId="77777777" w:rsidR="009112C1" w:rsidRPr="00F02F3A" w:rsidRDefault="009112C1" w:rsidP="00F02F3A">
      <w:pPr>
        <w:rPr>
          <w:b/>
          <w:color w:val="55BAA6" w:themeColor="accent2" w:themeShade="BF"/>
          <w:sz w:val="28"/>
          <w:szCs w:val="28"/>
        </w:rPr>
      </w:pPr>
      <w:r w:rsidRPr="00F02F3A">
        <w:rPr>
          <w:b/>
          <w:color w:val="55BAA6" w:themeColor="accent2" w:themeShade="BF"/>
          <w:sz w:val="28"/>
          <w:szCs w:val="28"/>
        </w:rPr>
        <w:t>What happens if an employee is performing the technical aspect of their role satisfactorily, but their conduct is below the required standard?</w:t>
      </w:r>
    </w:p>
    <w:p w14:paraId="25775467" w14:textId="5D0F22B7" w:rsidR="009112C1" w:rsidRDefault="009112C1" w:rsidP="009112C1">
      <w:pPr>
        <w:spacing w:line="276" w:lineRule="auto"/>
      </w:pPr>
      <w:r>
        <w:t>Sections 174 to</w:t>
      </w:r>
      <w:r w:rsidRPr="00345B7D">
        <w:t>179 PS Act apply where a decision maker reasonably suspects that an employee’s absence or unsatisfactory performance is caused by a mental or physical illness or disability. Technical skills,</w:t>
      </w:r>
      <w:r w:rsidR="00C145FA">
        <w:t xml:space="preserve"> hours of work, participation in rosters, safety performance,</w:t>
      </w:r>
      <w:r w:rsidRPr="00345B7D">
        <w:t xml:space="preserve"> workplace behaviour and conduct</w:t>
      </w:r>
      <w:r w:rsidR="00D65F68">
        <w:t>, including participation as part of a team and respectful communication,</w:t>
      </w:r>
      <w:r w:rsidR="005D4074">
        <w:t xml:space="preserve"> </w:t>
      </w:r>
      <w:r w:rsidRPr="00345B7D">
        <w:t>are all components of an employee’s overall performance of their role.</w:t>
      </w:r>
    </w:p>
    <w:p w14:paraId="48DA619F" w14:textId="6174323C" w:rsidR="00073784" w:rsidRPr="00F02F3A" w:rsidRDefault="00073784" w:rsidP="00F02F3A">
      <w:pPr>
        <w:rPr>
          <w:b/>
          <w:color w:val="55BAA6" w:themeColor="accent2" w:themeShade="BF"/>
          <w:sz w:val="28"/>
          <w:szCs w:val="28"/>
        </w:rPr>
      </w:pPr>
      <w:r w:rsidRPr="00F02F3A">
        <w:rPr>
          <w:b/>
          <w:color w:val="55BAA6" w:themeColor="accent2" w:themeShade="BF"/>
          <w:sz w:val="28"/>
          <w:szCs w:val="28"/>
        </w:rPr>
        <w:t>What hap</w:t>
      </w:r>
      <w:r w:rsidR="0022473D" w:rsidRPr="00F02F3A">
        <w:rPr>
          <w:b/>
          <w:color w:val="55BAA6" w:themeColor="accent2" w:themeShade="BF"/>
          <w:sz w:val="28"/>
          <w:szCs w:val="28"/>
        </w:rPr>
        <w:t xml:space="preserve">pens if an employee refuses or </w:t>
      </w:r>
      <w:r w:rsidRPr="00F02F3A">
        <w:rPr>
          <w:b/>
          <w:color w:val="55BAA6" w:themeColor="accent2" w:themeShade="BF"/>
          <w:sz w:val="28"/>
          <w:szCs w:val="28"/>
        </w:rPr>
        <w:t xml:space="preserve">fails to </w:t>
      </w:r>
      <w:r w:rsidR="0073063A" w:rsidRPr="00F02F3A">
        <w:rPr>
          <w:b/>
          <w:color w:val="55BAA6" w:themeColor="accent2" w:themeShade="BF"/>
          <w:sz w:val="28"/>
          <w:szCs w:val="28"/>
        </w:rPr>
        <w:t xml:space="preserve">submit to </w:t>
      </w:r>
      <w:r w:rsidRPr="00F02F3A">
        <w:rPr>
          <w:b/>
          <w:color w:val="55BAA6" w:themeColor="accent2" w:themeShade="BF"/>
          <w:sz w:val="28"/>
          <w:szCs w:val="28"/>
        </w:rPr>
        <w:t>the medical examination?</w:t>
      </w:r>
    </w:p>
    <w:p w14:paraId="7CDFEAF9" w14:textId="0A4C661B" w:rsidR="00073784" w:rsidRPr="0016296C" w:rsidRDefault="00073784" w:rsidP="00073784">
      <w:pPr>
        <w:spacing w:before="120" w:after="120" w:line="276" w:lineRule="auto"/>
        <w:rPr>
          <w:rFonts w:cs="Arial"/>
          <w:szCs w:val="22"/>
        </w:rPr>
      </w:pPr>
      <w:r w:rsidRPr="0016296C">
        <w:rPr>
          <w:szCs w:val="22"/>
        </w:rPr>
        <w:t>Employees are required to comply with reasonable and lawful directions</w:t>
      </w:r>
      <w:r w:rsidR="0073063A">
        <w:rPr>
          <w:szCs w:val="22"/>
        </w:rPr>
        <w:t xml:space="preserve">. </w:t>
      </w:r>
      <w:r w:rsidRPr="0016296C">
        <w:rPr>
          <w:rFonts w:cs="Arial"/>
          <w:szCs w:val="22"/>
        </w:rPr>
        <w:t xml:space="preserve">If an employee refuses to </w:t>
      </w:r>
      <w:r w:rsidR="0073063A">
        <w:rPr>
          <w:rFonts w:cs="Arial"/>
          <w:szCs w:val="22"/>
        </w:rPr>
        <w:t>submit to</w:t>
      </w:r>
      <w:r w:rsidR="0073063A" w:rsidRPr="0016296C">
        <w:rPr>
          <w:rFonts w:cs="Arial"/>
          <w:szCs w:val="22"/>
        </w:rPr>
        <w:t xml:space="preserve"> </w:t>
      </w:r>
      <w:r w:rsidRPr="0016296C">
        <w:rPr>
          <w:rFonts w:cs="Arial"/>
          <w:szCs w:val="22"/>
        </w:rPr>
        <w:t xml:space="preserve">a medical examination, the agency should advise the employee in writing that failure to </w:t>
      </w:r>
      <w:r w:rsidR="0073063A">
        <w:rPr>
          <w:rFonts w:cs="Arial"/>
          <w:szCs w:val="22"/>
        </w:rPr>
        <w:t>submit to</w:t>
      </w:r>
      <w:r w:rsidR="0073063A" w:rsidRPr="0016296C">
        <w:rPr>
          <w:rFonts w:cs="Arial"/>
          <w:szCs w:val="22"/>
        </w:rPr>
        <w:t xml:space="preserve"> </w:t>
      </w:r>
      <w:r w:rsidRPr="0016296C">
        <w:rPr>
          <w:rFonts w:cs="Arial"/>
          <w:szCs w:val="22"/>
        </w:rPr>
        <w:t xml:space="preserve">the medical examination as directed may result in disciplinary action. </w:t>
      </w:r>
      <w:r w:rsidR="007F30C2">
        <w:rPr>
          <w:rFonts w:cs="Arial"/>
          <w:szCs w:val="22"/>
        </w:rPr>
        <w:t>This n</w:t>
      </w:r>
      <w:r w:rsidR="00C178CF">
        <w:rPr>
          <w:rFonts w:cs="Arial"/>
          <w:szCs w:val="22"/>
        </w:rPr>
        <w:t xml:space="preserve">otice has been included in the template letter directing an employee to </w:t>
      </w:r>
      <w:r w:rsidR="0073063A">
        <w:rPr>
          <w:rFonts w:cs="Arial"/>
          <w:szCs w:val="22"/>
        </w:rPr>
        <w:t xml:space="preserve">submit to </w:t>
      </w:r>
      <w:r w:rsidR="00C178CF">
        <w:rPr>
          <w:rFonts w:cs="Arial"/>
          <w:szCs w:val="22"/>
        </w:rPr>
        <w:t xml:space="preserve">an IME. </w:t>
      </w:r>
      <w:r w:rsidRPr="0016296C">
        <w:rPr>
          <w:rFonts w:cs="Arial"/>
          <w:szCs w:val="22"/>
        </w:rPr>
        <w:t>Under section 176 PS Act,</w:t>
      </w:r>
      <w:r w:rsidRPr="0016296C">
        <w:rPr>
          <w:rFonts w:cs="Arial"/>
          <w:i/>
          <w:szCs w:val="22"/>
        </w:rPr>
        <w:t xml:space="preserve"> </w:t>
      </w:r>
      <w:r w:rsidRPr="0016296C">
        <w:rPr>
          <w:rFonts w:cs="Arial"/>
          <w:szCs w:val="22"/>
        </w:rPr>
        <w:t>an employee must not be given sick leave for any period that the employee fails to comply with the requirement.</w:t>
      </w:r>
    </w:p>
    <w:p w14:paraId="2A35A6EB" w14:textId="77777777" w:rsidR="0022473D" w:rsidRPr="00F02F3A" w:rsidRDefault="0022473D" w:rsidP="00F02F3A">
      <w:pPr>
        <w:rPr>
          <w:b/>
          <w:color w:val="55BAA6" w:themeColor="accent2" w:themeShade="BF"/>
          <w:sz w:val="28"/>
          <w:szCs w:val="28"/>
        </w:rPr>
      </w:pPr>
      <w:r w:rsidRPr="00F02F3A">
        <w:rPr>
          <w:b/>
          <w:color w:val="55BAA6" w:themeColor="accent2" w:themeShade="BF"/>
          <w:sz w:val="28"/>
          <w:szCs w:val="28"/>
        </w:rPr>
        <w:t>What happens if the IME opinion is different from an opinion or medical information provided by the employee’s treating doctor?</w:t>
      </w:r>
    </w:p>
    <w:p w14:paraId="6057D084" w14:textId="38960A1E" w:rsidR="0022473D" w:rsidRDefault="0022473D" w:rsidP="0022473D">
      <w:pPr>
        <w:spacing w:before="120" w:after="120"/>
      </w:pPr>
      <w:r>
        <w:t xml:space="preserve">Differences in opinion may be due to </w:t>
      </w:r>
      <w:proofErr w:type="gramStart"/>
      <w:r>
        <w:t>a number of</w:t>
      </w:r>
      <w:proofErr w:type="gramEnd"/>
      <w:r>
        <w:t xml:space="preserve"> different factors, including the time when the opinion was given (the employee’s condition may have subsequently improved or deteriorated) and the information available to the doctor in giving their opinion. Determining the most supportive approach for the employee will involve an </w:t>
      </w:r>
      <w:r>
        <w:lastRenderedPageBreak/>
        <w:t xml:space="preserve">exercise of judgement based on all the available facts. A useful step in this process is to </w:t>
      </w:r>
      <w:r w:rsidR="00CC54BC">
        <w:t xml:space="preserve">ask both doctors </w:t>
      </w:r>
      <w:r>
        <w:t xml:space="preserve">to explain </w:t>
      </w:r>
      <w:r w:rsidR="00CC54BC">
        <w:t xml:space="preserve">or clarify </w:t>
      </w:r>
      <w:r>
        <w:t xml:space="preserve">the basis for their opinion and why </w:t>
      </w:r>
      <w:r w:rsidR="00CC54BC">
        <w:t>the opinions</w:t>
      </w:r>
      <w:r>
        <w:t xml:space="preserve"> differ. Failure to make reasonable enquiries and efforts to resolve differences of medical opinion may prove problematic if the employee is later retired for medical reasons.</w:t>
      </w:r>
      <w:r w:rsidR="0073063A">
        <w:t xml:space="preserve"> </w:t>
      </w:r>
    </w:p>
    <w:p w14:paraId="6084DE84" w14:textId="1B3B4952" w:rsidR="004203B7" w:rsidRDefault="004203B7" w:rsidP="00C141FE">
      <w:pPr>
        <w:pStyle w:val="BodyText"/>
      </w:pPr>
    </w:p>
    <w:p w14:paraId="38BFC036" w14:textId="2F3DB5CE" w:rsidR="00F02F3A" w:rsidRPr="00F02F3A" w:rsidRDefault="00F02F3A" w:rsidP="00F02F3A">
      <w:pPr>
        <w:pStyle w:val="Date"/>
      </w:pPr>
    </w:p>
    <w:p w14:paraId="6D745FAC" w14:textId="24874066" w:rsidR="00F02F3A" w:rsidRPr="00F02F3A" w:rsidRDefault="00F02F3A" w:rsidP="00F02F3A">
      <w:pPr>
        <w:pStyle w:val="Date"/>
      </w:pPr>
    </w:p>
    <w:p w14:paraId="73BE46B8" w14:textId="65ABED7D" w:rsidR="00F02F3A" w:rsidRPr="00F02F3A" w:rsidRDefault="00F02F3A" w:rsidP="00F02F3A">
      <w:pPr>
        <w:pStyle w:val="Date"/>
      </w:pPr>
    </w:p>
    <w:p w14:paraId="0FC2BCF0" w14:textId="3CD70593" w:rsidR="00F02F3A" w:rsidRPr="00F02F3A" w:rsidRDefault="00F02F3A" w:rsidP="00F02F3A">
      <w:pPr>
        <w:pStyle w:val="Date"/>
      </w:pPr>
    </w:p>
    <w:p w14:paraId="1FFDAFB2" w14:textId="2656DDED" w:rsidR="001240B0" w:rsidRDefault="001240B0">
      <w:r>
        <w:br w:type="page"/>
      </w:r>
    </w:p>
    <w:p w14:paraId="504A3B5D" w14:textId="73CCE81C" w:rsidR="00F02F3A" w:rsidRPr="00F02F3A" w:rsidRDefault="00B50047" w:rsidP="00F02F3A">
      <w:pPr>
        <w:pStyle w:val="Date"/>
      </w:pPr>
      <w:r>
        <w:rPr>
          <w:noProof/>
          <w:color w:val="5ACAAF"/>
          <w:sz w:val="4"/>
          <w:lang w:val="en-US" w:eastAsia="en-US"/>
        </w:rPr>
        <w:lastRenderedPageBreak/>
        <mc:AlternateContent>
          <mc:Choice Requires="wps">
            <w:drawing>
              <wp:anchor distT="0" distB="0" distL="114300" distR="114300" simplePos="0" relativeHeight="251718656" behindDoc="0" locked="0" layoutInCell="1" allowOverlap="1" wp14:anchorId="43FF7585" wp14:editId="532E15B7">
                <wp:simplePos x="0" y="0"/>
                <wp:positionH relativeFrom="page">
                  <wp:posOffset>0</wp:posOffset>
                </wp:positionH>
                <wp:positionV relativeFrom="paragraph">
                  <wp:posOffset>-905193</wp:posOffset>
                </wp:positionV>
                <wp:extent cx="7714615" cy="10708641"/>
                <wp:effectExtent l="0" t="0" r="635" b="0"/>
                <wp:wrapNone/>
                <wp:docPr id="17" name="Rectangle 17"/>
                <wp:cNvGraphicFramePr/>
                <a:graphic xmlns:a="http://schemas.openxmlformats.org/drawingml/2006/main">
                  <a:graphicData uri="http://schemas.microsoft.com/office/word/2010/wordprocessingShape">
                    <wps:wsp>
                      <wps:cNvSpPr/>
                      <wps:spPr>
                        <a:xfrm>
                          <a:off x="0" y="0"/>
                          <a:ext cx="7714615" cy="10708641"/>
                        </a:xfrm>
                        <a:prstGeom prst="rect">
                          <a:avLst/>
                        </a:pr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B5C22" id="Rectangle 17" o:spid="_x0000_s1026" style="position:absolute;margin-left:0;margin-top:-71.3pt;width:607.45pt;height:843.2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" fillcolor="#d0f0e8" stroked="f" strokeweight="1pt">
                <w10:wrap anchorx="page"/>
              </v:rect>
            </w:pict>
          </mc:Fallback>
        </mc:AlternateContent>
      </w:r>
    </w:p>
    <w:p w14:paraId="4D853545" w14:textId="652791CF" w:rsidR="00F02F3A" w:rsidRPr="00F02F3A" w:rsidRDefault="00F02F3A" w:rsidP="00F02F3A">
      <w:pPr>
        <w:pStyle w:val="Date"/>
      </w:pPr>
    </w:p>
    <w:p w14:paraId="268D2AC5" w14:textId="15AB9DAE" w:rsidR="00F02F3A" w:rsidRPr="00F02F3A" w:rsidRDefault="00F02F3A" w:rsidP="00F02F3A">
      <w:pPr>
        <w:pStyle w:val="Date"/>
      </w:pPr>
    </w:p>
    <w:p w14:paraId="15E04B0D" w14:textId="4794B89B" w:rsidR="00F02F3A" w:rsidRPr="00F02F3A" w:rsidRDefault="00F02F3A" w:rsidP="00F02F3A">
      <w:pPr>
        <w:pStyle w:val="Date"/>
      </w:pPr>
    </w:p>
    <w:p w14:paraId="5833A84A" w14:textId="40C1CE72" w:rsidR="00F02F3A" w:rsidRPr="00F02F3A" w:rsidRDefault="00F02F3A" w:rsidP="00F02F3A">
      <w:pPr>
        <w:pStyle w:val="Date"/>
      </w:pPr>
    </w:p>
    <w:p w14:paraId="3DE06E0F" w14:textId="4AFEE5DC" w:rsidR="00F02F3A" w:rsidRPr="00F02F3A" w:rsidRDefault="00F02F3A" w:rsidP="00F02F3A">
      <w:pPr>
        <w:pStyle w:val="Date"/>
      </w:pPr>
    </w:p>
    <w:p w14:paraId="03F30FDD" w14:textId="7960E2CF" w:rsidR="00F02F3A" w:rsidRPr="00F02F3A" w:rsidRDefault="00F02F3A" w:rsidP="00F02F3A">
      <w:pPr>
        <w:pStyle w:val="Date"/>
      </w:pPr>
    </w:p>
    <w:p w14:paraId="03E72837" w14:textId="25B3050B" w:rsidR="00F02F3A" w:rsidRPr="00F02F3A" w:rsidRDefault="00F02F3A" w:rsidP="00F02F3A">
      <w:pPr>
        <w:pStyle w:val="Date"/>
      </w:pPr>
    </w:p>
    <w:p w14:paraId="1EC86C34" w14:textId="6326BF22" w:rsidR="00F02F3A" w:rsidRPr="00F02F3A" w:rsidRDefault="00F02F3A" w:rsidP="00F02F3A">
      <w:pPr>
        <w:pStyle w:val="Date"/>
      </w:pPr>
    </w:p>
    <w:p w14:paraId="3653378D" w14:textId="46E566D7" w:rsidR="00F02F3A" w:rsidRPr="00F02F3A" w:rsidRDefault="00F02F3A" w:rsidP="00F02F3A">
      <w:pPr>
        <w:pStyle w:val="Date"/>
      </w:pPr>
    </w:p>
    <w:p w14:paraId="1EDA552C" w14:textId="1C80C2D2" w:rsidR="00F02F3A" w:rsidRPr="00F02F3A" w:rsidRDefault="00F02F3A" w:rsidP="00F02F3A">
      <w:pPr>
        <w:pStyle w:val="Date"/>
      </w:pPr>
    </w:p>
    <w:p w14:paraId="2533C83D" w14:textId="7CEB032B" w:rsidR="00F02F3A" w:rsidRPr="00F02F3A" w:rsidRDefault="00F02F3A" w:rsidP="00F02F3A">
      <w:pPr>
        <w:pStyle w:val="Date"/>
      </w:pPr>
    </w:p>
    <w:p w14:paraId="590379BD" w14:textId="4D08906F" w:rsidR="00F02F3A" w:rsidRPr="00F02F3A" w:rsidRDefault="00F02F3A" w:rsidP="00F02F3A">
      <w:pPr>
        <w:pStyle w:val="Date"/>
      </w:pPr>
    </w:p>
    <w:p w14:paraId="51F0CE8F" w14:textId="1E311819" w:rsidR="00F02F3A" w:rsidRPr="00F02F3A" w:rsidRDefault="00F02F3A" w:rsidP="00F02F3A">
      <w:pPr>
        <w:pStyle w:val="Date"/>
      </w:pPr>
    </w:p>
    <w:p w14:paraId="5C7629E2" w14:textId="482E072A" w:rsidR="00F02F3A" w:rsidRDefault="00F02F3A" w:rsidP="00F02F3A">
      <w:pPr>
        <w:pStyle w:val="Date"/>
      </w:pPr>
    </w:p>
    <w:p w14:paraId="16AF85DD" w14:textId="144F7E6A" w:rsidR="00F02F3A" w:rsidRPr="00F02F3A" w:rsidRDefault="009F02CA" w:rsidP="00F02F3A">
      <w:pPr>
        <w:pStyle w:val="Date"/>
        <w:tabs>
          <w:tab w:val="left" w:pos="5520"/>
        </w:tabs>
      </w:pPr>
      <w:r>
        <w:rPr>
          <w:noProof/>
          <w:lang w:val="en-US" w:eastAsia="en-US"/>
        </w:rPr>
        <mc:AlternateContent>
          <mc:Choice Requires="wps">
            <w:drawing>
              <wp:anchor distT="0" distB="0" distL="114300" distR="114300" simplePos="0" relativeHeight="251720704" behindDoc="0" locked="0" layoutInCell="1" allowOverlap="1" wp14:anchorId="00B067A7" wp14:editId="31DFF7FD">
                <wp:simplePos x="0" y="0"/>
                <wp:positionH relativeFrom="margin">
                  <wp:align>right</wp:align>
                </wp:positionH>
                <wp:positionV relativeFrom="paragraph">
                  <wp:posOffset>5171440</wp:posOffset>
                </wp:positionV>
                <wp:extent cx="5400000" cy="1486800"/>
                <wp:effectExtent l="0" t="0" r="0" b="0"/>
                <wp:wrapNone/>
                <wp:docPr id="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86800"/>
                        </a:xfrm>
                        <a:prstGeom prst="rect">
                          <a:avLst/>
                        </a:prstGeom>
                        <a:noFill/>
                        <a:ln>
                          <a:noFill/>
                        </a:ln>
                        <a:effectLst/>
                      </wps:spPr>
                      <wps:txbx>
                        <w:txbxContent>
                          <w:p w14:paraId="6C1B023A" w14:textId="77777777" w:rsidR="002E6978" w:rsidRPr="00972DC0" w:rsidRDefault="002E6978" w:rsidP="009F02CA">
                            <w:pPr>
                              <w:rPr>
                                <w:sz w:val="32"/>
                                <w:szCs w:val="32"/>
                              </w:rPr>
                            </w:pPr>
                          </w:p>
                          <w:p w14:paraId="63316D4B" w14:textId="77777777" w:rsidR="002E6978" w:rsidRDefault="002E6978" w:rsidP="009F02CA">
                            <w:pPr>
                              <w:widowControl w:val="0"/>
                              <w:autoSpaceDE w:val="0"/>
                              <w:autoSpaceDN w:val="0"/>
                              <w:adjustRightInd w:val="0"/>
                              <w:rPr>
                                <w:b/>
                                <w:color w:val="343333"/>
                                <w:szCs w:val="22"/>
                              </w:rPr>
                            </w:pPr>
                            <w:r w:rsidRPr="004D2948">
                              <w:rPr>
                                <w:b/>
                                <w:color w:val="343333"/>
                                <w:szCs w:val="22"/>
                              </w:rPr>
                              <w:t>Public Service Commission</w:t>
                            </w:r>
                          </w:p>
                          <w:p w14:paraId="7A3ACAC2" w14:textId="77777777" w:rsidR="002E6978" w:rsidRPr="004D2948" w:rsidRDefault="002E6978" w:rsidP="009F02CA">
                            <w:pPr>
                              <w:widowControl w:val="0"/>
                              <w:autoSpaceDE w:val="0"/>
                              <w:autoSpaceDN w:val="0"/>
                              <w:adjustRightInd w:val="0"/>
                              <w:rPr>
                                <w:b/>
                                <w:color w:val="343333"/>
                                <w:sz w:val="18"/>
                                <w:szCs w:val="18"/>
                              </w:rPr>
                            </w:pPr>
                          </w:p>
                          <w:p w14:paraId="3C815FA0" w14:textId="77777777" w:rsidR="002E6978" w:rsidRPr="004D2948" w:rsidRDefault="002E6978" w:rsidP="009F02CA">
                            <w:pPr>
                              <w:widowControl w:val="0"/>
                              <w:autoSpaceDE w:val="0"/>
                              <w:autoSpaceDN w:val="0"/>
                              <w:adjustRightInd w:val="0"/>
                              <w:spacing w:line="276" w:lineRule="auto"/>
                              <w:rPr>
                                <w:color w:val="343333"/>
                                <w:sz w:val="16"/>
                                <w:szCs w:val="16"/>
                              </w:rPr>
                            </w:pPr>
                            <w:r w:rsidRPr="004D2948">
                              <w:rPr>
                                <w:color w:val="343333"/>
                                <w:sz w:val="16"/>
                                <w:szCs w:val="16"/>
                              </w:rPr>
                              <w:t>Level 27, 1 William Street</w:t>
                            </w:r>
                          </w:p>
                          <w:p w14:paraId="4A3E4D5F" w14:textId="77777777" w:rsidR="002E6978" w:rsidRPr="004D2948" w:rsidRDefault="002E6978" w:rsidP="009F02CA">
                            <w:pPr>
                              <w:widowControl w:val="0"/>
                              <w:autoSpaceDE w:val="0"/>
                              <w:autoSpaceDN w:val="0"/>
                              <w:adjustRightInd w:val="0"/>
                              <w:spacing w:line="276" w:lineRule="auto"/>
                              <w:rPr>
                                <w:color w:val="343333"/>
                                <w:sz w:val="16"/>
                                <w:szCs w:val="16"/>
                              </w:rPr>
                            </w:pPr>
                            <w:r w:rsidRPr="004D2948">
                              <w:rPr>
                                <w:color w:val="343333"/>
                                <w:sz w:val="16"/>
                                <w:szCs w:val="16"/>
                              </w:rPr>
                              <w:t>Brisbane Qld 4000</w:t>
                            </w:r>
                          </w:p>
                          <w:p w14:paraId="532B23F5" w14:textId="77777777" w:rsidR="002E6978" w:rsidRPr="004D2948" w:rsidRDefault="002E6978" w:rsidP="009F02CA">
                            <w:pPr>
                              <w:widowControl w:val="0"/>
                              <w:autoSpaceDE w:val="0"/>
                              <w:autoSpaceDN w:val="0"/>
                              <w:adjustRightInd w:val="0"/>
                              <w:spacing w:line="276" w:lineRule="auto"/>
                              <w:rPr>
                                <w:color w:val="343333"/>
                                <w:sz w:val="16"/>
                                <w:szCs w:val="16"/>
                              </w:rPr>
                            </w:pPr>
                            <w:r w:rsidRPr="004D2948">
                              <w:rPr>
                                <w:color w:val="343333"/>
                                <w:sz w:val="16"/>
                                <w:szCs w:val="16"/>
                              </w:rPr>
                              <w:t>Tel: (07) 3003 2800</w:t>
                            </w:r>
                          </w:p>
                          <w:p w14:paraId="390F3DCE" w14:textId="77777777" w:rsidR="002E6978" w:rsidRPr="004D2948" w:rsidRDefault="002E6978" w:rsidP="009F02CA">
                            <w:pPr>
                              <w:widowControl w:val="0"/>
                              <w:autoSpaceDE w:val="0"/>
                              <w:autoSpaceDN w:val="0"/>
                              <w:adjustRightInd w:val="0"/>
                              <w:spacing w:line="276" w:lineRule="auto"/>
                              <w:rPr>
                                <w:color w:val="343333"/>
                                <w:sz w:val="16"/>
                                <w:szCs w:val="16"/>
                              </w:rPr>
                            </w:pPr>
                            <w:r w:rsidRPr="004D2948">
                              <w:rPr>
                                <w:color w:val="343333"/>
                                <w:sz w:val="16"/>
                                <w:szCs w:val="16"/>
                              </w:rPr>
                              <w:t xml:space="preserve">Email: </w:t>
                            </w:r>
                            <w:hyperlink r:id="rId21" w:history="1">
                              <w:r w:rsidRPr="004D2948">
                                <w:rPr>
                                  <w:color w:val="343333"/>
                                  <w:sz w:val="16"/>
                                  <w:szCs w:val="16"/>
                                </w:rPr>
                                <w:t>commission.psc@psc.qld.gov.au</w:t>
                              </w:r>
                            </w:hyperlink>
                          </w:p>
                          <w:p w14:paraId="18C2CC79" w14:textId="77777777" w:rsidR="002E6978" w:rsidRPr="001073D0" w:rsidRDefault="002E6978" w:rsidP="009F02CA">
                            <w:pPr>
                              <w:rPr>
                                <w:b/>
                                <w:color w:val="343333"/>
                                <w:sz w:val="20"/>
                                <w:szCs w:val="20"/>
                              </w:rPr>
                            </w:pPr>
                            <w:r w:rsidRPr="004D2948">
                              <w:rPr>
                                <w:b/>
                                <w:color w:val="343333"/>
                                <w:sz w:val="16"/>
                                <w:szCs w:val="16"/>
                              </w:rPr>
                              <w:br/>
                            </w:r>
                            <w:hyperlink r:id="rId22" w:history="1">
                              <w:r w:rsidRPr="001073D0">
                                <w:rPr>
                                  <w:b/>
                                  <w:color w:val="343333"/>
                                  <w:sz w:val="20"/>
                                  <w:szCs w:val="20"/>
                                </w:rPr>
                                <w:t>www.psc.qld.gov.au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067A7" id="Text Box 203" o:spid="_x0000_s1027" type="#_x0000_t202" style="position:absolute;margin-left:374pt;margin-top:407.2pt;width:425.2pt;height:117.0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" filled="f" stroked="f">
                <v:textbox>
                  <w:txbxContent>
                    <w:p w14:paraId="6C1B023A" w14:textId="77777777" w:rsidR="002E6978" w:rsidRPr="00972DC0" w:rsidRDefault="002E6978" w:rsidP="009F02CA">
                      <w:pPr>
                        <w:rPr>
                          <w:sz w:val="32"/>
                          <w:szCs w:val="32"/>
                        </w:rPr>
                      </w:pPr>
                    </w:p>
                    <w:p w14:paraId="63316D4B" w14:textId="77777777" w:rsidR="002E6978" w:rsidRDefault="002E6978" w:rsidP="009F02CA">
                      <w:pPr>
                        <w:widowControl w:val="0"/>
                        <w:autoSpaceDE w:val="0"/>
                        <w:autoSpaceDN w:val="0"/>
                        <w:adjustRightInd w:val="0"/>
                        <w:rPr>
                          <w:b/>
                          <w:color w:val="343333"/>
                          <w:szCs w:val="22"/>
                        </w:rPr>
                      </w:pPr>
                      <w:r w:rsidRPr="004D2948">
                        <w:rPr>
                          <w:b/>
                          <w:color w:val="343333"/>
                          <w:szCs w:val="22"/>
                        </w:rPr>
                        <w:t>Public Service Commission</w:t>
                      </w:r>
                    </w:p>
                    <w:p w14:paraId="7A3ACAC2" w14:textId="77777777" w:rsidR="002E6978" w:rsidRPr="004D2948" w:rsidRDefault="002E6978" w:rsidP="009F02CA">
                      <w:pPr>
                        <w:widowControl w:val="0"/>
                        <w:autoSpaceDE w:val="0"/>
                        <w:autoSpaceDN w:val="0"/>
                        <w:adjustRightInd w:val="0"/>
                        <w:rPr>
                          <w:b/>
                          <w:color w:val="343333"/>
                          <w:sz w:val="18"/>
                          <w:szCs w:val="18"/>
                        </w:rPr>
                      </w:pPr>
                    </w:p>
                    <w:p w14:paraId="3C815FA0" w14:textId="77777777" w:rsidR="002E6978" w:rsidRPr="004D2948" w:rsidRDefault="002E6978" w:rsidP="009F02CA">
                      <w:pPr>
                        <w:widowControl w:val="0"/>
                        <w:autoSpaceDE w:val="0"/>
                        <w:autoSpaceDN w:val="0"/>
                        <w:adjustRightInd w:val="0"/>
                        <w:spacing w:line="276" w:lineRule="auto"/>
                        <w:rPr>
                          <w:color w:val="343333"/>
                          <w:sz w:val="16"/>
                          <w:szCs w:val="16"/>
                        </w:rPr>
                      </w:pPr>
                      <w:r w:rsidRPr="004D2948">
                        <w:rPr>
                          <w:color w:val="343333"/>
                          <w:sz w:val="16"/>
                          <w:szCs w:val="16"/>
                        </w:rPr>
                        <w:t>Level 27, 1 William Street</w:t>
                      </w:r>
                    </w:p>
                    <w:p w14:paraId="4A3E4D5F" w14:textId="77777777" w:rsidR="002E6978" w:rsidRPr="004D2948" w:rsidRDefault="002E6978" w:rsidP="009F02CA">
                      <w:pPr>
                        <w:widowControl w:val="0"/>
                        <w:autoSpaceDE w:val="0"/>
                        <w:autoSpaceDN w:val="0"/>
                        <w:adjustRightInd w:val="0"/>
                        <w:spacing w:line="276" w:lineRule="auto"/>
                        <w:rPr>
                          <w:color w:val="343333"/>
                          <w:sz w:val="16"/>
                          <w:szCs w:val="16"/>
                        </w:rPr>
                      </w:pPr>
                      <w:r w:rsidRPr="004D2948">
                        <w:rPr>
                          <w:color w:val="343333"/>
                          <w:sz w:val="16"/>
                          <w:szCs w:val="16"/>
                        </w:rPr>
                        <w:t>Brisbane Qld 4000</w:t>
                      </w:r>
                    </w:p>
                    <w:p w14:paraId="532B23F5" w14:textId="77777777" w:rsidR="002E6978" w:rsidRPr="004D2948" w:rsidRDefault="002E6978" w:rsidP="009F02CA">
                      <w:pPr>
                        <w:widowControl w:val="0"/>
                        <w:autoSpaceDE w:val="0"/>
                        <w:autoSpaceDN w:val="0"/>
                        <w:adjustRightInd w:val="0"/>
                        <w:spacing w:line="276" w:lineRule="auto"/>
                        <w:rPr>
                          <w:color w:val="343333"/>
                          <w:sz w:val="16"/>
                          <w:szCs w:val="16"/>
                        </w:rPr>
                      </w:pPr>
                      <w:r w:rsidRPr="004D2948">
                        <w:rPr>
                          <w:color w:val="343333"/>
                          <w:sz w:val="16"/>
                          <w:szCs w:val="16"/>
                        </w:rPr>
                        <w:t>Tel: (07) 3003 2800</w:t>
                      </w:r>
                    </w:p>
                    <w:p w14:paraId="390F3DCE" w14:textId="77777777" w:rsidR="002E6978" w:rsidRPr="004D2948" w:rsidRDefault="002E6978" w:rsidP="009F02CA">
                      <w:pPr>
                        <w:widowControl w:val="0"/>
                        <w:autoSpaceDE w:val="0"/>
                        <w:autoSpaceDN w:val="0"/>
                        <w:adjustRightInd w:val="0"/>
                        <w:spacing w:line="276" w:lineRule="auto"/>
                        <w:rPr>
                          <w:color w:val="343333"/>
                          <w:sz w:val="16"/>
                          <w:szCs w:val="16"/>
                        </w:rPr>
                      </w:pPr>
                      <w:r w:rsidRPr="004D2948">
                        <w:rPr>
                          <w:color w:val="343333"/>
                          <w:sz w:val="16"/>
                          <w:szCs w:val="16"/>
                        </w:rPr>
                        <w:t xml:space="preserve">Email: </w:t>
                      </w:r>
                      <w:hyperlink r:id="rId23" w:history="1">
                        <w:r w:rsidRPr="004D2948">
                          <w:rPr>
                            <w:color w:val="343333"/>
                            <w:sz w:val="16"/>
                            <w:szCs w:val="16"/>
                          </w:rPr>
                          <w:t>commission.psc@psc.qld.gov.au</w:t>
                        </w:r>
                      </w:hyperlink>
                    </w:p>
                    <w:p w14:paraId="18C2CC79" w14:textId="77777777" w:rsidR="002E6978" w:rsidRPr="001073D0" w:rsidRDefault="002E6978" w:rsidP="009F02CA">
                      <w:pPr>
                        <w:rPr>
                          <w:b/>
                          <w:color w:val="343333"/>
                          <w:sz w:val="20"/>
                          <w:szCs w:val="20"/>
                        </w:rPr>
                      </w:pPr>
                      <w:r w:rsidRPr="004D2948">
                        <w:rPr>
                          <w:b/>
                          <w:color w:val="343333"/>
                          <w:sz w:val="16"/>
                          <w:szCs w:val="16"/>
                        </w:rPr>
                        <w:br/>
                      </w:r>
                      <w:hyperlink r:id="rId24" w:history="1">
                        <w:r w:rsidRPr="001073D0">
                          <w:rPr>
                            <w:b/>
                            <w:color w:val="343333"/>
                            <w:sz w:val="20"/>
                            <w:szCs w:val="20"/>
                          </w:rPr>
                          <w:t>www.psc.qld.gov.au</w:t>
                        </w:r>
                      </w:hyperlink>
                    </w:p>
                  </w:txbxContent>
                </v:textbox>
                <w10:wrap anchorx="margin"/>
              </v:shape>
            </w:pict>
          </mc:Fallback>
        </mc:AlternateContent>
      </w:r>
      <w:r w:rsidR="00F02F3A">
        <w:tab/>
      </w:r>
    </w:p>
    <w:sectPr w:rsidR="00F02F3A" w:rsidRPr="00F02F3A" w:rsidSect="000D5E58">
      <w:headerReference w:type="even" r:id="rId25"/>
      <w:headerReference w:type="default" r:id="rId26"/>
      <w:footerReference w:type="default" r:id="rId27"/>
      <w:headerReference w:type="first" r:id="rId28"/>
      <w:pgSz w:w="11907" w:h="16840" w:code="9"/>
      <w:pgMar w:top="1418" w:right="1701" w:bottom="1134" w:left="170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9F9F" w14:textId="77777777" w:rsidR="005D5F59" w:rsidRDefault="005D5F59" w:rsidP="002C39DD">
      <w:r>
        <w:separator/>
      </w:r>
    </w:p>
    <w:p w14:paraId="04D69505" w14:textId="77777777" w:rsidR="005D5F59" w:rsidRDefault="005D5F59" w:rsidP="002C39DD"/>
    <w:p w14:paraId="371F96D7" w14:textId="77777777" w:rsidR="005D5F59" w:rsidRDefault="005D5F59" w:rsidP="002C39DD"/>
    <w:p w14:paraId="51EA8E85" w14:textId="77777777" w:rsidR="005D5F59" w:rsidRDefault="005D5F59" w:rsidP="002C39DD"/>
    <w:p w14:paraId="2E6A6B0B" w14:textId="77777777" w:rsidR="005D5F59" w:rsidRDefault="005D5F59"/>
    <w:p w14:paraId="43995FF6" w14:textId="77777777" w:rsidR="005D5F59" w:rsidRDefault="005D5F59"/>
  </w:endnote>
  <w:endnote w:type="continuationSeparator" w:id="0">
    <w:p w14:paraId="0A0E3543" w14:textId="77777777" w:rsidR="005D5F59" w:rsidRDefault="005D5F59" w:rsidP="002C39DD">
      <w:r>
        <w:continuationSeparator/>
      </w:r>
    </w:p>
    <w:p w14:paraId="5E1DF8D2" w14:textId="77777777" w:rsidR="005D5F59" w:rsidRDefault="005D5F59" w:rsidP="002C39DD"/>
    <w:p w14:paraId="3EDF73F2" w14:textId="77777777" w:rsidR="005D5F59" w:rsidRDefault="005D5F59" w:rsidP="002C39DD"/>
    <w:p w14:paraId="1D6FD4B9" w14:textId="77777777" w:rsidR="005D5F59" w:rsidRDefault="005D5F59" w:rsidP="002C39DD"/>
    <w:p w14:paraId="66406D75" w14:textId="77777777" w:rsidR="005D5F59" w:rsidRDefault="005D5F59"/>
    <w:p w14:paraId="50B420CE" w14:textId="77777777" w:rsidR="005D5F59" w:rsidRDefault="005D5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1305" w14:textId="77777777" w:rsidR="002E6978" w:rsidRDefault="002E6978" w:rsidP="00DC40CA">
    <w:pPr>
      <w:pStyle w:val="Footer"/>
    </w:pPr>
  </w:p>
  <w:tbl>
    <w:tblPr>
      <w:tblStyle w:val="TableGrid"/>
      <w:tblW w:w="4983" w:type="pct"/>
      <w:tblLook w:val="01E0" w:firstRow="1" w:lastRow="1" w:firstColumn="1" w:lastColumn="1" w:noHBand="0" w:noVBand="0"/>
    </w:tblPr>
    <w:tblGrid>
      <w:gridCol w:w="8409"/>
      <w:gridCol w:w="1197"/>
    </w:tblGrid>
    <w:tr w:rsidR="002E6978" w:rsidRPr="00933F6B" w14:paraId="5FA10BE7" w14:textId="77777777" w:rsidTr="00DD43D8">
      <w:tc>
        <w:tcPr>
          <w:tcW w:w="9348" w:type="dxa"/>
          <w:vAlign w:val="bottom"/>
        </w:tcPr>
        <w:p w14:paraId="31BEA9B8" w14:textId="74DAC974" w:rsidR="002E6978" w:rsidRPr="00933F6B" w:rsidRDefault="002E6978" w:rsidP="00DD43D8">
          <w:pPr>
            <w:pStyle w:val="Footer"/>
          </w:pPr>
          <w:r>
            <w:rPr>
              <w:noProof/>
            </w:rPr>
            <w:fldChar w:fldCharType="begin"/>
          </w:r>
          <w:r>
            <w:rPr>
              <w:noProof/>
            </w:rPr>
            <w:instrText xml:space="preserve"> STYLEREF  Title  \* MERGEFORMAT </w:instrText>
          </w:r>
          <w:r>
            <w:rPr>
              <w:noProof/>
            </w:rPr>
            <w:fldChar w:fldCharType="separate"/>
          </w:r>
          <w:r>
            <w:rPr>
              <w:noProof/>
            </w:rPr>
            <w:t>Commission Chief Executive guideline</w:t>
          </w:r>
          <w:r>
            <w:rPr>
              <w:noProof/>
            </w:rPr>
            <w:fldChar w:fldCharType="end"/>
          </w:r>
          <w:r>
            <w:t xml:space="preserve"> – </w:t>
          </w:r>
          <w:r>
            <w:rPr>
              <w:noProof/>
            </w:rPr>
            <w:fldChar w:fldCharType="begin"/>
          </w:r>
          <w:r>
            <w:rPr>
              <w:noProof/>
            </w:rPr>
            <w:instrText xml:space="preserve"> STYLEREF  DocSubTitle  \* MERGEFORMAT </w:instrText>
          </w:r>
          <w:r>
            <w:rPr>
              <w:noProof/>
            </w:rPr>
            <w:fldChar w:fldCharType="separate"/>
          </w:r>
          <w:r>
            <w:rPr>
              <w:noProof/>
            </w:rPr>
            <w:t>Managing employee health, safety and wellbeing – independent medical examinations (Public Service Act 2008)</w:t>
          </w:r>
          <w:r>
            <w:rPr>
              <w:noProof/>
            </w:rPr>
            <w:cr/>
          </w:r>
          <w:r>
            <w:rPr>
              <w:noProof/>
            </w:rPr>
            <w:fldChar w:fldCharType="end"/>
          </w:r>
        </w:p>
      </w:tc>
      <w:tc>
        <w:tcPr>
          <w:tcW w:w="1320" w:type="dxa"/>
          <w:vAlign w:val="bottom"/>
        </w:tcPr>
        <w:p w14:paraId="7A81C64A" w14:textId="77777777" w:rsidR="002E6978" w:rsidRPr="00933F6B" w:rsidRDefault="002E6978" w:rsidP="00DD43D8">
          <w:pPr>
            <w:pStyle w:val="FooterpageNumber"/>
          </w:pPr>
          <w:r w:rsidRPr="00933F6B">
            <w:t xml:space="preserve">- </w:t>
          </w:r>
          <w:r w:rsidRPr="00933F6B">
            <w:fldChar w:fldCharType="begin"/>
          </w:r>
          <w:r w:rsidRPr="00933F6B">
            <w:instrText xml:space="preserve"> PAGE </w:instrText>
          </w:r>
          <w:r w:rsidRPr="00933F6B">
            <w:fldChar w:fldCharType="separate"/>
          </w:r>
          <w:r>
            <w:rPr>
              <w:noProof/>
            </w:rPr>
            <w:t>ii</w:t>
          </w:r>
          <w:r w:rsidRPr="00933F6B">
            <w:fldChar w:fldCharType="end"/>
          </w:r>
          <w:r w:rsidRPr="00933F6B">
            <w:t xml:space="preserve"> -</w:t>
          </w:r>
        </w:p>
      </w:tc>
    </w:tr>
  </w:tbl>
  <w:p w14:paraId="4052830C" w14:textId="77777777" w:rsidR="002E6978" w:rsidRPr="00E81629" w:rsidRDefault="002E6978" w:rsidP="00DC40C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83" w:type="pct"/>
      <w:tblInd w:w="0" w:type="dxa"/>
      <w:tblLook w:val="01E0" w:firstRow="1" w:lastRow="1" w:firstColumn="1" w:lastColumn="1" w:noHBand="0" w:noVBand="0"/>
    </w:tblPr>
    <w:tblGrid>
      <w:gridCol w:w="8388"/>
      <w:gridCol w:w="1218"/>
    </w:tblGrid>
    <w:tr w:rsidR="002E6978" w:rsidRPr="00933F6B" w14:paraId="4715D86E" w14:textId="77777777" w:rsidTr="00CB359B">
      <w:tc>
        <w:tcPr>
          <w:tcW w:w="7401" w:type="dxa"/>
          <w:vAlign w:val="bottom"/>
        </w:tcPr>
        <w:p w14:paraId="678BA329" w14:textId="6F71F5FA" w:rsidR="002E6978" w:rsidRPr="004176E2" w:rsidRDefault="002E6978" w:rsidP="00DD43D8">
          <w:pPr>
            <w:pStyle w:val="Footer"/>
            <w:rPr>
              <w:sz w:val="12"/>
              <w:szCs w:val="12"/>
            </w:rPr>
          </w:pPr>
          <w:r w:rsidRPr="004176E2">
            <w:rPr>
              <w:sz w:val="12"/>
              <w:szCs w:val="12"/>
            </w:rPr>
            <w:fldChar w:fldCharType="begin"/>
          </w:r>
          <w:r w:rsidRPr="004176E2">
            <w:rPr>
              <w:sz w:val="12"/>
              <w:szCs w:val="12"/>
            </w:rPr>
            <w:instrText xml:space="preserve"> STYLEREF  Title  \* MERGEFORMAT </w:instrText>
          </w:r>
          <w:r w:rsidRPr="004176E2">
            <w:rPr>
              <w:sz w:val="12"/>
              <w:szCs w:val="12"/>
            </w:rPr>
            <w:fldChar w:fldCharType="separate"/>
          </w:r>
          <w:r w:rsidR="002D7471">
            <w:rPr>
              <w:noProof/>
              <w:sz w:val="12"/>
              <w:szCs w:val="12"/>
            </w:rPr>
            <w:t>Commission Chief Executive guideline</w:t>
          </w:r>
          <w:r w:rsidRPr="004176E2">
            <w:rPr>
              <w:noProof/>
              <w:sz w:val="12"/>
              <w:szCs w:val="12"/>
            </w:rPr>
            <w:fldChar w:fldCharType="end"/>
          </w:r>
          <w:r w:rsidRPr="004176E2">
            <w:rPr>
              <w:sz w:val="12"/>
              <w:szCs w:val="12"/>
            </w:rPr>
            <w:t xml:space="preserve"> – </w:t>
          </w:r>
          <w:r w:rsidRPr="004176E2">
            <w:rPr>
              <w:sz w:val="12"/>
              <w:szCs w:val="12"/>
            </w:rPr>
            <w:fldChar w:fldCharType="begin"/>
          </w:r>
          <w:r w:rsidRPr="004176E2">
            <w:rPr>
              <w:sz w:val="12"/>
              <w:szCs w:val="12"/>
            </w:rPr>
            <w:instrText xml:space="preserve"> STYLEREF  DocSubTitle  \* MERGEFORMAT </w:instrText>
          </w:r>
          <w:r w:rsidRPr="004176E2">
            <w:rPr>
              <w:sz w:val="12"/>
              <w:szCs w:val="12"/>
            </w:rPr>
            <w:fldChar w:fldCharType="separate"/>
          </w:r>
          <w:r w:rsidR="002D7471">
            <w:rPr>
              <w:noProof/>
              <w:sz w:val="12"/>
              <w:szCs w:val="12"/>
            </w:rPr>
            <w:t>Managing employee health, safety and wellbeing – independent medical examinations (Public Service Act 2008)</w:t>
          </w:r>
          <w:r w:rsidRPr="004176E2">
            <w:rPr>
              <w:noProof/>
              <w:sz w:val="12"/>
              <w:szCs w:val="12"/>
            </w:rPr>
            <w:fldChar w:fldCharType="end"/>
          </w:r>
        </w:p>
      </w:tc>
      <w:tc>
        <w:tcPr>
          <w:tcW w:w="1075" w:type="dxa"/>
          <w:vAlign w:val="bottom"/>
        </w:tcPr>
        <w:p w14:paraId="72FF4C0F" w14:textId="440B14B6" w:rsidR="002E6978" w:rsidRPr="00933F6B" w:rsidRDefault="002E6978" w:rsidP="00DD43D8">
          <w:pPr>
            <w:pStyle w:val="FooterpageNumber"/>
          </w:pPr>
          <w:r w:rsidRPr="00933F6B">
            <w:t xml:space="preserve">- </w:t>
          </w:r>
          <w:r w:rsidRPr="00933F6B">
            <w:fldChar w:fldCharType="begin"/>
          </w:r>
          <w:r w:rsidRPr="00933F6B">
            <w:instrText xml:space="preserve"> PAGE </w:instrText>
          </w:r>
          <w:r w:rsidRPr="00933F6B">
            <w:fldChar w:fldCharType="separate"/>
          </w:r>
          <w:r>
            <w:rPr>
              <w:noProof/>
            </w:rPr>
            <w:t>16</w:t>
          </w:r>
          <w:r w:rsidRPr="00933F6B">
            <w:fldChar w:fldCharType="end"/>
          </w:r>
          <w:r w:rsidRPr="00933F6B">
            <w:t xml:space="preserve"> -</w:t>
          </w:r>
        </w:p>
      </w:tc>
    </w:tr>
  </w:tbl>
  <w:p w14:paraId="2C1CCCE7" w14:textId="77777777" w:rsidR="002E6978" w:rsidRPr="00E81629" w:rsidRDefault="002E6978" w:rsidP="00DC40C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0F05" w14:textId="77777777" w:rsidR="005D5F59" w:rsidRDefault="005D5F59" w:rsidP="002C39DD">
      <w:r>
        <w:separator/>
      </w:r>
    </w:p>
    <w:p w14:paraId="4790EB63" w14:textId="77777777" w:rsidR="005D5F59" w:rsidRDefault="005D5F59"/>
  </w:footnote>
  <w:footnote w:type="continuationSeparator" w:id="0">
    <w:p w14:paraId="1447DD54" w14:textId="77777777" w:rsidR="005D5F59" w:rsidRDefault="005D5F59" w:rsidP="002C39DD">
      <w:r>
        <w:continuationSeparator/>
      </w:r>
    </w:p>
    <w:p w14:paraId="2402A0DB" w14:textId="77777777" w:rsidR="005D5F59" w:rsidRDefault="005D5F59" w:rsidP="002C39DD"/>
    <w:p w14:paraId="13E1B406" w14:textId="77777777" w:rsidR="005D5F59" w:rsidRDefault="005D5F59" w:rsidP="002C39DD"/>
    <w:p w14:paraId="54C40213" w14:textId="77777777" w:rsidR="005D5F59" w:rsidRDefault="005D5F59" w:rsidP="002C39DD"/>
    <w:p w14:paraId="7E908012" w14:textId="77777777" w:rsidR="005D5F59" w:rsidRDefault="005D5F59"/>
    <w:p w14:paraId="088E2555" w14:textId="77777777" w:rsidR="005D5F59" w:rsidRDefault="005D5F59"/>
  </w:footnote>
  <w:footnote w:id="1">
    <w:p w14:paraId="24C91417" w14:textId="0E8C36F1" w:rsidR="002E6978" w:rsidRDefault="002E6978">
      <w:pPr>
        <w:pStyle w:val="FootnoteText"/>
      </w:pPr>
      <w:r>
        <w:rPr>
          <w:rStyle w:val="FootnoteReference"/>
        </w:rPr>
        <w:footnoteRef/>
      </w:r>
      <w:r>
        <w:t xml:space="preserve"> </w:t>
      </w:r>
      <w:r w:rsidRPr="0017467B">
        <w:rPr>
          <w:sz w:val="18"/>
          <w:szCs w:val="18"/>
        </w:rPr>
        <w:t>There may be some cases where immediate action rather than a performance discussion is required in response to an</w:t>
      </w:r>
      <w:r>
        <w:rPr>
          <w:sz w:val="18"/>
          <w:szCs w:val="18"/>
        </w:rPr>
        <w:t xml:space="preserve"> extreme or threatening</w:t>
      </w:r>
      <w:r w:rsidRPr="0017467B">
        <w:rPr>
          <w:sz w:val="18"/>
          <w:szCs w:val="18"/>
        </w:rPr>
        <w:t xml:space="preserve"> incident</w:t>
      </w:r>
      <w:r>
        <w:rPr>
          <w:sz w:val="18"/>
          <w:szCs w:val="18"/>
        </w:rPr>
        <w:t>.</w:t>
      </w:r>
    </w:p>
  </w:footnote>
  <w:footnote w:id="2">
    <w:p w14:paraId="13C72B86" w14:textId="11357022" w:rsidR="002E6978" w:rsidRDefault="002E6978">
      <w:pPr>
        <w:pStyle w:val="FootnoteText"/>
      </w:pPr>
      <w:r>
        <w:rPr>
          <w:rStyle w:val="FootnoteReference"/>
        </w:rPr>
        <w:footnoteRef/>
      </w:r>
      <w:r>
        <w:t xml:space="preserve"> </w:t>
      </w:r>
      <w:r w:rsidRPr="00F02F3A">
        <w:rPr>
          <w:sz w:val="18"/>
          <w:szCs w:val="18"/>
        </w:rPr>
        <w:t>Depending on the circumstances, some of this may be addressed through WorkCover return to work plans, rather than management action or IME.</w:t>
      </w:r>
    </w:p>
  </w:footnote>
  <w:footnote w:id="3">
    <w:p w14:paraId="4DE7EB3E" w14:textId="65407D3E" w:rsidR="002E6978" w:rsidRDefault="002E6978">
      <w:pPr>
        <w:pStyle w:val="FootnoteText"/>
      </w:pPr>
      <w:r>
        <w:rPr>
          <w:rStyle w:val="FootnoteReference"/>
        </w:rPr>
        <w:footnoteRef/>
      </w:r>
      <w:r>
        <w:t xml:space="preserve"> </w:t>
      </w:r>
      <w:r w:rsidRPr="0017467B">
        <w:rPr>
          <w:sz w:val="18"/>
          <w:szCs w:val="18"/>
        </w:rPr>
        <w:t>There may be some cases where immediate action rather than a performance discussion is required in response to an</w:t>
      </w:r>
      <w:r>
        <w:rPr>
          <w:sz w:val="18"/>
          <w:szCs w:val="18"/>
        </w:rPr>
        <w:t xml:space="preserve"> extreme or threatening</w:t>
      </w:r>
      <w:r w:rsidRPr="0017467B">
        <w:rPr>
          <w:sz w:val="18"/>
          <w:szCs w:val="18"/>
        </w:rPr>
        <w:t xml:space="preserve"> incident</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486F" w14:textId="51E60EB3" w:rsidR="002E6978" w:rsidRPr="00F02B8C" w:rsidRDefault="002E6978" w:rsidP="00DC40CA">
    <w:pPr>
      <w:rPr>
        <w:sz w:val="4"/>
      </w:rPr>
    </w:pPr>
  </w:p>
  <w:tbl>
    <w:tblPr>
      <w:tblStyle w:val="TableGrid"/>
      <w:tblW w:w="11907" w:type="dxa"/>
      <w:jc w:val="center"/>
      <w:tblInd w:w="0" w:type="dxa"/>
      <w:shd w:val="clear" w:color="auto" w:fill="93BAC0"/>
      <w:tblLook w:val="01E0" w:firstRow="1" w:lastRow="1" w:firstColumn="1" w:lastColumn="1" w:noHBand="0" w:noVBand="0"/>
    </w:tblPr>
    <w:tblGrid>
      <w:gridCol w:w="11907"/>
    </w:tblGrid>
    <w:tr w:rsidR="002E6978" w14:paraId="41E5F796" w14:textId="77777777" w:rsidTr="00DD43D8">
      <w:trPr>
        <w:jc w:val="center"/>
      </w:trPr>
      <w:tc>
        <w:tcPr>
          <w:tcW w:w="11340" w:type="dxa"/>
          <w:shd w:val="clear" w:color="auto" w:fill="93BAC0"/>
        </w:tcPr>
        <w:p w14:paraId="341FC56F" w14:textId="77777777" w:rsidR="002E6978" w:rsidRPr="0023375C" w:rsidRDefault="002E6978" w:rsidP="00DD43D8">
          <w:pPr>
            <w:rPr>
              <w:sz w:val="12"/>
              <w:szCs w:val="12"/>
            </w:rPr>
          </w:pPr>
        </w:p>
      </w:tc>
    </w:tr>
  </w:tbl>
  <w:p w14:paraId="2E57FB2D" w14:textId="77777777" w:rsidR="002E6978" w:rsidRPr="006108C5" w:rsidRDefault="002E6978" w:rsidP="00DC40CA">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DB43" w14:textId="42FDFD1B" w:rsidR="002E6978" w:rsidRDefault="002E6978">
    <w:pPr>
      <w:pStyle w:val="Header"/>
    </w:pPr>
    <w:r>
      <w:rPr>
        <w:noProof/>
        <w:lang w:val="en-US" w:eastAsia="en-US"/>
      </w:rPr>
      <mc:AlternateContent>
        <mc:Choice Requires="wps">
          <w:drawing>
            <wp:anchor distT="0" distB="0" distL="114300" distR="114300" simplePos="0" relativeHeight="251664383" behindDoc="0" locked="0" layoutInCell="1" allowOverlap="1" wp14:anchorId="47E8A62C" wp14:editId="433BB5A2">
              <wp:simplePos x="0" y="0"/>
              <wp:positionH relativeFrom="column">
                <wp:posOffset>-1096402</wp:posOffset>
              </wp:positionH>
              <wp:positionV relativeFrom="paragraph">
                <wp:posOffset>-540601</wp:posOffset>
              </wp:positionV>
              <wp:extent cx="7662797" cy="7842195"/>
              <wp:effectExtent l="0" t="0" r="0" b="6985"/>
              <wp:wrapNone/>
              <wp:docPr id="5" name="Freeform 5"/>
              <wp:cNvGraphicFramePr/>
              <a:graphic xmlns:a="http://schemas.openxmlformats.org/drawingml/2006/main">
                <a:graphicData uri="http://schemas.microsoft.com/office/word/2010/wordprocessingShape">
                  <wps:wsp>
                    <wps:cNvSpPr/>
                    <wps:spPr>
                      <a:xfrm>
                        <a:off x="0" y="0"/>
                        <a:ext cx="7662797" cy="7842195"/>
                      </a:xfrm>
                      <a:custGeom>
                        <a:avLst/>
                        <a:gdLst>
                          <a:gd name="connsiteX0" fmla="*/ 0 w 7402807"/>
                          <a:gd name="connsiteY0" fmla="*/ 5476 h 7616350"/>
                          <a:gd name="connsiteX1" fmla="*/ 0 w 7402807"/>
                          <a:gd name="connsiteY1" fmla="*/ 7616350 h 7616350"/>
                          <a:gd name="connsiteX2" fmla="*/ 7402807 w 7402807"/>
                          <a:gd name="connsiteY2" fmla="*/ 6422702 h 7616350"/>
                          <a:gd name="connsiteX3" fmla="*/ 7402807 w 7402807"/>
                          <a:gd name="connsiteY3" fmla="*/ 0 h 7616350"/>
                          <a:gd name="connsiteX4" fmla="*/ 0 w 7402807"/>
                          <a:gd name="connsiteY4" fmla="*/ 5476 h 7616350"/>
                          <a:gd name="connsiteX0" fmla="*/ 0 w 7474511"/>
                          <a:gd name="connsiteY0" fmla="*/ 5476 h 7616350"/>
                          <a:gd name="connsiteX1" fmla="*/ 0 w 7474511"/>
                          <a:gd name="connsiteY1" fmla="*/ 7616350 h 7616350"/>
                          <a:gd name="connsiteX2" fmla="*/ 7474511 w 7474511"/>
                          <a:gd name="connsiteY2" fmla="*/ 6816245 h 7616350"/>
                          <a:gd name="connsiteX3" fmla="*/ 7402807 w 7474511"/>
                          <a:gd name="connsiteY3" fmla="*/ 0 h 7616350"/>
                          <a:gd name="connsiteX4" fmla="*/ 0 w 7474511"/>
                          <a:gd name="connsiteY4" fmla="*/ 5476 h 7616350"/>
                          <a:gd name="connsiteX0" fmla="*/ 0 w 7442602"/>
                          <a:gd name="connsiteY0" fmla="*/ 5476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5476 h 7616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2602" h="7616350">
                            <a:moveTo>
                              <a:pt x="0" y="5476"/>
                            </a:moveTo>
                            <a:lnTo>
                              <a:pt x="0" y="7616350"/>
                            </a:lnTo>
                            <a:lnTo>
                              <a:pt x="7442602" y="6816245"/>
                            </a:lnTo>
                            <a:lnTo>
                              <a:pt x="7402807" y="0"/>
                            </a:lnTo>
                            <a:lnTo>
                              <a:pt x="0" y="5476"/>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FAA63" id="Freeform 5" o:spid="_x0000_s1026" style="position:absolute;margin-left:-86.35pt;margin-top:-42.55pt;width:603.35pt;height:617.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42602,761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" path="m,5476l,7616350,7442602,6816245,7402807,,,5476xe" fillcolor="#d0f0e8" stroked="f" strokeweight="1pt">
              <v:stroke joinstyle="miter"/>
              <v:path arrowok="t" o:connecttype="custom" o:connectlocs="0,5638;0,7842195;7662797,7018365;7621825,0;0,5638" o:connectangles="0,0,0,0,0"/>
            </v:shape>
          </w:pict>
        </mc:Fallback>
      </mc:AlternateContent>
    </w:r>
    <w:r w:rsidRPr="00457E8B">
      <w:rPr>
        <w:noProof/>
        <w:lang w:val="en-US" w:eastAsia="en-US"/>
      </w:rPr>
      <mc:AlternateContent>
        <mc:Choice Requires="wps">
          <w:drawing>
            <wp:anchor distT="45720" distB="45720" distL="114300" distR="114300" simplePos="0" relativeHeight="251667456" behindDoc="0" locked="0" layoutInCell="1" allowOverlap="1" wp14:anchorId="64B3E4E9" wp14:editId="6461AF69">
              <wp:simplePos x="0" y="0"/>
              <wp:positionH relativeFrom="column">
                <wp:posOffset>3493770</wp:posOffset>
              </wp:positionH>
              <wp:positionV relativeFrom="paragraph">
                <wp:posOffset>-342025</wp:posOffset>
              </wp:positionV>
              <wp:extent cx="2821940" cy="3556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355600"/>
                      </a:xfrm>
                      <a:prstGeom prst="rect">
                        <a:avLst/>
                      </a:prstGeom>
                      <a:noFill/>
                      <a:ln w="9525">
                        <a:noFill/>
                        <a:miter lim="800000"/>
                        <a:headEnd/>
                        <a:tailEnd/>
                      </a:ln>
                    </wps:spPr>
                    <wps:txbx>
                      <w:txbxContent>
                        <w:p w14:paraId="076EE01A" w14:textId="77777777" w:rsidR="002E6978" w:rsidRPr="00F72020" w:rsidRDefault="002E6978" w:rsidP="00457E8B">
                          <w:pPr>
                            <w:pStyle w:val="BodyText"/>
                            <w:jc w:val="right"/>
                            <w:rPr>
                              <w:color w:val="343333"/>
                              <w:sz w:val="20"/>
                              <w:szCs w:val="18"/>
                            </w:rPr>
                          </w:pPr>
                          <w:r w:rsidRPr="00F72020">
                            <w:rPr>
                              <w:color w:val="343333"/>
                              <w:sz w:val="20"/>
                              <w:szCs w:val="18"/>
                            </w:rPr>
                            <w:t>Public Service Commission</w:t>
                          </w:r>
                        </w:p>
                        <w:p w14:paraId="4398019D" w14:textId="77777777" w:rsidR="002E6978" w:rsidRDefault="002E6978" w:rsidP="00457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3E4E9" id="_x0000_t202" coordsize="21600,21600" o:spt="202" path="m,l,21600r21600,l21600,xe">
              <v:stroke joinstyle="miter"/>
              <v:path gradientshapeok="t" o:connecttype="rect"/>
            </v:shapetype>
            <v:shape id="_x0000_s1028" type="#_x0000_t202" style="position:absolute;margin-left:275.1pt;margin-top:-26.95pt;width:222.2pt;height: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" filled="f" stroked="f">
              <v:textbox>
                <w:txbxContent>
                  <w:p w14:paraId="076EE01A" w14:textId="77777777" w:rsidR="002E6978" w:rsidRPr="00F72020" w:rsidRDefault="002E6978" w:rsidP="00457E8B">
                    <w:pPr>
                      <w:pStyle w:val="BodyText"/>
                      <w:jc w:val="right"/>
                      <w:rPr>
                        <w:color w:val="343333"/>
                        <w:sz w:val="20"/>
                        <w:szCs w:val="18"/>
                      </w:rPr>
                    </w:pPr>
                    <w:r w:rsidRPr="00F72020">
                      <w:rPr>
                        <w:color w:val="343333"/>
                        <w:sz w:val="20"/>
                        <w:szCs w:val="18"/>
                      </w:rPr>
                      <w:t>Public Service Commission</w:t>
                    </w:r>
                  </w:p>
                  <w:p w14:paraId="4398019D" w14:textId="77777777" w:rsidR="002E6978" w:rsidRDefault="002E6978" w:rsidP="00457E8B"/>
                </w:txbxContent>
              </v:textbox>
              <w10:wrap type="square"/>
            </v:shape>
          </w:pict>
        </mc:Fallback>
      </mc:AlternateContent>
    </w:r>
    <w:r w:rsidRPr="00457E8B">
      <w:rPr>
        <w:noProof/>
        <w:lang w:val="en-US" w:eastAsia="en-US"/>
      </w:rPr>
      <mc:AlternateContent>
        <mc:Choice Requires="wps">
          <w:drawing>
            <wp:anchor distT="0" distB="0" distL="114300" distR="114300" simplePos="0" relativeHeight="251668480" behindDoc="0" locked="0" layoutInCell="1" allowOverlap="1" wp14:anchorId="12933726" wp14:editId="34B764C7">
              <wp:simplePos x="0" y="0"/>
              <wp:positionH relativeFrom="column">
                <wp:posOffset>4690505</wp:posOffset>
              </wp:positionH>
              <wp:positionV relativeFrom="paragraph">
                <wp:posOffset>-57785</wp:posOffset>
              </wp:positionV>
              <wp:extent cx="1790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790700" cy="0"/>
                      </a:xfrm>
                      <a:prstGeom prst="line">
                        <a:avLst/>
                      </a:prstGeom>
                      <a:ln w="9525">
                        <a:solidFill>
                          <a:srgbClr val="3433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B19F4"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9.35pt,-4.55pt" to="510.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" strokecolor="#343333">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EB5E" w14:textId="7763AA4C" w:rsidR="002E6978" w:rsidRDefault="002E69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3197" w14:textId="45890F09" w:rsidR="002E6978" w:rsidRDefault="002E69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B3C5" w14:textId="01CED8E6" w:rsidR="002E6978" w:rsidRDefault="002E6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4ED309B"/>
    <w:multiLevelType w:val="hybridMultilevel"/>
    <w:tmpl w:val="D772D06A"/>
    <w:lvl w:ilvl="0" w:tplc="0C09000F">
      <w:start w:val="1"/>
      <w:numFmt w:val="decimal"/>
      <w:lvlText w:val="%1."/>
      <w:lvlJc w:val="left"/>
      <w:pPr>
        <w:ind w:left="360" w:hanging="360"/>
      </w:pPr>
      <w:rPr>
        <w:rFonts w:hint="default"/>
      </w:rPr>
    </w:lvl>
    <w:lvl w:ilvl="1" w:tplc="A39C186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71D1472"/>
    <w:multiLevelType w:val="hybridMultilevel"/>
    <w:tmpl w:val="010A5C36"/>
    <w:lvl w:ilvl="0" w:tplc="04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1BE515B"/>
    <w:multiLevelType w:val="hybridMultilevel"/>
    <w:tmpl w:val="D480DF5E"/>
    <w:lvl w:ilvl="0" w:tplc="9D1CDC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4" w15:restartNumberingAfterBreak="0">
    <w:nsid w:val="34A13A1F"/>
    <w:multiLevelType w:val="hybridMultilevel"/>
    <w:tmpl w:val="E10E60FA"/>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6" w15:restartNumberingAfterBreak="0">
    <w:nsid w:val="3DFE011A"/>
    <w:multiLevelType w:val="multilevel"/>
    <w:tmpl w:val="661E0A9A"/>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2197B1C"/>
    <w:multiLevelType w:val="hybridMultilevel"/>
    <w:tmpl w:val="65A851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2D36756"/>
    <w:multiLevelType w:val="hybridMultilevel"/>
    <w:tmpl w:val="2996C1AC"/>
    <w:lvl w:ilvl="0" w:tplc="04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A345E9C"/>
    <w:multiLevelType w:val="hybridMultilevel"/>
    <w:tmpl w:val="C8282106"/>
    <w:lvl w:ilvl="0" w:tplc="04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53F47287"/>
    <w:multiLevelType w:val="hybridMultilevel"/>
    <w:tmpl w:val="58E24B44"/>
    <w:lvl w:ilvl="0" w:tplc="DC0C3C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551F44CD"/>
    <w:multiLevelType w:val="hybridMultilevel"/>
    <w:tmpl w:val="A328B0F6"/>
    <w:lvl w:ilvl="0" w:tplc="967A556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BC4AE0"/>
    <w:multiLevelType w:val="hybridMultilevel"/>
    <w:tmpl w:val="69B01F16"/>
    <w:lvl w:ilvl="0" w:tplc="04090017">
      <w:start w:val="1"/>
      <w:numFmt w:val="lowerLetter"/>
      <w:lvlText w:val="%1)"/>
      <w:lvlJc w:val="left"/>
      <w:pPr>
        <w:ind w:left="1069" w:hanging="360"/>
      </w:pPr>
      <w:rPr>
        <w:rFont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5E0C35D1"/>
    <w:multiLevelType w:val="hybridMultilevel"/>
    <w:tmpl w:val="C0FE67C0"/>
    <w:lvl w:ilvl="0" w:tplc="04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8"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9"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0"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13E1549"/>
    <w:multiLevelType w:val="hybridMultilevel"/>
    <w:tmpl w:val="AF12F738"/>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7A7B1907"/>
    <w:multiLevelType w:val="hybridMultilevel"/>
    <w:tmpl w:val="98B8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B227DB"/>
    <w:multiLevelType w:val="hybridMultilevel"/>
    <w:tmpl w:val="2118FA04"/>
    <w:lvl w:ilvl="0" w:tplc="9C1ED364">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0522010">
    <w:abstractNumId w:val="32"/>
  </w:num>
  <w:num w:numId="2" w16cid:durableId="905722130">
    <w:abstractNumId w:val="8"/>
  </w:num>
  <w:num w:numId="3" w16cid:durableId="849829732">
    <w:abstractNumId w:val="30"/>
  </w:num>
  <w:num w:numId="4" w16cid:durableId="1784616002">
    <w:abstractNumId w:val="22"/>
  </w:num>
  <w:num w:numId="5" w16cid:durableId="113792011">
    <w:abstractNumId w:val="19"/>
  </w:num>
  <w:num w:numId="6" w16cid:durableId="1417357422">
    <w:abstractNumId w:val="7"/>
  </w:num>
  <w:num w:numId="7" w16cid:durableId="703091893">
    <w:abstractNumId w:val="6"/>
  </w:num>
  <w:num w:numId="8" w16cid:durableId="520171734">
    <w:abstractNumId w:val="5"/>
  </w:num>
  <w:num w:numId="9" w16cid:durableId="1351834021">
    <w:abstractNumId w:val="4"/>
  </w:num>
  <w:num w:numId="10" w16cid:durableId="189071557">
    <w:abstractNumId w:val="3"/>
  </w:num>
  <w:num w:numId="11" w16cid:durableId="1512985052">
    <w:abstractNumId w:val="2"/>
  </w:num>
  <w:num w:numId="12" w16cid:durableId="2117600512">
    <w:abstractNumId w:val="1"/>
  </w:num>
  <w:num w:numId="13" w16cid:durableId="592208037">
    <w:abstractNumId w:val="0"/>
  </w:num>
  <w:num w:numId="14" w16cid:durableId="164781250">
    <w:abstractNumId w:val="11"/>
  </w:num>
  <w:num w:numId="15" w16cid:durableId="1797915789">
    <w:abstractNumId w:val="13"/>
  </w:num>
  <w:num w:numId="16" w16cid:durableId="948705606">
    <w:abstractNumId w:val="28"/>
  </w:num>
  <w:num w:numId="17" w16cid:durableId="2073234702">
    <w:abstractNumId w:val="29"/>
  </w:num>
  <w:num w:numId="18" w16cid:durableId="1344362966">
    <w:abstractNumId w:val="20"/>
  </w:num>
  <w:num w:numId="19" w16cid:durableId="1527868557">
    <w:abstractNumId w:val="27"/>
  </w:num>
  <w:num w:numId="20" w16cid:durableId="1330450778">
    <w:abstractNumId w:val="15"/>
  </w:num>
  <w:num w:numId="21" w16cid:durableId="1472282752">
    <w:abstractNumId w:val="34"/>
  </w:num>
  <w:num w:numId="22" w16cid:durableId="101347228">
    <w:abstractNumId w:val="24"/>
  </w:num>
  <w:num w:numId="23" w16cid:durableId="2124765174">
    <w:abstractNumId w:val="16"/>
  </w:num>
  <w:num w:numId="24" w16cid:durableId="1461995025">
    <w:abstractNumId w:val="23"/>
  </w:num>
  <w:num w:numId="25" w16cid:durableId="106580210">
    <w:abstractNumId w:val="18"/>
  </w:num>
  <w:num w:numId="26" w16cid:durableId="671957182">
    <w:abstractNumId w:val="26"/>
  </w:num>
  <w:num w:numId="27" w16cid:durableId="1429541214">
    <w:abstractNumId w:val="10"/>
  </w:num>
  <w:num w:numId="28" w16cid:durableId="993723182">
    <w:abstractNumId w:val="12"/>
  </w:num>
  <w:num w:numId="29" w16cid:durableId="1646812040">
    <w:abstractNumId w:val="21"/>
  </w:num>
  <w:num w:numId="30" w16cid:durableId="751317041">
    <w:abstractNumId w:val="25"/>
  </w:num>
  <w:num w:numId="31" w16cid:durableId="109398949">
    <w:abstractNumId w:val="31"/>
  </w:num>
  <w:num w:numId="32" w16cid:durableId="400491067">
    <w:abstractNumId w:val="9"/>
  </w:num>
  <w:num w:numId="33" w16cid:durableId="1565608200">
    <w:abstractNumId w:val="14"/>
  </w:num>
  <w:num w:numId="34" w16cid:durableId="1307902643">
    <w:abstractNumId w:val="17"/>
  </w:num>
  <w:num w:numId="35" w16cid:durableId="1091389599">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roke="f">
      <v:stroke on="f"/>
      <o:colormru v:ext="edit" colors="#635d63,#304f92,#ff001a,#036,#ddd,silver,#b2b2b2,#d9da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F8"/>
    <w:rsid w:val="00000252"/>
    <w:rsid w:val="00002875"/>
    <w:rsid w:val="00003033"/>
    <w:rsid w:val="0000348F"/>
    <w:rsid w:val="000064FE"/>
    <w:rsid w:val="0000710E"/>
    <w:rsid w:val="00010485"/>
    <w:rsid w:val="00011B35"/>
    <w:rsid w:val="00013429"/>
    <w:rsid w:val="000140C9"/>
    <w:rsid w:val="00015349"/>
    <w:rsid w:val="00016130"/>
    <w:rsid w:val="000169CF"/>
    <w:rsid w:val="00020076"/>
    <w:rsid w:val="00020BD2"/>
    <w:rsid w:val="000214F6"/>
    <w:rsid w:val="0002251B"/>
    <w:rsid w:val="00022EE1"/>
    <w:rsid w:val="000261A8"/>
    <w:rsid w:val="000270F3"/>
    <w:rsid w:val="000277C5"/>
    <w:rsid w:val="000301F2"/>
    <w:rsid w:val="00031433"/>
    <w:rsid w:val="000321F2"/>
    <w:rsid w:val="00035088"/>
    <w:rsid w:val="00035289"/>
    <w:rsid w:val="0003780E"/>
    <w:rsid w:val="000410B8"/>
    <w:rsid w:val="00043A54"/>
    <w:rsid w:val="0004472A"/>
    <w:rsid w:val="00045A69"/>
    <w:rsid w:val="00046ADD"/>
    <w:rsid w:val="000479CA"/>
    <w:rsid w:val="0005208F"/>
    <w:rsid w:val="000539CC"/>
    <w:rsid w:val="00053EE1"/>
    <w:rsid w:val="000545F8"/>
    <w:rsid w:val="00055235"/>
    <w:rsid w:val="00056A05"/>
    <w:rsid w:val="00056F6D"/>
    <w:rsid w:val="00057D50"/>
    <w:rsid w:val="00057EA7"/>
    <w:rsid w:val="00061B46"/>
    <w:rsid w:val="00062FDA"/>
    <w:rsid w:val="00073784"/>
    <w:rsid w:val="00075869"/>
    <w:rsid w:val="000765BD"/>
    <w:rsid w:val="000802A7"/>
    <w:rsid w:val="000804F9"/>
    <w:rsid w:val="000816BE"/>
    <w:rsid w:val="00082422"/>
    <w:rsid w:val="0008490F"/>
    <w:rsid w:val="00090115"/>
    <w:rsid w:val="00090448"/>
    <w:rsid w:val="00092BE6"/>
    <w:rsid w:val="0009399E"/>
    <w:rsid w:val="00094489"/>
    <w:rsid w:val="00096AB9"/>
    <w:rsid w:val="00096C5A"/>
    <w:rsid w:val="00096D73"/>
    <w:rsid w:val="00097977"/>
    <w:rsid w:val="00097C69"/>
    <w:rsid w:val="000A2B22"/>
    <w:rsid w:val="000A3C7B"/>
    <w:rsid w:val="000A5A7A"/>
    <w:rsid w:val="000A7F97"/>
    <w:rsid w:val="000B1A79"/>
    <w:rsid w:val="000B1ADA"/>
    <w:rsid w:val="000B2C2A"/>
    <w:rsid w:val="000B3458"/>
    <w:rsid w:val="000B3E18"/>
    <w:rsid w:val="000B4B07"/>
    <w:rsid w:val="000B6408"/>
    <w:rsid w:val="000B750D"/>
    <w:rsid w:val="000B7C99"/>
    <w:rsid w:val="000C0B68"/>
    <w:rsid w:val="000C100A"/>
    <w:rsid w:val="000C57BC"/>
    <w:rsid w:val="000C57ED"/>
    <w:rsid w:val="000C5E83"/>
    <w:rsid w:val="000C5EBB"/>
    <w:rsid w:val="000C5FAF"/>
    <w:rsid w:val="000C617C"/>
    <w:rsid w:val="000D0CFC"/>
    <w:rsid w:val="000D1E48"/>
    <w:rsid w:val="000D5E58"/>
    <w:rsid w:val="000D614D"/>
    <w:rsid w:val="000D70C4"/>
    <w:rsid w:val="000D79C2"/>
    <w:rsid w:val="000E181D"/>
    <w:rsid w:val="000E1F2D"/>
    <w:rsid w:val="000E3E13"/>
    <w:rsid w:val="000E4E21"/>
    <w:rsid w:val="000E7280"/>
    <w:rsid w:val="000F0777"/>
    <w:rsid w:val="000F1323"/>
    <w:rsid w:val="000F1EBE"/>
    <w:rsid w:val="000F2295"/>
    <w:rsid w:val="000F2BD8"/>
    <w:rsid w:val="000F5294"/>
    <w:rsid w:val="000F5523"/>
    <w:rsid w:val="000F5C71"/>
    <w:rsid w:val="000F67CE"/>
    <w:rsid w:val="000F6813"/>
    <w:rsid w:val="001008F7"/>
    <w:rsid w:val="00100B5B"/>
    <w:rsid w:val="00100F11"/>
    <w:rsid w:val="00102C7E"/>
    <w:rsid w:val="001037B8"/>
    <w:rsid w:val="00103814"/>
    <w:rsid w:val="00106E06"/>
    <w:rsid w:val="001073D0"/>
    <w:rsid w:val="001116C4"/>
    <w:rsid w:val="00112543"/>
    <w:rsid w:val="00112D5A"/>
    <w:rsid w:val="00113BBB"/>
    <w:rsid w:val="001173D7"/>
    <w:rsid w:val="001177B8"/>
    <w:rsid w:val="00120F5D"/>
    <w:rsid w:val="00122F74"/>
    <w:rsid w:val="001240B0"/>
    <w:rsid w:val="0012507D"/>
    <w:rsid w:val="001260CC"/>
    <w:rsid w:val="00126681"/>
    <w:rsid w:val="00127554"/>
    <w:rsid w:val="00131413"/>
    <w:rsid w:val="00136D1B"/>
    <w:rsid w:val="00137542"/>
    <w:rsid w:val="00137E7E"/>
    <w:rsid w:val="00137F27"/>
    <w:rsid w:val="00141D5F"/>
    <w:rsid w:val="00142177"/>
    <w:rsid w:val="0014405F"/>
    <w:rsid w:val="00144FC0"/>
    <w:rsid w:val="001466AD"/>
    <w:rsid w:val="001471F0"/>
    <w:rsid w:val="00147E96"/>
    <w:rsid w:val="00150440"/>
    <w:rsid w:val="00151143"/>
    <w:rsid w:val="00153F1A"/>
    <w:rsid w:val="001543C3"/>
    <w:rsid w:val="001552F8"/>
    <w:rsid w:val="001554EB"/>
    <w:rsid w:val="001577C7"/>
    <w:rsid w:val="00163ACB"/>
    <w:rsid w:val="0016406D"/>
    <w:rsid w:val="00164E96"/>
    <w:rsid w:val="0016604C"/>
    <w:rsid w:val="00166527"/>
    <w:rsid w:val="00171AF8"/>
    <w:rsid w:val="0017467B"/>
    <w:rsid w:val="00174DCE"/>
    <w:rsid w:val="00174F10"/>
    <w:rsid w:val="001760F2"/>
    <w:rsid w:val="00177DE6"/>
    <w:rsid w:val="00180310"/>
    <w:rsid w:val="001809CC"/>
    <w:rsid w:val="00181888"/>
    <w:rsid w:val="001818C1"/>
    <w:rsid w:val="0018310D"/>
    <w:rsid w:val="0018453C"/>
    <w:rsid w:val="0018645A"/>
    <w:rsid w:val="001874F7"/>
    <w:rsid w:val="00187F7F"/>
    <w:rsid w:val="0019189B"/>
    <w:rsid w:val="00191FC7"/>
    <w:rsid w:val="001923D3"/>
    <w:rsid w:val="001923E6"/>
    <w:rsid w:val="00192604"/>
    <w:rsid w:val="001970A2"/>
    <w:rsid w:val="001A129E"/>
    <w:rsid w:val="001A19E8"/>
    <w:rsid w:val="001A201C"/>
    <w:rsid w:val="001A2419"/>
    <w:rsid w:val="001A38DE"/>
    <w:rsid w:val="001A4072"/>
    <w:rsid w:val="001A56DE"/>
    <w:rsid w:val="001A588D"/>
    <w:rsid w:val="001A7003"/>
    <w:rsid w:val="001B09DE"/>
    <w:rsid w:val="001B222E"/>
    <w:rsid w:val="001B6104"/>
    <w:rsid w:val="001B68F5"/>
    <w:rsid w:val="001C09DE"/>
    <w:rsid w:val="001C1842"/>
    <w:rsid w:val="001C19C9"/>
    <w:rsid w:val="001C1D42"/>
    <w:rsid w:val="001C3B69"/>
    <w:rsid w:val="001C76BD"/>
    <w:rsid w:val="001D34D9"/>
    <w:rsid w:val="001D5302"/>
    <w:rsid w:val="001D5318"/>
    <w:rsid w:val="001D6B87"/>
    <w:rsid w:val="001E0106"/>
    <w:rsid w:val="001E4B8C"/>
    <w:rsid w:val="001F16B0"/>
    <w:rsid w:val="001F49FF"/>
    <w:rsid w:val="00200894"/>
    <w:rsid w:val="00200908"/>
    <w:rsid w:val="0020353B"/>
    <w:rsid w:val="00204C07"/>
    <w:rsid w:val="00205692"/>
    <w:rsid w:val="002057C4"/>
    <w:rsid w:val="002062AB"/>
    <w:rsid w:val="002133BC"/>
    <w:rsid w:val="00214571"/>
    <w:rsid w:val="002164CE"/>
    <w:rsid w:val="00216CF8"/>
    <w:rsid w:val="00217DAA"/>
    <w:rsid w:val="00222E0E"/>
    <w:rsid w:val="00222F4A"/>
    <w:rsid w:val="0022473D"/>
    <w:rsid w:val="0022549D"/>
    <w:rsid w:val="00226830"/>
    <w:rsid w:val="002312AB"/>
    <w:rsid w:val="00231AC3"/>
    <w:rsid w:val="002329CB"/>
    <w:rsid w:val="0023375C"/>
    <w:rsid w:val="002348A0"/>
    <w:rsid w:val="002348FE"/>
    <w:rsid w:val="0023671E"/>
    <w:rsid w:val="00237C9C"/>
    <w:rsid w:val="00245650"/>
    <w:rsid w:val="0024573F"/>
    <w:rsid w:val="00245D72"/>
    <w:rsid w:val="00245F18"/>
    <w:rsid w:val="002467B6"/>
    <w:rsid w:val="00246C64"/>
    <w:rsid w:val="002504CF"/>
    <w:rsid w:val="00251CED"/>
    <w:rsid w:val="00252FE4"/>
    <w:rsid w:val="00253588"/>
    <w:rsid w:val="00253824"/>
    <w:rsid w:val="00255A6C"/>
    <w:rsid w:val="00255C0D"/>
    <w:rsid w:val="00256002"/>
    <w:rsid w:val="00256947"/>
    <w:rsid w:val="00257B97"/>
    <w:rsid w:val="002603ED"/>
    <w:rsid w:val="00260E0C"/>
    <w:rsid w:val="002617CC"/>
    <w:rsid w:val="00261A34"/>
    <w:rsid w:val="002624F9"/>
    <w:rsid w:val="00262E27"/>
    <w:rsid w:val="00265658"/>
    <w:rsid w:val="0027006C"/>
    <w:rsid w:val="00270E40"/>
    <w:rsid w:val="002733B0"/>
    <w:rsid w:val="00273BC6"/>
    <w:rsid w:val="0027544A"/>
    <w:rsid w:val="002754EF"/>
    <w:rsid w:val="00275D4D"/>
    <w:rsid w:val="00276727"/>
    <w:rsid w:val="00277AE5"/>
    <w:rsid w:val="00281BBD"/>
    <w:rsid w:val="002820D0"/>
    <w:rsid w:val="00282AE7"/>
    <w:rsid w:val="002875FC"/>
    <w:rsid w:val="00287D51"/>
    <w:rsid w:val="002950F0"/>
    <w:rsid w:val="002969F0"/>
    <w:rsid w:val="002A0500"/>
    <w:rsid w:val="002A0951"/>
    <w:rsid w:val="002A2A37"/>
    <w:rsid w:val="002A3669"/>
    <w:rsid w:val="002A6B0D"/>
    <w:rsid w:val="002A752A"/>
    <w:rsid w:val="002B0481"/>
    <w:rsid w:val="002B5503"/>
    <w:rsid w:val="002B6135"/>
    <w:rsid w:val="002C0037"/>
    <w:rsid w:val="002C0229"/>
    <w:rsid w:val="002C39DD"/>
    <w:rsid w:val="002C3B37"/>
    <w:rsid w:val="002C5B06"/>
    <w:rsid w:val="002D04F4"/>
    <w:rsid w:val="002D0DBC"/>
    <w:rsid w:val="002D0EAB"/>
    <w:rsid w:val="002D1CB2"/>
    <w:rsid w:val="002D2009"/>
    <w:rsid w:val="002D28E7"/>
    <w:rsid w:val="002D5D2B"/>
    <w:rsid w:val="002D7471"/>
    <w:rsid w:val="002D75A5"/>
    <w:rsid w:val="002E0B8E"/>
    <w:rsid w:val="002E131D"/>
    <w:rsid w:val="002E462E"/>
    <w:rsid w:val="002E5247"/>
    <w:rsid w:val="002E6978"/>
    <w:rsid w:val="002E7D9A"/>
    <w:rsid w:val="002F06B5"/>
    <w:rsid w:val="002F1FF8"/>
    <w:rsid w:val="002F3059"/>
    <w:rsid w:val="002F4FED"/>
    <w:rsid w:val="003006D9"/>
    <w:rsid w:val="00300AC2"/>
    <w:rsid w:val="00302698"/>
    <w:rsid w:val="0030337A"/>
    <w:rsid w:val="00303FD5"/>
    <w:rsid w:val="00304726"/>
    <w:rsid w:val="00304E21"/>
    <w:rsid w:val="00304EB3"/>
    <w:rsid w:val="0030552B"/>
    <w:rsid w:val="00306064"/>
    <w:rsid w:val="00310EB5"/>
    <w:rsid w:val="003116B6"/>
    <w:rsid w:val="00311944"/>
    <w:rsid w:val="00311A22"/>
    <w:rsid w:val="00311EE9"/>
    <w:rsid w:val="003128B3"/>
    <w:rsid w:val="00313BC4"/>
    <w:rsid w:val="00314ECB"/>
    <w:rsid w:val="003163A9"/>
    <w:rsid w:val="00316576"/>
    <w:rsid w:val="00321245"/>
    <w:rsid w:val="00321408"/>
    <w:rsid w:val="0032197F"/>
    <w:rsid w:val="00322490"/>
    <w:rsid w:val="00323FF4"/>
    <w:rsid w:val="00325F62"/>
    <w:rsid w:val="00326EAD"/>
    <w:rsid w:val="0033098C"/>
    <w:rsid w:val="00331C29"/>
    <w:rsid w:val="00344B9E"/>
    <w:rsid w:val="00344BDB"/>
    <w:rsid w:val="0034527B"/>
    <w:rsid w:val="00345B7D"/>
    <w:rsid w:val="00345D6E"/>
    <w:rsid w:val="0034776B"/>
    <w:rsid w:val="003503E4"/>
    <w:rsid w:val="0035228D"/>
    <w:rsid w:val="0035320C"/>
    <w:rsid w:val="0035366D"/>
    <w:rsid w:val="00353762"/>
    <w:rsid w:val="0035671F"/>
    <w:rsid w:val="003731DF"/>
    <w:rsid w:val="00373509"/>
    <w:rsid w:val="00375B79"/>
    <w:rsid w:val="00375EC1"/>
    <w:rsid w:val="00376230"/>
    <w:rsid w:val="00376370"/>
    <w:rsid w:val="00377535"/>
    <w:rsid w:val="00377DF6"/>
    <w:rsid w:val="0038003B"/>
    <w:rsid w:val="003811EA"/>
    <w:rsid w:val="0038180F"/>
    <w:rsid w:val="00382982"/>
    <w:rsid w:val="00382B3E"/>
    <w:rsid w:val="00382CAB"/>
    <w:rsid w:val="0038474F"/>
    <w:rsid w:val="00393DB5"/>
    <w:rsid w:val="00394531"/>
    <w:rsid w:val="003946B1"/>
    <w:rsid w:val="00395547"/>
    <w:rsid w:val="00396EA1"/>
    <w:rsid w:val="0039730A"/>
    <w:rsid w:val="003A01F2"/>
    <w:rsid w:val="003A0415"/>
    <w:rsid w:val="003A0959"/>
    <w:rsid w:val="003A0C94"/>
    <w:rsid w:val="003A40D4"/>
    <w:rsid w:val="003A4F18"/>
    <w:rsid w:val="003A6DA7"/>
    <w:rsid w:val="003A71EA"/>
    <w:rsid w:val="003A7342"/>
    <w:rsid w:val="003A7EAC"/>
    <w:rsid w:val="003B0BC9"/>
    <w:rsid w:val="003B2192"/>
    <w:rsid w:val="003B32B0"/>
    <w:rsid w:val="003B3C6E"/>
    <w:rsid w:val="003B57F3"/>
    <w:rsid w:val="003B6243"/>
    <w:rsid w:val="003B6B5B"/>
    <w:rsid w:val="003B6EF1"/>
    <w:rsid w:val="003B7346"/>
    <w:rsid w:val="003B7541"/>
    <w:rsid w:val="003B7C64"/>
    <w:rsid w:val="003C0E5D"/>
    <w:rsid w:val="003C1539"/>
    <w:rsid w:val="003C66BB"/>
    <w:rsid w:val="003C699C"/>
    <w:rsid w:val="003C7188"/>
    <w:rsid w:val="003D0992"/>
    <w:rsid w:val="003D22FA"/>
    <w:rsid w:val="003D34D6"/>
    <w:rsid w:val="003D451C"/>
    <w:rsid w:val="003D452C"/>
    <w:rsid w:val="003D65DC"/>
    <w:rsid w:val="003D79DD"/>
    <w:rsid w:val="003E0263"/>
    <w:rsid w:val="003E0DB7"/>
    <w:rsid w:val="003E3A82"/>
    <w:rsid w:val="003E49FE"/>
    <w:rsid w:val="003E4D77"/>
    <w:rsid w:val="003E5FD7"/>
    <w:rsid w:val="003E7375"/>
    <w:rsid w:val="003F078B"/>
    <w:rsid w:val="003F0B02"/>
    <w:rsid w:val="003F177F"/>
    <w:rsid w:val="003F22E2"/>
    <w:rsid w:val="003F2557"/>
    <w:rsid w:val="003F409F"/>
    <w:rsid w:val="003F5185"/>
    <w:rsid w:val="00400E98"/>
    <w:rsid w:val="00401ED0"/>
    <w:rsid w:val="00403CFA"/>
    <w:rsid w:val="00403F80"/>
    <w:rsid w:val="0040446A"/>
    <w:rsid w:val="00404948"/>
    <w:rsid w:val="00404EEB"/>
    <w:rsid w:val="00405456"/>
    <w:rsid w:val="00406248"/>
    <w:rsid w:val="00407C42"/>
    <w:rsid w:val="00410EF7"/>
    <w:rsid w:val="00411BBA"/>
    <w:rsid w:val="004133AB"/>
    <w:rsid w:val="00414D3E"/>
    <w:rsid w:val="004164D4"/>
    <w:rsid w:val="004176E2"/>
    <w:rsid w:val="004203B7"/>
    <w:rsid w:val="0042097F"/>
    <w:rsid w:val="00421B86"/>
    <w:rsid w:val="00425151"/>
    <w:rsid w:val="004253CE"/>
    <w:rsid w:val="0042620F"/>
    <w:rsid w:val="004320F9"/>
    <w:rsid w:val="00433837"/>
    <w:rsid w:val="00440AB7"/>
    <w:rsid w:val="004433C4"/>
    <w:rsid w:val="00443BFD"/>
    <w:rsid w:val="00443EDB"/>
    <w:rsid w:val="0044779A"/>
    <w:rsid w:val="0045096F"/>
    <w:rsid w:val="00453911"/>
    <w:rsid w:val="00453BB5"/>
    <w:rsid w:val="00455A03"/>
    <w:rsid w:val="00455B17"/>
    <w:rsid w:val="00455C4C"/>
    <w:rsid w:val="0045620B"/>
    <w:rsid w:val="004572AE"/>
    <w:rsid w:val="00457E8B"/>
    <w:rsid w:val="00460110"/>
    <w:rsid w:val="00460142"/>
    <w:rsid w:val="0046195E"/>
    <w:rsid w:val="00462869"/>
    <w:rsid w:val="0046349D"/>
    <w:rsid w:val="0046357F"/>
    <w:rsid w:val="00463DB2"/>
    <w:rsid w:val="004643F1"/>
    <w:rsid w:val="00465966"/>
    <w:rsid w:val="00465A05"/>
    <w:rsid w:val="00471783"/>
    <w:rsid w:val="00471FF9"/>
    <w:rsid w:val="00472015"/>
    <w:rsid w:val="00472623"/>
    <w:rsid w:val="00472D3E"/>
    <w:rsid w:val="00475AFE"/>
    <w:rsid w:val="00476AE4"/>
    <w:rsid w:val="00477F6A"/>
    <w:rsid w:val="004866C2"/>
    <w:rsid w:val="00486A58"/>
    <w:rsid w:val="00490CE4"/>
    <w:rsid w:val="00490EF4"/>
    <w:rsid w:val="004940B2"/>
    <w:rsid w:val="004955AC"/>
    <w:rsid w:val="00495C99"/>
    <w:rsid w:val="00495EF0"/>
    <w:rsid w:val="004A025E"/>
    <w:rsid w:val="004A2145"/>
    <w:rsid w:val="004A2352"/>
    <w:rsid w:val="004A2AE0"/>
    <w:rsid w:val="004A302C"/>
    <w:rsid w:val="004A4392"/>
    <w:rsid w:val="004A55D6"/>
    <w:rsid w:val="004A581A"/>
    <w:rsid w:val="004A6454"/>
    <w:rsid w:val="004A65AE"/>
    <w:rsid w:val="004A7AF8"/>
    <w:rsid w:val="004A7BFA"/>
    <w:rsid w:val="004B0769"/>
    <w:rsid w:val="004B17D9"/>
    <w:rsid w:val="004B292D"/>
    <w:rsid w:val="004B3717"/>
    <w:rsid w:val="004B4075"/>
    <w:rsid w:val="004B5A71"/>
    <w:rsid w:val="004B5C53"/>
    <w:rsid w:val="004B5CE1"/>
    <w:rsid w:val="004B79BE"/>
    <w:rsid w:val="004C057C"/>
    <w:rsid w:val="004C0C1B"/>
    <w:rsid w:val="004C134F"/>
    <w:rsid w:val="004C4225"/>
    <w:rsid w:val="004C6B62"/>
    <w:rsid w:val="004C74D5"/>
    <w:rsid w:val="004C7830"/>
    <w:rsid w:val="004D1548"/>
    <w:rsid w:val="004D1AF2"/>
    <w:rsid w:val="004D1BC1"/>
    <w:rsid w:val="004D238A"/>
    <w:rsid w:val="004D2948"/>
    <w:rsid w:val="004D2B8F"/>
    <w:rsid w:val="004D3367"/>
    <w:rsid w:val="004D4D61"/>
    <w:rsid w:val="004D6A33"/>
    <w:rsid w:val="004E0939"/>
    <w:rsid w:val="004E0A06"/>
    <w:rsid w:val="004E55F8"/>
    <w:rsid w:val="004E62E2"/>
    <w:rsid w:val="004E7309"/>
    <w:rsid w:val="004E77B3"/>
    <w:rsid w:val="004F2124"/>
    <w:rsid w:val="004F2E75"/>
    <w:rsid w:val="004F42A2"/>
    <w:rsid w:val="004F76FA"/>
    <w:rsid w:val="004F7CFC"/>
    <w:rsid w:val="005006D9"/>
    <w:rsid w:val="0050158C"/>
    <w:rsid w:val="005015E8"/>
    <w:rsid w:val="005024D0"/>
    <w:rsid w:val="00505BAC"/>
    <w:rsid w:val="00507906"/>
    <w:rsid w:val="00511ED7"/>
    <w:rsid w:val="00512B34"/>
    <w:rsid w:val="00513343"/>
    <w:rsid w:val="005135BC"/>
    <w:rsid w:val="0051469E"/>
    <w:rsid w:val="0051492C"/>
    <w:rsid w:val="005149D1"/>
    <w:rsid w:val="0051512C"/>
    <w:rsid w:val="00515B27"/>
    <w:rsid w:val="005203A3"/>
    <w:rsid w:val="00522D98"/>
    <w:rsid w:val="005231B2"/>
    <w:rsid w:val="00523B9A"/>
    <w:rsid w:val="00525529"/>
    <w:rsid w:val="00525989"/>
    <w:rsid w:val="00527AAB"/>
    <w:rsid w:val="00530FCC"/>
    <w:rsid w:val="00531009"/>
    <w:rsid w:val="0053105B"/>
    <w:rsid w:val="00534E8D"/>
    <w:rsid w:val="005352BB"/>
    <w:rsid w:val="0053684B"/>
    <w:rsid w:val="00536A08"/>
    <w:rsid w:val="00537987"/>
    <w:rsid w:val="00537EDF"/>
    <w:rsid w:val="00542CF8"/>
    <w:rsid w:val="00544111"/>
    <w:rsid w:val="00544192"/>
    <w:rsid w:val="00545E53"/>
    <w:rsid w:val="005463B9"/>
    <w:rsid w:val="00550A22"/>
    <w:rsid w:val="00551EF0"/>
    <w:rsid w:val="00552619"/>
    <w:rsid w:val="00552EC5"/>
    <w:rsid w:val="0055307E"/>
    <w:rsid w:val="00553729"/>
    <w:rsid w:val="005556D0"/>
    <w:rsid w:val="005569CB"/>
    <w:rsid w:val="00556D46"/>
    <w:rsid w:val="00557A84"/>
    <w:rsid w:val="00560EFE"/>
    <w:rsid w:val="00564274"/>
    <w:rsid w:val="005657C9"/>
    <w:rsid w:val="00565919"/>
    <w:rsid w:val="00565949"/>
    <w:rsid w:val="00566831"/>
    <w:rsid w:val="00566B92"/>
    <w:rsid w:val="00567DFD"/>
    <w:rsid w:val="00570641"/>
    <w:rsid w:val="00574D38"/>
    <w:rsid w:val="00575F28"/>
    <w:rsid w:val="00577166"/>
    <w:rsid w:val="00577331"/>
    <w:rsid w:val="00577744"/>
    <w:rsid w:val="00577BC9"/>
    <w:rsid w:val="00580731"/>
    <w:rsid w:val="00582DF0"/>
    <w:rsid w:val="0058339C"/>
    <w:rsid w:val="0058390A"/>
    <w:rsid w:val="005845B3"/>
    <w:rsid w:val="00584CEA"/>
    <w:rsid w:val="00584D4C"/>
    <w:rsid w:val="005864B6"/>
    <w:rsid w:val="00586CC6"/>
    <w:rsid w:val="00590915"/>
    <w:rsid w:val="00590FC4"/>
    <w:rsid w:val="00591646"/>
    <w:rsid w:val="00593360"/>
    <w:rsid w:val="005947EF"/>
    <w:rsid w:val="00594E8A"/>
    <w:rsid w:val="00596ED5"/>
    <w:rsid w:val="005A0E10"/>
    <w:rsid w:val="005A2278"/>
    <w:rsid w:val="005A22D8"/>
    <w:rsid w:val="005A25E9"/>
    <w:rsid w:val="005A44B1"/>
    <w:rsid w:val="005A55C4"/>
    <w:rsid w:val="005A6B1E"/>
    <w:rsid w:val="005A7F13"/>
    <w:rsid w:val="005B0142"/>
    <w:rsid w:val="005B16BC"/>
    <w:rsid w:val="005B1B0B"/>
    <w:rsid w:val="005B248C"/>
    <w:rsid w:val="005B3CC5"/>
    <w:rsid w:val="005B555C"/>
    <w:rsid w:val="005B5A8E"/>
    <w:rsid w:val="005B73DB"/>
    <w:rsid w:val="005B7C30"/>
    <w:rsid w:val="005C0408"/>
    <w:rsid w:val="005C1DAA"/>
    <w:rsid w:val="005C6D42"/>
    <w:rsid w:val="005C74C6"/>
    <w:rsid w:val="005D0CCC"/>
    <w:rsid w:val="005D1DFE"/>
    <w:rsid w:val="005D38C8"/>
    <w:rsid w:val="005D4074"/>
    <w:rsid w:val="005D4168"/>
    <w:rsid w:val="005D5F59"/>
    <w:rsid w:val="005D5FF4"/>
    <w:rsid w:val="005E09C2"/>
    <w:rsid w:val="005E1D51"/>
    <w:rsid w:val="005E47D8"/>
    <w:rsid w:val="005E490D"/>
    <w:rsid w:val="005E510F"/>
    <w:rsid w:val="005E5C5A"/>
    <w:rsid w:val="005E7614"/>
    <w:rsid w:val="005E7C4C"/>
    <w:rsid w:val="005F0AF6"/>
    <w:rsid w:val="005F3AF3"/>
    <w:rsid w:val="005F4F49"/>
    <w:rsid w:val="005F56C1"/>
    <w:rsid w:val="005F62C6"/>
    <w:rsid w:val="005F7A1D"/>
    <w:rsid w:val="00600A42"/>
    <w:rsid w:val="00601BD6"/>
    <w:rsid w:val="00604A20"/>
    <w:rsid w:val="0060546C"/>
    <w:rsid w:val="006056C3"/>
    <w:rsid w:val="0060574D"/>
    <w:rsid w:val="006060F2"/>
    <w:rsid w:val="0060794C"/>
    <w:rsid w:val="006108C5"/>
    <w:rsid w:val="00614A49"/>
    <w:rsid w:val="006151A0"/>
    <w:rsid w:val="00615C35"/>
    <w:rsid w:val="0061797B"/>
    <w:rsid w:val="0062071F"/>
    <w:rsid w:val="00621BE3"/>
    <w:rsid w:val="006231F7"/>
    <w:rsid w:val="00624DCB"/>
    <w:rsid w:val="00627048"/>
    <w:rsid w:val="00631F5F"/>
    <w:rsid w:val="00633154"/>
    <w:rsid w:val="006331EB"/>
    <w:rsid w:val="006364AB"/>
    <w:rsid w:val="00637707"/>
    <w:rsid w:val="006462B9"/>
    <w:rsid w:val="00650353"/>
    <w:rsid w:val="0065103F"/>
    <w:rsid w:val="006516BC"/>
    <w:rsid w:val="00652FD4"/>
    <w:rsid w:val="006533E7"/>
    <w:rsid w:val="006540EE"/>
    <w:rsid w:val="00655BB4"/>
    <w:rsid w:val="00660305"/>
    <w:rsid w:val="00661EA4"/>
    <w:rsid w:val="00661EEC"/>
    <w:rsid w:val="00662AA6"/>
    <w:rsid w:val="00663793"/>
    <w:rsid w:val="00666888"/>
    <w:rsid w:val="00667AD4"/>
    <w:rsid w:val="00670A72"/>
    <w:rsid w:val="00671391"/>
    <w:rsid w:val="0067218D"/>
    <w:rsid w:val="006745D2"/>
    <w:rsid w:val="006745E4"/>
    <w:rsid w:val="00677404"/>
    <w:rsid w:val="006805BF"/>
    <w:rsid w:val="00681955"/>
    <w:rsid w:val="0068355B"/>
    <w:rsid w:val="006873F3"/>
    <w:rsid w:val="00690D66"/>
    <w:rsid w:val="006913A8"/>
    <w:rsid w:val="00692D17"/>
    <w:rsid w:val="00693043"/>
    <w:rsid w:val="00696140"/>
    <w:rsid w:val="00696425"/>
    <w:rsid w:val="006A038E"/>
    <w:rsid w:val="006A0902"/>
    <w:rsid w:val="006A0F89"/>
    <w:rsid w:val="006A1558"/>
    <w:rsid w:val="006A2E6C"/>
    <w:rsid w:val="006A3B33"/>
    <w:rsid w:val="006A660F"/>
    <w:rsid w:val="006A6989"/>
    <w:rsid w:val="006B0567"/>
    <w:rsid w:val="006B145B"/>
    <w:rsid w:val="006B29B6"/>
    <w:rsid w:val="006B32A8"/>
    <w:rsid w:val="006B7F47"/>
    <w:rsid w:val="006C08F5"/>
    <w:rsid w:val="006C09EB"/>
    <w:rsid w:val="006C3400"/>
    <w:rsid w:val="006C4324"/>
    <w:rsid w:val="006C4B08"/>
    <w:rsid w:val="006C5DEE"/>
    <w:rsid w:val="006D0826"/>
    <w:rsid w:val="006D0EC4"/>
    <w:rsid w:val="006D1035"/>
    <w:rsid w:val="006D3FB8"/>
    <w:rsid w:val="006D45D2"/>
    <w:rsid w:val="006D4846"/>
    <w:rsid w:val="006D609B"/>
    <w:rsid w:val="006D7C04"/>
    <w:rsid w:val="006E1947"/>
    <w:rsid w:val="006E537D"/>
    <w:rsid w:val="006E625C"/>
    <w:rsid w:val="006E76F1"/>
    <w:rsid w:val="006E77CF"/>
    <w:rsid w:val="006F09B3"/>
    <w:rsid w:val="006F0DB9"/>
    <w:rsid w:val="006F1D38"/>
    <w:rsid w:val="006F32AF"/>
    <w:rsid w:val="006F4B3D"/>
    <w:rsid w:val="006F4CD9"/>
    <w:rsid w:val="006F6913"/>
    <w:rsid w:val="006F7CD4"/>
    <w:rsid w:val="0070059C"/>
    <w:rsid w:val="00700BDA"/>
    <w:rsid w:val="007012C2"/>
    <w:rsid w:val="00704F6B"/>
    <w:rsid w:val="007055C9"/>
    <w:rsid w:val="00705F47"/>
    <w:rsid w:val="007067BD"/>
    <w:rsid w:val="00707393"/>
    <w:rsid w:val="00712167"/>
    <w:rsid w:val="007125C7"/>
    <w:rsid w:val="00712B06"/>
    <w:rsid w:val="00714033"/>
    <w:rsid w:val="007169E9"/>
    <w:rsid w:val="007213D4"/>
    <w:rsid w:val="00722164"/>
    <w:rsid w:val="007225A9"/>
    <w:rsid w:val="00726124"/>
    <w:rsid w:val="007264AD"/>
    <w:rsid w:val="00726882"/>
    <w:rsid w:val="00727775"/>
    <w:rsid w:val="00727A78"/>
    <w:rsid w:val="0073063A"/>
    <w:rsid w:val="007310D2"/>
    <w:rsid w:val="00731113"/>
    <w:rsid w:val="00735A2F"/>
    <w:rsid w:val="00737850"/>
    <w:rsid w:val="00740C79"/>
    <w:rsid w:val="00741ABD"/>
    <w:rsid w:val="007421DF"/>
    <w:rsid w:val="00743141"/>
    <w:rsid w:val="00744402"/>
    <w:rsid w:val="007448AE"/>
    <w:rsid w:val="00745F78"/>
    <w:rsid w:val="00746BA4"/>
    <w:rsid w:val="00746E83"/>
    <w:rsid w:val="00750510"/>
    <w:rsid w:val="00750A1E"/>
    <w:rsid w:val="00751364"/>
    <w:rsid w:val="0075494A"/>
    <w:rsid w:val="007621AE"/>
    <w:rsid w:val="00762EBE"/>
    <w:rsid w:val="00763FD2"/>
    <w:rsid w:val="007640F2"/>
    <w:rsid w:val="007651BE"/>
    <w:rsid w:val="0076545F"/>
    <w:rsid w:val="00765FF0"/>
    <w:rsid w:val="00766116"/>
    <w:rsid w:val="00766C8F"/>
    <w:rsid w:val="007715C1"/>
    <w:rsid w:val="00771A67"/>
    <w:rsid w:val="0077312A"/>
    <w:rsid w:val="00774971"/>
    <w:rsid w:val="0077510E"/>
    <w:rsid w:val="00775143"/>
    <w:rsid w:val="0078338F"/>
    <w:rsid w:val="00784A76"/>
    <w:rsid w:val="00787E4D"/>
    <w:rsid w:val="00795283"/>
    <w:rsid w:val="007974C3"/>
    <w:rsid w:val="007A2B85"/>
    <w:rsid w:val="007A453B"/>
    <w:rsid w:val="007A53C3"/>
    <w:rsid w:val="007B1300"/>
    <w:rsid w:val="007B1C1E"/>
    <w:rsid w:val="007B1F97"/>
    <w:rsid w:val="007B2B34"/>
    <w:rsid w:val="007B2E28"/>
    <w:rsid w:val="007B3351"/>
    <w:rsid w:val="007B38CB"/>
    <w:rsid w:val="007B38F5"/>
    <w:rsid w:val="007B4CE7"/>
    <w:rsid w:val="007B6271"/>
    <w:rsid w:val="007C2457"/>
    <w:rsid w:val="007C270A"/>
    <w:rsid w:val="007C2D90"/>
    <w:rsid w:val="007C31D3"/>
    <w:rsid w:val="007C3D29"/>
    <w:rsid w:val="007C477C"/>
    <w:rsid w:val="007C4C90"/>
    <w:rsid w:val="007C63CC"/>
    <w:rsid w:val="007C71B2"/>
    <w:rsid w:val="007C7C12"/>
    <w:rsid w:val="007D0A8E"/>
    <w:rsid w:val="007D12F8"/>
    <w:rsid w:val="007D3AAB"/>
    <w:rsid w:val="007D4CDC"/>
    <w:rsid w:val="007D5477"/>
    <w:rsid w:val="007D61EE"/>
    <w:rsid w:val="007D694B"/>
    <w:rsid w:val="007E3093"/>
    <w:rsid w:val="007E33E0"/>
    <w:rsid w:val="007E36FC"/>
    <w:rsid w:val="007E55D9"/>
    <w:rsid w:val="007E5F68"/>
    <w:rsid w:val="007E6054"/>
    <w:rsid w:val="007E77BE"/>
    <w:rsid w:val="007E7C62"/>
    <w:rsid w:val="007E7F07"/>
    <w:rsid w:val="007F090A"/>
    <w:rsid w:val="007F0F76"/>
    <w:rsid w:val="007F2101"/>
    <w:rsid w:val="007F29FF"/>
    <w:rsid w:val="007F2B53"/>
    <w:rsid w:val="007F30C2"/>
    <w:rsid w:val="007F35EF"/>
    <w:rsid w:val="007F3BFC"/>
    <w:rsid w:val="007F548A"/>
    <w:rsid w:val="00801B04"/>
    <w:rsid w:val="00802096"/>
    <w:rsid w:val="00804931"/>
    <w:rsid w:val="00805524"/>
    <w:rsid w:val="00805546"/>
    <w:rsid w:val="00807EFB"/>
    <w:rsid w:val="008100BC"/>
    <w:rsid w:val="008122BA"/>
    <w:rsid w:val="00814198"/>
    <w:rsid w:val="0081588A"/>
    <w:rsid w:val="00815E66"/>
    <w:rsid w:val="00820AD2"/>
    <w:rsid w:val="00821162"/>
    <w:rsid w:val="008226FF"/>
    <w:rsid w:val="00824CE2"/>
    <w:rsid w:val="00825CD7"/>
    <w:rsid w:val="00827A76"/>
    <w:rsid w:val="00832359"/>
    <w:rsid w:val="00832C9A"/>
    <w:rsid w:val="00836CED"/>
    <w:rsid w:val="008370C0"/>
    <w:rsid w:val="00840A9C"/>
    <w:rsid w:val="008411D1"/>
    <w:rsid w:val="008424A8"/>
    <w:rsid w:val="008449E6"/>
    <w:rsid w:val="00844DD4"/>
    <w:rsid w:val="00845B52"/>
    <w:rsid w:val="008465B0"/>
    <w:rsid w:val="0084702D"/>
    <w:rsid w:val="00851231"/>
    <w:rsid w:val="00851A3E"/>
    <w:rsid w:val="00851BA2"/>
    <w:rsid w:val="008554E1"/>
    <w:rsid w:val="00855AFE"/>
    <w:rsid w:val="0085639E"/>
    <w:rsid w:val="00863233"/>
    <w:rsid w:val="00866878"/>
    <w:rsid w:val="00870B5B"/>
    <w:rsid w:val="008711D0"/>
    <w:rsid w:val="00875DCA"/>
    <w:rsid w:val="00877D93"/>
    <w:rsid w:val="00880DB1"/>
    <w:rsid w:val="00881947"/>
    <w:rsid w:val="0088304B"/>
    <w:rsid w:val="00887BD6"/>
    <w:rsid w:val="00891984"/>
    <w:rsid w:val="00891B23"/>
    <w:rsid w:val="00892CAE"/>
    <w:rsid w:val="00896537"/>
    <w:rsid w:val="00897242"/>
    <w:rsid w:val="00897EC8"/>
    <w:rsid w:val="008A0AD2"/>
    <w:rsid w:val="008A163E"/>
    <w:rsid w:val="008A2D81"/>
    <w:rsid w:val="008A74E8"/>
    <w:rsid w:val="008A7597"/>
    <w:rsid w:val="008A7BD2"/>
    <w:rsid w:val="008B0913"/>
    <w:rsid w:val="008B1483"/>
    <w:rsid w:val="008B14DC"/>
    <w:rsid w:val="008B2C90"/>
    <w:rsid w:val="008B4D05"/>
    <w:rsid w:val="008B57D0"/>
    <w:rsid w:val="008B632E"/>
    <w:rsid w:val="008C0BCC"/>
    <w:rsid w:val="008C1302"/>
    <w:rsid w:val="008C213B"/>
    <w:rsid w:val="008C2941"/>
    <w:rsid w:val="008C3E9E"/>
    <w:rsid w:val="008C6A73"/>
    <w:rsid w:val="008D0350"/>
    <w:rsid w:val="008D2008"/>
    <w:rsid w:val="008D4C46"/>
    <w:rsid w:val="008D522B"/>
    <w:rsid w:val="008D6A5D"/>
    <w:rsid w:val="008D78AB"/>
    <w:rsid w:val="008E1418"/>
    <w:rsid w:val="008E20FC"/>
    <w:rsid w:val="008E23F0"/>
    <w:rsid w:val="008E3455"/>
    <w:rsid w:val="008E5556"/>
    <w:rsid w:val="008E6E68"/>
    <w:rsid w:val="008E6E6E"/>
    <w:rsid w:val="008E7E51"/>
    <w:rsid w:val="008F0002"/>
    <w:rsid w:val="008F17EC"/>
    <w:rsid w:val="008F28FC"/>
    <w:rsid w:val="008F4029"/>
    <w:rsid w:val="008F4E75"/>
    <w:rsid w:val="008F514A"/>
    <w:rsid w:val="008F5A4B"/>
    <w:rsid w:val="0090091A"/>
    <w:rsid w:val="00900D0E"/>
    <w:rsid w:val="00902DE6"/>
    <w:rsid w:val="009042EC"/>
    <w:rsid w:val="00907CA1"/>
    <w:rsid w:val="00907F4F"/>
    <w:rsid w:val="009108C8"/>
    <w:rsid w:val="009112C1"/>
    <w:rsid w:val="00911C58"/>
    <w:rsid w:val="009130D8"/>
    <w:rsid w:val="00913C57"/>
    <w:rsid w:val="009147F4"/>
    <w:rsid w:val="00914E21"/>
    <w:rsid w:val="00916188"/>
    <w:rsid w:val="009175A2"/>
    <w:rsid w:val="00922FF8"/>
    <w:rsid w:val="009243E4"/>
    <w:rsid w:val="009251B9"/>
    <w:rsid w:val="009262CB"/>
    <w:rsid w:val="00930476"/>
    <w:rsid w:val="00931A24"/>
    <w:rsid w:val="00931BEE"/>
    <w:rsid w:val="00933AE8"/>
    <w:rsid w:val="00935CB2"/>
    <w:rsid w:val="0093701B"/>
    <w:rsid w:val="00937430"/>
    <w:rsid w:val="0093753E"/>
    <w:rsid w:val="00937940"/>
    <w:rsid w:val="009415D6"/>
    <w:rsid w:val="009419D1"/>
    <w:rsid w:val="00942BBF"/>
    <w:rsid w:val="00943774"/>
    <w:rsid w:val="00943AC9"/>
    <w:rsid w:val="00943FD0"/>
    <w:rsid w:val="00945BE1"/>
    <w:rsid w:val="00950AD7"/>
    <w:rsid w:val="009513FE"/>
    <w:rsid w:val="00951BF8"/>
    <w:rsid w:val="00952F5F"/>
    <w:rsid w:val="0095342D"/>
    <w:rsid w:val="0095659E"/>
    <w:rsid w:val="00957070"/>
    <w:rsid w:val="00962045"/>
    <w:rsid w:val="0096259D"/>
    <w:rsid w:val="009632D5"/>
    <w:rsid w:val="0096371C"/>
    <w:rsid w:val="00964C84"/>
    <w:rsid w:val="00966D4B"/>
    <w:rsid w:val="00967015"/>
    <w:rsid w:val="00970CEF"/>
    <w:rsid w:val="00972DC0"/>
    <w:rsid w:val="00975A70"/>
    <w:rsid w:val="00976D08"/>
    <w:rsid w:val="009774FB"/>
    <w:rsid w:val="00977AE9"/>
    <w:rsid w:val="00981130"/>
    <w:rsid w:val="00981896"/>
    <w:rsid w:val="00982095"/>
    <w:rsid w:val="009822B6"/>
    <w:rsid w:val="00986137"/>
    <w:rsid w:val="009866DC"/>
    <w:rsid w:val="00993EFC"/>
    <w:rsid w:val="00994065"/>
    <w:rsid w:val="009944C7"/>
    <w:rsid w:val="00996277"/>
    <w:rsid w:val="00996DA2"/>
    <w:rsid w:val="00996FA9"/>
    <w:rsid w:val="0099796C"/>
    <w:rsid w:val="00997E41"/>
    <w:rsid w:val="009A0785"/>
    <w:rsid w:val="009A2F86"/>
    <w:rsid w:val="009A34CD"/>
    <w:rsid w:val="009A7089"/>
    <w:rsid w:val="009B1DE0"/>
    <w:rsid w:val="009B5F4B"/>
    <w:rsid w:val="009B7D8F"/>
    <w:rsid w:val="009C078D"/>
    <w:rsid w:val="009C0E08"/>
    <w:rsid w:val="009C25FC"/>
    <w:rsid w:val="009C27E9"/>
    <w:rsid w:val="009C3E2A"/>
    <w:rsid w:val="009C4042"/>
    <w:rsid w:val="009C70B4"/>
    <w:rsid w:val="009D022D"/>
    <w:rsid w:val="009D04C9"/>
    <w:rsid w:val="009D0710"/>
    <w:rsid w:val="009D0A5E"/>
    <w:rsid w:val="009D1142"/>
    <w:rsid w:val="009D1B9D"/>
    <w:rsid w:val="009D3BB7"/>
    <w:rsid w:val="009D7352"/>
    <w:rsid w:val="009E0E11"/>
    <w:rsid w:val="009E46E2"/>
    <w:rsid w:val="009E4BE0"/>
    <w:rsid w:val="009E55CA"/>
    <w:rsid w:val="009E57BC"/>
    <w:rsid w:val="009F02CA"/>
    <w:rsid w:val="009F2FDD"/>
    <w:rsid w:val="009F52F6"/>
    <w:rsid w:val="009F5559"/>
    <w:rsid w:val="009F6AA0"/>
    <w:rsid w:val="009F6CDB"/>
    <w:rsid w:val="00A00824"/>
    <w:rsid w:val="00A00AF1"/>
    <w:rsid w:val="00A01ABD"/>
    <w:rsid w:val="00A01E19"/>
    <w:rsid w:val="00A02282"/>
    <w:rsid w:val="00A05B7C"/>
    <w:rsid w:val="00A064A1"/>
    <w:rsid w:val="00A0673A"/>
    <w:rsid w:val="00A067CE"/>
    <w:rsid w:val="00A0746A"/>
    <w:rsid w:val="00A105F0"/>
    <w:rsid w:val="00A10DFC"/>
    <w:rsid w:val="00A10E1F"/>
    <w:rsid w:val="00A12CF1"/>
    <w:rsid w:val="00A142B2"/>
    <w:rsid w:val="00A15B2A"/>
    <w:rsid w:val="00A16783"/>
    <w:rsid w:val="00A174F7"/>
    <w:rsid w:val="00A22B4D"/>
    <w:rsid w:val="00A2353E"/>
    <w:rsid w:val="00A25A11"/>
    <w:rsid w:val="00A267A9"/>
    <w:rsid w:val="00A267AD"/>
    <w:rsid w:val="00A2722B"/>
    <w:rsid w:val="00A32FC5"/>
    <w:rsid w:val="00A33746"/>
    <w:rsid w:val="00A33E21"/>
    <w:rsid w:val="00A34B97"/>
    <w:rsid w:val="00A35093"/>
    <w:rsid w:val="00A3570E"/>
    <w:rsid w:val="00A41FE8"/>
    <w:rsid w:val="00A42590"/>
    <w:rsid w:val="00A42790"/>
    <w:rsid w:val="00A436B4"/>
    <w:rsid w:val="00A438C9"/>
    <w:rsid w:val="00A43D7E"/>
    <w:rsid w:val="00A50B0C"/>
    <w:rsid w:val="00A53A2C"/>
    <w:rsid w:val="00A573C9"/>
    <w:rsid w:val="00A60623"/>
    <w:rsid w:val="00A611E3"/>
    <w:rsid w:val="00A624D7"/>
    <w:rsid w:val="00A62998"/>
    <w:rsid w:val="00A62FB2"/>
    <w:rsid w:val="00A6453C"/>
    <w:rsid w:val="00A647E0"/>
    <w:rsid w:val="00A64AE3"/>
    <w:rsid w:val="00A657D2"/>
    <w:rsid w:val="00A660B2"/>
    <w:rsid w:val="00A674C9"/>
    <w:rsid w:val="00A7070F"/>
    <w:rsid w:val="00A72B52"/>
    <w:rsid w:val="00A75695"/>
    <w:rsid w:val="00A7597B"/>
    <w:rsid w:val="00A75ADF"/>
    <w:rsid w:val="00A75E1A"/>
    <w:rsid w:val="00A76630"/>
    <w:rsid w:val="00A77515"/>
    <w:rsid w:val="00A80675"/>
    <w:rsid w:val="00A8080A"/>
    <w:rsid w:val="00A81676"/>
    <w:rsid w:val="00A83185"/>
    <w:rsid w:val="00A84485"/>
    <w:rsid w:val="00A86C71"/>
    <w:rsid w:val="00A8761C"/>
    <w:rsid w:val="00A94C2A"/>
    <w:rsid w:val="00A954CE"/>
    <w:rsid w:val="00A973BB"/>
    <w:rsid w:val="00A97409"/>
    <w:rsid w:val="00A9770E"/>
    <w:rsid w:val="00AA1535"/>
    <w:rsid w:val="00AA2106"/>
    <w:rsid w:val="00AA2EF5"/>
    <w:rsid w:val="00AA3BE0"/>
    <w:rsid w:val="00AA3D22"/>
    <w:rsid w:val="00AA6437"/>
    <w:rsid w:val="00AB01E1"/>
    <w:rsid w:val="00AB0FFA"/>
    <w:rsid w:val="00AB3D2E"/>
    <w:rsid w:val="00AB3D76"/>
    <w:rsid w:val="00AB47AA"/>
    <w:rsid w:val="00AB5B1D"/>
    <w:rsid w:val="00AB63E4"/>
    <w:rsid w:val="00AC0E00"/>
    <w:rsid w:val="00AC3B67"/>
    <w:rsid w:val="00AC433A"/>
    <w:rsid w:val="00AC66BB"/>
    <w:rsid w:val="00AD1C48"/>
    <w:rsid w:val="00AD24E8"/>
    <w:rsid w:val="00AD2654"/>
    <w:rsid w:val="00AD2FAC"/>
    <w:rsid w:val="00AD37A8"/>
    <w:rsid w:val="00AD712A"/>
    <w:rsid w:val="00AD7D27"/>
    <w:rsid w:val="00AE0D52"/>
    <w:rsid w:val="00AE3BAC"/>
    <w:rsid w:val="00AE7E26"/>
    <w:rsid w:val="00AF1305"/>
    <w:rsid w:val="00AF206C"/>
    <w:rsid w:val="00AF229B"/>
    <w:rsid w:val="00AF26A3"/>
    <w:rsid w:val="00AF73E1"/>
    <w:rsid w:val="00B00D99"/>
    <w:rsid w:val="00B00E7B"/>
    <w:rsid w:val="00B01385"/>
    <w:rsid w:val="00B035D2"/>
    <w:rsid w:val="00B1047B"/>
    <w:rsid w:val="00B104F2"/>
    <w:rsid w:val="00B1074D"/>
    <w:rsid w:val="00B12EBA"/>
    <w:rsid w:val="00B160FF"/>
    <w:rsid w:val="00B16F99"/>
    <w:rsid w:val="00B17146"/>
    <w:rsid w:val="00B173B2"/>
    <w:rsid w:val="00B2070D"/>
    <w:rsid w:val="00B2148F"/>
    <w:rsid w:val="00B21D4B"/>
    <w:rsid w:val="00B21F8C"/>
    <w:rsid w:val="00B23CAB"/>
    <w:rsid w:val="00B2425C"/>
    <w:rsid w:val="00B24B12"/>
    <w:rsid w:val="00B268B1"/>
    <w:rsid w:val="00B27DE8"/>
    <w:rsid w:val="00B30E07"/>
    <w:rsid w:val="00B314A0"/>
    <w:rsid w:val="00B326AA"/>
    <w:rsid w:val="00B35832"/>
    <w:rsid w:val="00B3599E"/>
    <w:rsid w:val="00B368F5"/>
    <w:rsid w:val="00B413EE"/>
    <w:rsid w:val="00B41E84"/>
    <w:rsid w:val="00B42DB0"/>
    <w:rsid w:val="00B44A2B"/>
    <w:rsid w:val="00B450CC"/>
    <w:rsid w:val="00B462D9"/>
    <w:rsid w:val="00B46699"/>
    <w:rsid w:val="00B47BC7"/>
    <w:rsid w:val="00B50047"/>
    <w:rsid w:val="00B50363"/>
    <w:rsid w:val="00B50987"/>
    <w:rsid w:val="00B52E2C"/>
    <w:rsid w:val="00B547EA"/>
    <w:rsid w:val="00B565C2"/>
    <w:rsid w:val="00B56CF3"/>
    <w:rsid w:val="00B572C8"/>
    <w:rsid w:val="00B5774D"/>
    <w:rsid w:val="00B61935"/>
    <w:rsid w:val="00B62332"/>
    <w:rsid w:val="00B633AD"/>
    <w:rsid w:val="00B63B49"/>
    <w:rsid w:val="00B64A0F"/>
    <w:rsid w:val="00B6527E"/>
    <w:rsid w:val="00B6742A"/>
    <w:rsid w:val="00B67FD9"/>
    <w:rsid w:val="00B71990"/>
    <w:rsid w:val="00B754CE"/>
    <w:rsid w:val="00B80922"/>
    <w:rsid w:val="00B80DD6"/>
    <w:rsid w:val="00B81D39"/>
    <w:rsid w:val="00B81F30"/>
    <w:rsid w:val="00B8437E"/>
    <w:rsid w:val="00B843CF"/>
    <w:rsid w:val="00B86125"/>
    <w:rsid w:val="00B90AF4"/>
    <w:rsid w:val="00B928C7"/>
    <w:rsid w:val="00B92EC1"/>
    <w:rsid w:val="00B92FA3"/>
    <w:rsid w:val="00B97E47"/>
    <w:rsid w:val="00BA0828"/>
    <w:rsid w:val="00BA2A8D"/>
    <w:rsid w:val="00BA354E"/>
    <w:rsid w:val="00BA378A"/>
    <w:rsid w:val="00BA463A"/>
    <w:rsid w:val="00BA5270"/>
    <w:rsid w:val="00BA7087"/>
    <w:rsid w:val="00BA792B"/>
    <w:rsid w:val="00BB0CE0"/>
    <w:rsid w:val="00BB4E04"/>
    <w:rsid w:val="00BB6C06"/>
    <w:rsid w:val="00BB6FD7"/>
    <w:rsid w:val="00BB7BE3"/>
    <w:rsid w:val="00BC2FCA"/>
    <w:rsid w:val="00BC40EE"/>
    <w:rsid w:val="00BC4F22"/>
    <w:rsid w:val="00BD1C3D"/>
    <w:rsid w:val="00BD1ECE"/>
    <w:rsid w:val="00BD3790"/>
    <w:rsid w:val="00BD5430"/>
    <w:rsid w:val="00BD55FA"/>
    <w:rsid w:val="00BE03CD"/>
    <w:rsid w:val="00BE1B64"/>
    <w:rsid w:val="00BE1D35"/>
    <w:rsid w:val="00BE2264"/>
    <w:rsid w:val="00BE2339"/>
    <w:rsid w:val="00BE2522"/>
    <w:rsid w:val="00BE385C"/>
    <w:rsid w:val="00BE7BE2"/>
    <w:rsid w:val="00BF06B3"/>
    <w:rsid w:val="00BF07FD"/>
    <w:rsid w:val="00BF13F0"/>
    <w:rsid w:val="00BF1B4C"/>
    <w:rsid w:val="00BF2FF1"/>
    <w:rsid w:val="00BF34DB"/>
    <w:rsid w:val="00BF52DD"/>
    <w:rsid w:val="00BF544A"/>
    <w:rsid w:val="00BF5772"/>
    <w:rsid w:val="00BF73EF"/>
    <w:rsid w:val="00BF765D"/>
    <w:rsid w:val="00BF7BCD"/>
    <w:rsid w:val="00C024AD"/>
    <w:rsid w:val="00C04667"/>
    <w:rsid w:val="00C04A0F"/>
    <w:rsid w:val="00C07701"/>
    <w:rsid w:val="00C108B4"/>
    <w:rsid w:val="00C10951"/>
    <w:rsid w:val="00C1228B"/>
    <w:rsid w:val="00C12CCD"/>
    <w:rsid w:val="00C13856"/>
    <w:rsid w:val="00C13988"/>
    <w:rsid w:val="00C141FE"/>
    <w:rsid w:val="00C145FA"/>
    <w:rsid w:val="00C17189"/>
    <w:rsid w:val="00C178CF"/>
    <w:rsid w:val="00C241BE"/>
    <w:rsid w:val="00C24EE4"/>
    <w:rsid w:val="00C26BB9"/>
    <w:rsid w:val="00C27069"/>
    <w:rsid w:val="00C321DA"/>
    <w:rsid w:val="00C408ED"/>
    <w:rsid w:val="00C41D78"/>
    <w:rsid w:val="00C43D67"/>
    <w:rsid w:val="00C441A4"/>
    <w:rsid w:val="00C45256"/>
    <w:rsid w:val="00C46458"/>
    <w:rsid w:val="00C46C39"/>
    <w:rsid w:val="00C5248F"/>
    <w:rsid w:val="00C525DE"/>
    <w:rsid w:val="00C53F30"/>
    <w:rsid w:val="00C55E52"/>
    <w:rsid w:val="00C61381"/>
    <w:rsid w:val="00C61B7D"/>
    <w:rsid w:val="00C61E5B"/>
    <w:rsid w:val="00C62212"/>
    <w:rsid w:val="00C62857"/>
    <w:rsid w:val="00C64BE7"/>
    <w:rsid w:val="00C64EE0"/>
    <w:rsid w:val="00C66304"/>
    <w:rsid w:val="00C673F2"/>
    <w:rsid w:val="00C700C1"/>
    <w:rsid w:val="00C70374"/>
    <w:rsid w:val="00C74F03"/>
    <w:rsid w:val="00C771FD"/>
    <w:rsid w:val="00C776FE"/>
    <w:rsid w:val="00C77AAF"/>
    <w:rsid w:val="00C81596"/>
    <w:rsid w:val="00C81E73"/>
    <w:rsid w:val="00C824B2"/>
    <w:rsid w:val="00C82885"/>
    <w:rsid w:val="00C84AF6"/>
    <w:rsid w:val="00C85354"/>
    <w:rsid w:val="00C85EEC"/>
    <w:rsid w:val="00C86F40"/>
    <w:rsid w:val="00C87A7A"/>
    <w:rsid w:val="00C90C40"/>
    <w:rsid w:val="00C9289B"/>
    <w:rsid w:val="00C92BAD"/>
    <w:rsid w:val="00C92CBF"/>
    <w:rsid w:val="00C934A4"/>
    <w:rsid w:val="00C95680"/>
    <w:rsid w:val="00C97DD6"/>
    <w:rsid w:val="00C97F14"/>
    <w:rsid w:val="00CA03F7"/>
    <w:rsid w:val="00CA2023"/>
    <w:rsid w:val="00CA24A9"/>
    <w:rsid w:val="00CA2872"/>
    <w:rsid w:val="00CA2C44"/>
    <w:rsid w:val="00CA5007"/>
    <w:rsid w:val="00CA50C7"/>
    <w:rsid w:val="00CB083F"/>
    <w:rsid w:val="00CB144D"/>
    <w:rsid w:val="00CB19EF"/>
    <w:rsid w:val="00CB359B"/>
    <w:rsid w:val="00CB6181"/>
    <w:rsid w:val="00CB6E29"/>
    <w:rsid w:val="00CB79BA"/>
    <w:rsid w:val="00CC17E2"/>
    <w:rsid w:val="00CC19DF"/>
    <w:rsid w:val="00CC1EBD"/>
    <w:rsid w:val="00CC2C48"/>
    <w:rsid w:val="00CC506A"/>
    <w:rsid w:val="00CC54BC"/>
    <w:rsid w:val="00CD0923"/>
    <w:rsid w:val="00CD29A7"/>
    <w:rsid w:val="00CD3B29"/>
    <w:rsid w:val="00CD3EF8"/>
    <w:rsid w:val="00CD42CD"/>
    <w:rsid w:val="00CD525D"/>
    <w:rsid w:val="00CD533A"/>
    <w:rsid w:val="00CD56FE"/>
    <w:rsid w:val="00CD5D83"/>
    <w:rsid w:val="00CD61E1"/>
    <w:rsid w:val="00CD7D35"/>
    <w:rsid w:val="00CD7ECB"/>
    <w:rsid w:val="00CE07AD"/>
    <w:rsid w:val="00CE0C94"/>
    <w:rsid w:val="00CE1211"/>
    <w:rsid w:val="00CE2A79"/>
    <w:rsid w:val="00CE5A6B"/>
    <w:rsid w:val="00CE67C2"/>
    <w:rsid w:val="00CE7084"/>
    <w:rsid w:val="00CE7739"/>
    <w:rsid w:val="00CF04D8"/>
    <w:rsid w:val="00CF1C65"/>
    <w:rsid w:val="00CF1D68"/>
    <w:rsid w:val="00CF34AA"/>
    <w:rsid w:val="00CF3FC5"/>
    <w:rsid w:val="00CF54E4"/>
    <w:rsid w:val="00CF7051"/>
    <w:rsid w:val="00CF7B7F"/>
    <w:rsid w:val="00D0451B"/>
    <w:rsid w:val="00D045E4"/>
    <w:rsid w:val="00D0487B"/>
    <w:rsid w:val="00D061B3"/>
    <w:rsid w:val="00D071AB"/>
    <w:rsid w:val="00D07BF4"/>
    <w:rsid w:val="00D1100B"/>
    <w:rsid w:val="00D11E2A"/>
    <w:rsid w:val="00D16CF2"/>
    <w:rsid w:val="00D17252"/>
    <w:rsid w:val="00D17849"/>
    <w:rsid w:val="00D20E8C"/>
    <w:rsid w:val="00D21065"/>
    <w:rsid w:val="00D235D4"/>
    <w:rsid w:val="00D253D1"/>
    <w:rsid w:val="00D265E7"/>
    <w:rsid w:val="00D3032F"/>
    <w:rsid w:val="00D32CBE"/>
    <w:rsid w:val="00D34EB5"/>
    <w:rsid w:val="00D352B5"/>
    <w:rsid w:val="00D35DB0"/>
    <w:rsid w:val="00D4274D"/>
    <w:rsid w:val="00D43B21"/>
    <w:rsid w:val="00D45732"/>
    <w:rsid w:val="00D466B8"/>
    <w:rsid w:val="00D474F7"/>
    <w:rsid w:val="00D47EAE"/>
    <w:rsid w:val="00D514A1"/>
    <w:rsid w:val="00D53CF2"/>
    <w:rsid w:val="00D5482A"/>
    <w:rsid w:val="00D553A4"/>
    <w:rsid w:val="00D5648A"/>
    <w:rsid w:val="00D6085C"/>
    <w:rsid w:val="00D62654"/>
    <w:rsid w:val="00D62ACC"/>
    <w:rsid w:val="00D6310F"/>
    <w:rsid w:val="00D65F68"/>
    <w:rsid w:val="00D66C78"/>
    <w:rsid w:val="00D71DE8"/>
    <w:rsid w:val="00D81CB9"/>
    <w:rsid w:val="00D844AE"/>
    <w:rsid w:val="00D84988"/>
    <w:rsid w:val="00D84B40"/>
    <w:rsid w:val="00D85922"/>
    <w:rsid w:val="00D86575"/>
    <w:rsid w:val="00D87BFA"/>
    <w:rsid w:val="00D903FE"/>
    <w:rsid w:val="00D90D28"/>
    <w:rsid w:val="00D916C6"/>
    <w:rsid w:val="00D958FF"/>
    <w:rsid w:val="00D967F1"/>
    <w:rsid w:val="00DA010F"/>
    <w:rsid w:val="00DA16C5"/>
    <w:rsid w:val="00DA20A3"/>
    <w:rsid w:val="00DA4F63"/>
    <w:rsid w:val="00DA7236"/>
    <w:rsid w:val="00DA74A8"/>
    <w:rsid w:val="00DA78FF"/>
    <w:rsid w:val="00DB0323"/>
    <w:rsid w:val="00DB0990"/>
    <w:rsid w:val="00DB10B5"/>
    <w:rsid w:val="00DB1947"/>
    <w:rsid w:val="00DB217F"/>
    <w:rsid w:val="00DB3B70"/>
    <w:rsid w:val="00DB4995"/>
    <w:rsid w:val="00DB6DC8"/>
    <w:rsid w:val="00DB79C3"/>
    <w:rsid w:val="00DC089B"/>
    <w:rsid w:val="00DC0AA5"/>
    <w:rsid w:val="00DC23A8"/>
    <w:rsid w:val="00DC40CA"/>
    <w:rsid w:val="00DC4673"/>
    <w:rsid w:val="00DC4C84"/>
    <w:rsid w:val="00DC4D80"/>
    <w:rsid w:val="00DC4E3A"/>
    <w:rsid w:val="00DC65D0"/>
    <w:rsid w:val="00DC77D1"/>
    <w:rsid w:val="00DD0784"/>
    <w:rsid w:val="00DD1F30"/>
    <w:rsid w:val="00DD43D8"/>
    <w:rsid w:val="00DD4A6E"/>
    <w:rsid w:val="00DD7D14"/>
    <w:rsid w:val="00DE1C47"/>
    <w:rsid w:val="00DE3A3E"/>
    <w:rsid w:val="00DE4B3F"/>
    <w:rsid w:val="00DE5B5A"/>
    <w:rsid w:val="00DF019F"/>
    <w:rsid w:val="00DF1BDE"/>
    <w:rsid w:val="00DF2B46"/>
    <w:rsid w:val="00DF320D"/>
    <w:rsid w:val="00DF61C8"/>
    <w:rsid w:val="00DF7720"/>
    <w:rsid w:val="00DF7D4C"/>
    <w:rsid w:val="00E008F6"/>
    <w:rsid w:val="00E010D1"/>
    <w:rsid w:val="00E02938"/>
    <w:rsid w:val="00E05576"/>
    <w:rsid w:val="00E10F8A"/>
    <w:rsid w:val="00E1188E"/>
    <w:rsid w:val="00E1200E"/>
    <w:rsid w:val="00E1269F"/>
    <w:rsid w:val="00E1422A"/>
    <w:rsid w:val="00E14338"/>
    <w:rsid w:val="00E14B9F"/>
    <w:rsid w:val="00E16329"/>
    <w:rsid w:val="00E165C0"/>
    <w:rsid w:val="00E16FBE"/>
    <w:rsid w:val="00E17C71"/>
    <w:rsid w:val="00E20E47"/>
    <w:rsid w:val="00E22C2A"/>
    <w:rsid w:val="00E333A1"/>
    <w:rsid w:val="00E33ED6"/>
    <w:rsid w:val="00E357F7"/>
    <w:rsid w:val="00E35A6E"/>
    <w:rsid w:val="00E421CD"/>
    <w:rsid w:val="00E4264A"/>
    <w:rsid w:val="00E44A08"/>
    <w:rsid w:val="00E44C6B"/>
    <w:rsid w:val="00E45084"/>
    <w:rsid w:val="00E45190"/>
    <w:rsid w:val="00E470C8"/>
    <w:rsid w:val="00E50464"/>
    <w:rsid w:val="00E538EB"/>
    <w:rsid w:val="00E5517E"/>
    <w:rsid w:val="00E5568F"/>
    <w:rsid w:val="00E600F5"/>
    <w:rsid w:val="00E63247"/>
    <w:rsid w:val="00E633A3"/>
    <w:rsid w:val="00E64CB8"/>
    <w:rsid w:val="00E65DD6"/>
    <w:rsid w:val="00E665B1"/>
    <w:rsid w:val="00E66768"/>
    <w:rsid w:val="00E67558"/>
    <w:rsid w:val="00E73D92"/>
    <w:rsid w:val="00E73FE0"/>
    <w:rsid w:val="00E75868"/>
    <w:rsid w:val="00E75A45"/>
    <w:rsid w:val="00E772EB"/>
    <w:rsid w:val="00E777F8"/>
    <w:rsid w:val="00E8023D"/>
    <w:rsid w:val="00E811C6"/>
    <w:rsid w:val="00E81629"/>
    <w:rsid w:val="00E81A12"/>
    <w:rsid w:val="00E82378"/>
    <w:rsid w:val="00E82E7F"/>
    <w:rsid w:val="00E848B9"/>
    <w:rsid w:val="00E8580E"/>
    <w:rsid w:val="00E85F16"/>
    <w:rsid w:val="00E8648D"/>
    <w:rsid w:val="00E86D46"/>
    <w:rsid w:val="00E90E56"/>
    <w:rsid w:val="00E91867"/>
    <w:rsid w:val="00E95383"/>
    <w:rsid w:val="00E95B3D"/>
    <w:rsid w:val="00E96BAB"/>
    <w:rsid w:val="00EA06FF"/>
    <w:rsid w:val="00EA1900"/>
    <w:rsid w:val="00EA1DE4"/>
    <w:rsid w:val="00EA3235"/>
    <w:rsid w:val="00EA7663"/>
    <w:rsid w:val="00EA7D32"/>
    <w:rsid w:val="00EB33DE"/>
    <w:rsid w:val="00EB4CDB"/>
    <w:rsid w:val="00EC1E23"/>
    <w:rsid w:val="00EC276D"/>
    <w:rsid w:val="00EC2B28"/>
    <w:rsid w:val="00EC40EC"/>
    <w:rsid w:val="00EC4875"/>
    <w:rsid w:val="00ED1384"/>
    <w:rsid w:val="00ED1AFF"/>
    <w:rsid w:val="00ED2B6D"/>
    <w:rsid w:val="00ED7C84"/>
    <w:rsid w:val="00ED7D4D"/>
    <w:rsid w:val="00EE2C57"/>
    <w:rsid w:val="00EE360D"/>
    <w:rsid w:val="00EE5214"/>
    <w:rsid w:val="00EE521D"/>
    <w:rsid w:val="00EE772F"/>
    <w:rsid w:val="00EE778C"/>
    <w:rsid w:val="00EF0AF3"/>
    <w:rsid w:val="00EF1517"/>
    <w:rsid w:val="00EF2003"/>
    <w:rsid w:val="00EF2DE1"/>
    <w:rsid w:val="00EF4904"/>
    <w:rsid w:val="00EF5748"/>
    <w:rsid w:val="00F01819"/>
    <w:rsid w:val="00F029E7"/>
    <w:rsid w:val="00F02B8C"/>
    <w:rsid w:val="00F02F3A"/>
    <w:rsid w:val="00F036AC"/>
    <w:rsid w:val="00F04206"/>
    <w:rsid w:val="00F0480B"/>
    <w:rsid w:val="00F110F5"/>
    <w:rsid w:val="00F14873"/>
    <w:rsid w:val="00F150D7"/>
    <w:rsid w:val="00F15F0F"/>
    <w:rsid w:val="00F17743"/>
    <w:rsid w:val="00F2060A"/>
    <w:rsid w:val="00F20FCF"/>
    <w:rsid w:val="00F218C3"/>
    <w:rsid w:val="00F226F4"/>
    <w:rsid w:val="00F246F4"/>
    <w:rsid w:val="00F24744"/>
    <w:rsid w:val="00F249EA"/>
    <w:rsid w:val="00F257BA"/>
    <w:rsid w:val="00F26F3C"/>
    <w:rsid w:val="00F274B5"/>
    <w:rsid w:val="00F30506"/>
    <w:rsid w:val="00F32331"/>
    <w:rsid w:val="00F34282"/>
    <w:rsid w:val="00F41560"/>
    <w:rsid w:val="00F41629"/>
    <w:rsid w:val="00F41A93"/>
    <w:rsid w:val="00F41CC8"/>
    <w:rsid w:val="00F42CF1"/>
    <w:rsid w:val="00F43242"/>
    <w:rsid w:val="00F47948"/>
    <w:rsid w:val="00F508E1"/>
    <w:rsid w:val="00F50C1E"/>
    <w:rsid w:val="00F52602"/>
    <w:rsid w:val="00F54492"/>
    <w:rsid w:val="00F559A9"/>
    <w:rsid w:val="00F57871"/>
    <w:rsid w:val="00F61F03"/>
    <w:rsid w:val="00F61FE8"/>
    <w:rsid w:val="00F61FF6"/>
    <w:rsid w:val="00F6424A"/>
    <w:rsid w:val="00F6481A"/>
    <w:rsid w:val="00F64C62"/>
    <w:rsid w:val="00F663A2"/>
    <w:rsid w:val="00F6725B"/>
    <w:rsid w:val="00F673FB"/>
    <w:rsid w:val="00F67461"/>
    <w:rsid w:val="00F679D1"/>
    <w:rsid w:val="00F67F70"/>
    <w:rsid w:val="00F72020"/>
    <w:rsid w:val="00F7742A"/>
    <w:rsid w:val="00F80985"/>
    <w:rsid w:val="00F815B9"/>
    <w:rsid w:val="00F8291F"/>
    <w:rsid w:val="00F87DBB"/>
    <w:rsid w:val="00F90C1C"/>
    <w:rsid w:val="00F90EDC"/>
    <w:rsid w:val="00F9124B"/>
    <w:rsid w:val="00F918A1"/>
    <w:rsid w:val="00F92142"/>
    <w:rsid w:val="00F92BC4"/>
    <w:rsid w:val="00FA0AE1"/>
    <w:rsid w:val="00FA2B09"/>
    <w:rsid w:val="00FA3096"/>
    <w:rsid w:val="00FA425F"/>
    <w:rsid w:val="00FA590E"/>
    <w:rsid w:val="00FA5B41"/>
    <w:rsid w:val="00FA69F5"/>
    <w:rsid w:val="00FA75DF"/>
    <w:rsid w:val="00FA7A4E"/>
    <w:rsid w:val="00FB03A3"/>
    <w:rsid w:val="00FB04DD"/>
    <w:rsid w:val="00FB4BA2"/>
    <w:rsid w:val="00FC5280"/>
    <w:rsid w:val="00FC5914"/>
    <w:rsid w:val="00FC6452"/>
    <w:rsid w:val="00FC7B84"/>
    <w:rsid w:val="00FC7D17"/>
    <w:rsid w:val="00FD0930"/>
    <w:rsid w:val="00FD1044"/>
    <w:rsid w:val="00FD15E3"/>
    <w:rsid w:val="00FD3ED1"/>
    <w:rsid w:val="00FD5A2A"/>
    <w:rsid w:val="00FD60A2"/>
    <w:rsid w:val="00FD70C1"/>
    <w:rsid w:val="00FE126D"/>
    <w:rsid w:val="00FE321A"/>
    <w:rsid w:val="00FE3344"/>
    <w:rsid w:val="00FE551C"/>
    <w:rsid w:val="00FE57F1"/>
    <w:rsid w:val="00FE5CAC"/>
    <w:rsid w:val="00FE73E1"/>
    <w:rsid w:val="00FE7B6D"/>
    <w:rsid w:val="00FE7DEB"/>
    <w:rsid w:val="00FF00DB"/>
    <w:rsid w:val="00FF06E2"/>
    <w:rsid w:val="00FF1841"/>
    <w:rsid w:val="00FF1943"/>
    <w:rsid w:val="00FF2333"/>
    <w:rsid w:val="00FF32B1"/>
    <w:rsid w:val="00FF55AF"/>
    <w:rsid w:val="00FF5F22"/>
    <w:rsid w:val="00FF67D6"/>
    <w:rsid w:val="00FF72A1"/>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on="f"/>
      <o:colormru v:ext="edit" colors="#635d63,#304f92,#ff001a,#036,#ddd,silver,#b2b2b2,#d9dadb"/>
    </o:shapedefaults>
    <o:shapelayout v:ext="edit">
      <o:idmap v:ext="edit" data="2"/>
    </o:shapelayout>
  </w:shapeDefaults>
  <w:doNotEmbedSmartTags/>
  <w:decimalSymbol w:val="."/>
  <w:listSeparator w:val=","/>
  <w14:docId w14:val="3D6633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F07"/>
    <w:rPr>
      <w:rFonts w:ascii="Arial" w:hAnsi="Arial"/>
      <w:sz w:val="22"/>
      <w:szCs w:val="24"/>
    </w:rPr>
  </w:style>
  <w:style w:type="paragraph" w:styleId="Heading1">
    <w:name w:val="heading 1"/>
    <w:next w:val="BodyText"/>
    <w:link w:val="Heading1Char"/>
    <w:qFormat/>
    <w:rsid w:val="00486A58"/>
    <w:pPr>
      <w:keepNext/>
      <w:spacing w:before="240" w:after="240"/>
      <w:outlineLvl w:val="0"/>
    </w:pPr>
    <w:rPr>
      <w:rFonts w:ascii="Arial" w:hAnsi="Arial"/>
      <w:b/>
      <w:sz w:val="36"/>
      <w:szCs w:val="36"/>
    </w:rPr>
  </w:style>
  <w:style w:type="paragraph" w:styleId="Heading2">
    <w:name w:val="heading 2"/>
    <w:next w:val="BodyText"/>
    <w:link w:val="Heading2Char"/>
    <w:qFormat/>
    <w:rsid w:val="00300AC2"/>
    <w:pPr>
      <w:keepNext/>
      <w:spacing w:before="120" w:after="120"/>
      <w:outlineLvl w:val="1"/>
    </w:pPr>
    <w:rPr>
      <w:rFonts w:ascii="Arial" w:hAnsi="Arial"/>
      <w:color w:val="5ACAAF"/>
      <w:sz w:val="32"/>
      <w:szCs w:val="24"/>
    </w:rPr>
  </w:style>
  <w:style w:type="paragraph" w:styleId="Heading3">
    <w:name w:val="heading 3"/>
    <w:next w:val="BodyText"/>
    <w:link w:val="Heading3Char"/>
    <w:qFormat/>
    <w:rsid w:val="00486A58"/>
    <w:pPr>
      <w:keepNext/>
      <w:spacing w:before="120" w:after="120"/>
      <w:outlineLvl w:val="2"/>
    </w:pPr>
    <w:rPr>
      <w:rFonts w:ascii="Arial" w:hAnsi="Arial"/>
      <w:b/>
      <w:color w:val="5ACAAF"/>
      <w:sz w:val="28"/>
      <w:szCs w:val="24"/>
    </w:rPr>
  </w:style>
  <w:style w:type="paragraph" w:styleId="Heading4">
    <w:name w:val="heading 4"/>
    <w:next w:val="BodyText"/>
    <w:link w:val="Heading4Char"/>
    <w:qFormat/>
    <w:rsid w:val="00486A58"/>
    <w:pPr>
      <w:keepNext/>
      <w:spacing w:before="120" w:after="120"/>
      <w:outlineLvl w:val="3"/>
    </w:pPr>
    <w:rPr>
      <w:rFonts w:ascii="Arial" w:hAnsi="Arial"/>
      <w:b/>
      <w:i/>
      <w:color w:val="5ACAAF"/>
      <w:sz w:val="28"/>
      <w:szCs w:val="24"/>
    </w:rPr>
  </w:style>
  <w:style w:type="paragraph" w:styleId="Heading5">
    <w:name w:val="heading 5"/>
    <w:next w:val="BodyText"/>
    <w:qFormat/>
    <w:rsid w:val="00BA354E"/>
    <w:pPr>
      <w:keepNext/>
      <w:keepLines/>
      <w:spacing w:before="240" w:after="120"/>
      <w:outlineLvl w:val="4"/>
    </w:pPr>
    <w:rPr>
      <w:rFonts w:ascii="Arial" w:hAnsi="Arial"/>
      <w:b/>
      <w:sz w:val="22"/>
      <w:szCs w:val="24"/>
    </w:rPr>
  </w:style>
  <w:style w:type="paragraph" w:styleId="Heading6">
    <w:name w:val="heading 6"/>
    <w:next w:val="BodyText"/>
    <w:qFormat/>
    <w:rsid w:val="00D903FE"/>
    <w:pPr>
      <w:keepNext/>
      <w:spacing w:before="120" w:after="120"/>
      <w:outlineLvl w:val="5"/>
    </w:pPr>
    <w:rPr>
      <w:rFonts w:ascii="Arial" w:hAnsi="Arial"/>
      <w:bCs/>
      <w:i/>
      <w:color w:val="343333"/>
      <w:sz w:val="28"/>
      <w:szCs w:val="22"/>
    </w:rPr>
  </w:style>
  <w:style w:type="paragraph" w:styleId="Heading7">
    <w:name w:val="heading 7"/>
    <w:basedOn w:val="Normal"/>
    <w:next w:val="Normal"/>
    <w:qFormat/>
    <w:rsid w:val="007E7F07"/>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7E7F0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7E7F0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7F07"/>
    <w:pPr>
      <w:spacing w:before="120" w:after="120" w:line="276" w:lineRule="auto"/>
    </w:pPr>
  </w:style>
  <w:style w:type="paragraph" w:styleId="BodyText2">
    <w:name w:val="Body Text 2"/>
    <w:basedOn w:val="BodyText"/>
    <w:semiHidden/>
    <w:rsid w:val="007E7F07"/>
    <w:rPr>
      <w:lang w:eastAsia="en-US"/>
    </w:rPr>
  </w:style>
  <w:style w:type="paragraph" w:styleId="Header">
    <w:name w:val="header"/>
    <w:basedOn w:val="Normal"/>
    <w:rsid w:val="007E7F07"/>
    <w:pPr>
      <w:tabs>
        <w:tab w:val="center" w:pos="4320"/>
        <w:tab w:val="right" w:pos="8640"/>
      </w:tabs>
    </w:pPr>
  </w:style>
  <w:style w:type="paragraph" w:styleId="ListBullet">
    <w:name w:val="List Bullet"/>
    <w:qFormat/>
    <w:rsid w:val="000277C5"/>
    <w:pPr>
      <w:numPr>
        <w:numId w:val="16"/>
      </w:numPr>
      <w:spacing w:before="60" w:after="60" w:line="276" w:lineRule="auto"/>
    </w:pPr>
    <w:rPr>
      <w:rFonts w:ascii="Arial" w:hAnsi="Arial"/>
      <w:snapToGrid w:val="0"/>
      <w:sz w:val="22"/>
      <w:szCs w:val="24"/>
    </w:rPr>
  </w:style>
  <w:style w:type="table" w:styleId="TableGrid">
    <w:name w:val="Table Grid"/>
    <w:basedOn w:val="TableNormal"/>
    <w:rsid w:val="007E7F07"/>
    <w:rPr>
      <w:rFonts w:ascii="Arial" w:hAnsi="Arial"/>
    </w:rPr>
    <w:tblPr>
      <w:tblInd w:w="108" w:type="dxa"/>
    </w:tblPr>
    <w:trPr>
      <w:cantSplit/>
      <w:tblHeader/>
    </w:trPr>
  </w:style>
  <w:style w:type="paragraph" w:styleId="TOC2">
    <w:name w:val="toc 2"/>
    <w:basedOn w:val="Normal"/>
    <w:next w:val="Normal"/>
    <w:uiPriority w:val="39"/>
    <w:rsid w:val="008C6A73"/>
    <w:pPr>
      <w:tabs>
        <w:tab w:val="left" w:pos="1134"/>
        <w:tab w:val="right" w:leader="dot" w:pos="8505"/>
      </w:tabs>
      <w:spacing w:before="60"/>
      <w:ind w:left="567" w:right="567"/>
    </w:pPr>
    <w:rPr>
      <w:noProof/>
    </w:rPr>
  </w:style>
  <w:style w:type="paragraph" w:customStyle="1" w:styleId="TableBullet">
    <w:name w:val="Table Bullet"/>
    <w:basedOn w:val="TableTextLeft"/>
    <w:rsid w:val="000277C5"/>
    <w:pPr>
      <w:numPr>
        <w:numId w:val="18"/>
      </w:numPr>
    </w:pPr>
  </w:style>
  <w:style w:type="paragraph" w:customStyle="1" w:styleId="TableTextLeft">
    <w:name w:val="Table Text Left"/>
    <w:basedOn w:val="Normal"/>
    <w:link w:val="TableTextLeftCharChar"/>
    <w:rsid w:val="007E7F07"/>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7E7F07"/>
    <w:rPr>
      <w:rFonts w:ascii="Arial" w:eastAsia="MS Mincho" w:hAnsi="Arial"/>
      <w:szCs w:val="24"/>
      <w:lang w:val="en-AU" w:eastAsia="en-US" w:bidi="ar-SA"/>
    </w:rPr>
  </w:style>
  <w:style w:type="character" w:styleId="Hyperlink">
    <w:name w:val="Hyperlink"/>
    <w:basedOn w:val="DefaultParagraphFont"/>
    <w:uiPriority w:val="99"/>
    <w:rsid w:val="007E7F07"/>
    <w:rPr>
      <w:color w:val="0000FF"/>
      <w:u w:val="single"/>
    </w:rPr>
  </w:style>
  <w:style w:type="numbering" w:styleId="111111">
    <w:name w:val="Outline List 2"/>
    <w:basedOn w:val="NoList"/>
    <w:semiHidden/>
    <w:rsid w:val="007E7F07"/>
    <w:pPr>
      <w:numPr>
        <w:numId w:val="1"/>
      </w:numPr>
    </w:pPr>
  </w:style>
  <w:style w:type="table" w:customStyle="1" w:styleId="BlackTable">
    <w:name w:val="Black Table"/>
    <w:basedOn w:val="TableNormal"/>
    <w:rsid w:val="007E7F0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8C6A73"/>
    <w:pPr>
      <w:tabs>
        <w:tab w:val="left" w:pos="567"/>
        <w:tab w:val="right" w:leader="dot" w:pos="8505"/>
      </w:tabs>
      <w:spacing w:before="120"/>
      <w:ind w:right="567"/>
    </w:pPr>
    <w:rPr>
      <w:noProof/>
      <w:sz w:val="24"/>
    </w:rPr>
  </w:style>
  <w:style w:type="character" w:customStyle="1" w:styleId="Date1">
    <w:name w:val="Date1"/>
    <w:basedOn w:val="DefaultParagraphFont"/>
    <w:semiHidden/>
    <w:rsid w:val="007E7F07"/>
  </w:style>
  <w:style w:type="paragraph" w:customStyle="1" w:styleId="Heading">
    <w:name w:val="Heading"/>
    <w:basedOn w:val="Heading1"/>
    <w:next w:val="BodyText"/>
    <w:link w:val="HeadingChar"/>
    <w:qFormat/>
    <w:rsid w:val="00784A76"/>
    <w:pPr>
      <w:pageBreakBefore/>
    </w:pPr>
    <w:rPr>
      <w:noProof/>
    </w:rPr>
  </w:style>
  <w:style w:type="table" w:customStyle="1" w:styleId="Figure">
    <w:name w:val="Figure"/>
    <w:basedOn w:val="TableGrid1"/>
    <w:uiPriority w:val="99"/>
    <w:rsid w:val="00EF5748"/>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lockQuotation">
    <w:name w:val="Block Quotation"/>
    <w:basedOn w:val="BodyText"/>
    <w:qFormat/>
    <w:rsid w:val="00C141FE"/>
    <w:pPr>
      <w:ind w:left="567" w:right="567"/>
      <w:jc w:val="both"/>
    </w:pPr>
    <w:rPr>
      <w:noProof/>
      <w:sz w:val="20"/>
      <w:lang w:eastAsia="en-US"/>
    </w:rPr>
  </w:style>
  <w:style w:type="paragraph" w:styleId="ListNumber">
    <w:name w:val="List Number"/>
    <w:aliases w:val="Numbered level 1"/>
    <w:basedOn w:val="Normal"/>
    <w:rsid w:val="000277C5"/>
    <w:pPr>
      <w:numPr>
        <w:ilvl w:val="5"/>
        <w:numId w:val="17"/>
      </w:numPr>
      <w:spacing w:before="60" w:after="60" w:line="276" w:lineRule="auto"/>
    </w:pPr>
    <w:rPr>
      <w:color w:val="000000"/>
    </w:rPr>
  </w:style>
  <w:style w:type="paragraph" w:styleId="Footer">
    <w:name w:val="footer"/>
    <w:link w:val="FooterChar"/>
    <w:uiPriority w:val="99"/>
    <w:rsid w:val="007E7F07"/>
    <w:pPr>
      <w:tabs>
        <w:tab w:val="right" w:pos="9355"/>
      </w:tabs>
    </w:pPr>
    <w:rPr>
      <w:rFonts w:ascii="Arial" w:hAnsi="Arial"/>
      <w:b/>
      <w:color w:val="635D63"/>
      <w:sz w:val="18"/>
      <w:szCs w:val="18"/>
    </w:rPr>
  </w:style>
  <w:style w:type="paragraph" w:customStyle="1" w:styleId="BodyText-White">
    <w:name w:val="Body Text - White"/>
    <w:basedOn w:val="BodyText"/>
    <w:rsid w:val="007E7F07"/>
    <w:rPr>
      <w:color w:val="FFFFFF"/>
    </w:rPr>
  </w:style>
  <w:style w:type="paragraph" w:customStyle="1" w:styleId="SectionHeading">
    <w:name w:val="Section Heading"/>
    <w:basedOn w:val="Normal"/>
    <w:semiHidden/>
    <w:rsid w:val="007E7F07"/>
    <w:pPr>
      <w:tabs>
        <w:tab w:val="num" w:pos="1134"/>
      </w:tabs>
      <w:ind w:hanging="567"/>
    </w:pPr>
    <w:rPr>
      <w:sz w:val="48"/>
    </w:rPr>
  </w:style>
  <w:style w:type="character" w:customStyle="1" w:styleId="SectionNo">
    <w:name w:val="Section No"/>
    <w:basedOn w:val="DefaultParagraphFont"/>
    <w:semiHidden/>
    <w:rsid w:val="007E7F07"/>
    <w:rPr>
      <w:rFonts w:ascii="Arial" w:hAnsi="Arial"/>
      <w:b/>
      <w:sz w:val="20"/>
    </w:rPr>
  </w:style>
  <w:style w:type="character" w:customStyle="1" w:styleId="BodyTextItalics">
    <w:name w:val="Body Text Italics"/>
    <w:basedOn w:val="DefaultParagraphFont"/>
    <w:semiHidden/>
    <w:rsid w:val="007E7F07"/>
    <w:rPr>
      <w:rFonts w:ascii="Arial" w:hAnsi="Arial"/>
      <w:i/>
      <w:sz w:val="20"/>
      <w:lang w:val="en-AU"/>
    </w:rPr>
  </w:style>
  <w:style w:type="character" w:customStyle="1" w:styleId="BoldEmphasis">
    <w:name w:val="Bold Emphasis"/>
    <w:basedOn w:val="DefaultParagraphFont"/>
    <w:semiHidden/>
    <w:rsid w:val="007E7F07"/>
    <w:rPr>
      <w:b/>
    </w:rPr>
  </w:style>
  <w:style w:type="paragraph" w:styleId="TOC3">
    <w:name w:val="toc 3"/>
    <w:basedOn w:val="Normal"/>
    <w:next w:val="Normal"/>
    <w:uiPriority w:val="39"/>
    <w:rsid w:val="008C6A73"/>
    <w:pPr>
      <w:tabs>
        <w:tab w:val="left" w:pos="1701"/>
        <w:tab w:val="right" w:leader="dot" w:pos="8505"/>
      </w:tabs>
      <w:ind w:left="1134" w:right="567"/>
    </w:pPr>
    <w:rPr>
      <w:noProof/>
    </w:rPr>
  </w:style>
  <w:style w:type="paragraph" w:styleId="BodyText3">
    <w:name w:val="Body Text 3"/>
    <w:basedOn w:val="BodyText"/>
    <w:semiHidden/>
    <w:rsid w:val="007E7F07"/>
    <w:rPr>
      <w:szCs w:val="16"/>
      <w:lang w:eastAsia="en-US"/>
    </w:rPr>
  </w:style>
  <w:style w:type="table" w:customStyle="1" w:styleId="NavyTable">
    <w:name w:val="Navy Table"/>
    <w:basedOn w:val="TableNormal"/>
    <w:rsid w:val="004A025E"/>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ext">
    <w:name w:val="text"/>
    <w:next w:val="Normal"/>
    <w:autoRedefine/>
    <w:semiHidden/>
    <w:rsid w:val="007E7F07"/>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A267AD"/>
    <w:pPr>
      <w:spacing w:after="600"/>
    </w:pPr>
    <w:rPr>
      <w:b/>
      <w:color w:val="FFFFFF"/>
      <w:sz w:val="48"/>
      <w:szCs w:val="48"/>
      <w:lang w:eastAsia="en-US"/>
    </w:rPr>
  </w:style>
  <w:style w:type="character" w:customStyle="1" w:styleId="DocProjectName">
    <w:name w:val="DocProjectName"/>
    <w:basedOn w:val="DefaultParagraphFont"/>
    <w:semiHidden/>
    <w:rsid w:val="007E7F07"/>
  </w:style>
  <w:style w:type="character" w:customStyle="1" w:styleId="DocTitle">
    <w:name w:val="DocTitle"/>
    <w:basedOn w:val="DefaultParagraphFont"/>
    <w:semiHidden/>
    <w:rsid w:val="007E7F07"/>
  </w:style>
  <w:style w:type="character" w:customStyle="1" w:styleId="DocSubTitle">
    <w:name w:val="DocSubTitle"/>
    <w:basedOn w:val="DefaultParagraphFont"/>
    <w:semiHidden/>
    <w:rsid w:val="007E7F07"/>
  </w:style>
  <w:style w:type="paragraph" w:customStyle="1" w:styleId="TableTextCentre">
    <w:name w:val="Table Text Centre"/>
    <w:basedOn w:val="TableTextLeft"/>
    <w:rsid w:val="007E7F07"/>
    <w:pPr>
      <w:jc w:val="center"/>
    </w:pPr>
    <w:rPr>
      <w:lang w:val="en-NZ"/>
    </w:rPr>
  </w:style>
  <w:style w:type="paragraph" w:styleId="ListParagraph">
    <w:name w:val="List Paragraph"/>
    <w:basedOn w:val="BodyText"/>
    <w:qFormat/>
    <w:rsid w:val="007E7F07"/>
    <w:pPr>
      <w:numPr>
        <w:numId w:val="14"/>
      </w:numPr>
      <w:spacing w:before="60" w:after="60"/>
    </w:pPr>
  </w:style>
  <w:style w:type="paragraph" w:customStyle="1" w:styleId="TableTitle">
    <w:name w:val="Table Title"/>
    <w:basedOn w:val="Heading5"/>
    <w:semiHidden/>
    <w:rsid w:val="007E7F07"/>
    <w:rPr>
      <w:rFonts w:ascii="Gill Sans MT" w:hAnsi="Gill Sans MT"/>
      <w:color w:val="000000"/>
      <w:sz w:val="18"/>
    </w:rPr>
  </w:style>
  <w:style w:type="paragraph" w:customStyle="1" w:styleId="DueDate">
    <w:name w:val="DueDate"/>
    <w:semiHidden/>
    <w:rsid w:val="007E7F07"/>
    <w:pPr>
      <w:spacing w:before="80"/>
      <w:ind w:left="284"/>
    </w:pPr>
    <w:rPr>
      <w:rFonts w:ascii="Gill Sans MT" w:hAnsi="Gill Sans MT" w:cs="Arial"/>
      <w:color w:val="003366"/>
      <w:sz w:val="28"/>
      <w:szCs w:val="28"/>
      <w:lang w:eastAsia="en-US"/>
    </w:rPr>
  </w:style>
  <w:style w:type="character" w:customStyle="1" w:styleId="TitleChar">
    <w:name w:val="Title Char"/>
    <w:basedOn w:val="DefaultParagraphFont"/>
    <w:link w:val="Title"/>
    <w:rsid w:val="00A267AD"/>
    <w:rPr>
      <w:rFonts w:ascii="Arial" w:hAnsi="Arial"/>
      <w:b/>
      <w:color w:val="FFFFFF"/>
      <w:sz w:val="48"/>
      <w:szCs w:val="48"/>
      <w:lang w:val="en-AU" w:eastAsia="en-US" w:bidi="ar-SA"/>
    </w:rPr>
  </w:style>
  <w:style w:type="paragraph" w:customStyle="1" w:styleId="TableListNumber">
    <w:name w:val="Table List Number"/>
    <w:basedOn w:val="TableTextLeft"/>
    <w:rsid w:val="000277C5"/>
    <w:pPr>
      <w:numPr>
        <w:numId w:val="20"/>
      </w:numPr>
    </w:pPr>
  </w:style>
  <w:style w:type="paragraph" w:customStyle="1" w:styleId="TableListLetter">
    <w:name w:val="Table List Letter"/>
    <w:basedOn w:val="TableTextLeft"/>
    <w:rsid w:val="000277C5"/>
    <w:pPr>
      <w:numPr>
        <w:numId w:val="19"/>
      </w:numPr>
    </w:pPr>
  </w:style>
  <w:style w:type="table" w:customStyle="1" w:styleId="Table-Standard1">
    <w:name w:val="Table-Standard1"/>
    <w:basedOn w:val="TableNormal"/>
    <w:semiHidden/>
    <w:rsid w:val="007E7F07"/>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897242"/>
    <w:pPr>
      <w:spacing w:after="600"/>
      <w:ind w:left="567" w:right="567"/>
    </w:pPr>
    <w:rPr>
      <w:rFonts w:ascii="Arial" w:hAnsi="Arial" w:cs="Arial"/>
      <w:color w:val="000000"/>
      <w:sz w:val="24"/>
      <w:szCs w:val="24"/>
    </w:rPr>
  </w:style>
  <w:style w:type="paragraph" w:styleId="Subtitle">
    <w:name w:val="Subtitle"/>
    <w:qFormat/>
    <w:rsid w:val="00F02B8C"/>
    <w:pPr>
      <w:spacing w:after="600"/>
      <w:ind w:right="567"/>
      <w:outlineLvl w:val="1"/>
    </w:pPr>
    <w:rPr>
      <w:rFonts w:ascii="Arial" w:hAnsi="Arial" w:cs="Arial"/>
      <w:b/>
      <w:color w:val="FFFFFF"/>
      <w:sz w:val="40"/>
      <w:szCs w:val="40"/>
    </w:rPr>
  </w:style>
  <w:style w:type="paragraph" w:customStyle="1" w:styleId="ListAlpha">
    <w:name w:val="List Alpha"/>
    <w:basedOn w:val="ListNumber"/>
    <w:semiHidden/>
    <w:rsid w:val="007E7F07"/>
    <w:pPr>
      <w:numPr>
        <w:ilvl w:val="0"/>
        <w:numId w:val="5"/>
      </w:numPr>
    </w:pPr>
  </w:style>
  <w:style w:type="character" w:customStyle="1" w:styleId="DocDate">
    <w:name w:val="DocDate"/>
    <w:basedOn w:val="DefaultParagraphFont"/>
    <w:semiHidden/>
    <w:rsid w:val="007E7F07"/>
  </w:style>
  <w:style w:type="numbering" w:styleId="1ai">
    <w:name w:val="Outline List 1"/>
    <w:basedOn w:val="NoList"/>
    <w:semiHidden/>
    <w:rsid w:val="007E7F07"/>
    <w:pPr>
      <w:numPr>
        <w:numId w:val="2"/>
      </w:numPr>
    </w:pPr>
  </w:style>
  <w:style w:type="numbering" w:styleId="ArticleSection">
    <w:name w:val="Outline List 3"/>
    <w:basedOn w:val="NoList"/>
    <w:semiHidden/>
    <w:rsid w:val="007E7F07"/>
    <w:pPr>
      <w:numPr>
        <w:numId w:val="3"/>
      </w:numPr>
    </w:pPr>
  </w:style>
  <w:style w:type="paragraph" w:styleId="BlockText">
    <w:name w:val="Block Text"/>
    <w:basedOn w:val="Normal"/>
    <w:semiHidden/>
    <w:rsid w:val="007E7F07"/>
    <w:pPr>
      <w:spacing w:after="120"/>
      <w:ind w:left="1440" w:right="1440"/>
    </w:pPr>
  </w:style>
  <w:style w:type="paragraph" w:styleId="BodyTextFirstIndent">
    <w:name w:val="Body Text First Indent"/>
    <w:basedOn w:val="BodyText"/>
    <w:semiHidden/>
    <w:rsid w:val="007E7F07"/>
    <w:pPr>
      <w:spacing w:line="240" w:lineRule="auto"/>
      <w:ind w:firstLine="210"/>
    </w:pPr>
  </w:style>
  <w:style w:type="paragraph" w:styleId="BodyTextIndent">
    <w:name w:val="Body Text Indent"/>
    <w:basedOn w:val="Normal"/>
    <w:semiHidden/>
    <w:rsid w:val="007E7F07"/>
    <w:pPr>
      <w:spacing w:after="120"/>
      <w:ind w:left="283"/>
    </w:pPr>
  </w:style>
  <w:style w:type="paragraph" w:styleId="BodyTextFirstIndent2">
    <w:name w:val="Body Text First Indent 2"/>
    <w:basedOn w:val="BodyTextIndent"/>
    <w:semiHidden/>
    <w:rsid w:val="007E7F07"/>
    <w:pPr>
      <w:ind w:firstLine="210"/>
    </w:pPr>
  </w:style>
  <w:style w:type="paragraph" w:styleId="BodyTextIndent2">
    <w:name w:val="Body Text Indent 2"/>
    <w:basedOn w:val="Normal"/>
    <w:semiHidden/>
    <w:rsid w:val="007E7F07"/>
    <w:pPr>
      <w:spacing w:after="120" w:line="480" w:lineRule="auto"/>
      <w:ind w:left="283"/>
    </w:pPr>
  </w:style>
  <w:style w:type="paragraph" w:styleId="BodyTextIndent3">
    <w:name w:val="Body Text Indent 3"/>
    <w:basedOn w:val="Normal"/>
    <w:semiHidden/>
    <w:rsid w:val="007E7F07"/>
    <w:pPr>
      <w:spacing w:after="120"/>
      <w:ind w:left="283"/>
    </w:pPr>
    <w:rPr>
      <w:sz w:val="16"/>
      <w:szCs w:val="16"/>
    </w:rPr>
  </w:style>
  <w:style w:type="paragraph" w:styleId="Caption">
    <w:name w:val="caption"/>
    <w:basedOn w:val="Normal"/>
    <w:next w:val="BodyText"/>
    <w:qFormat/>
    <w:rsid w:val="007E7F07"/>
    <w:pPr>
      <w:spacing w:before="120" w:after="120"/>
    </w:pPr>
    <w:rPr>
      <w:b/>
      <w:bCs/>
      <w:sz w:val="20"/>
      <w:szCs w:val="20"/>
    </w:rPr>
  </w:style>
  <w:style w:type="paragraph" w:styleId="Closing">
    <w:name w:val="Closing"/>
    <w:basedOn w:val="Normal"/>
    <w:semiHidden/>
    <w:rsid w:val="007E7F07"/>
    <w:pPr>
      <w:ind w:left="4252"/>
    </w:pPr>
  </w:style>
  <w:style w:type="paragraph" w:styleId="Date">
    <w:name w:val="Date"/>
    <w:basedOn w:val="Normal"/>
    <w:next w:val="Normal"/>
    <w:semiHidden/>
    <w:rsid w:val="007E7F07"/>
  </w:style>
  <w:style w:type="paragraph" w:styleId="E-mailSignature">
    <w:name w:val="E-mail Signature"/>
    <w:basedOn w:val="Normal"/>
    <w:semiHidden/>
    <w:rsid w:val="007E7F07"/>
  </w:style>
  <w:style w:type="character" w:styleId="Emphasis">
    <w:name w:val="Emphasis"/>
    <w:basedOn w:val="DefaultParagraphFont"/>
    <w:qFormat/>
    <w:rsid w:val="007E7F07"/>
    <w:rPr>
      <w:i/>
      <w:iCs/>
    </w:rPr>
  </w:style>
  <w:style w:type="paragraph" w:styleId="EnvelopeAddress">
    <w:name w:val="envelope address"/>
    <w:basedOn w:val="Normal"/>
    <w:semiHidden/>
    <w:rsid w:val="007E7F0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7E7F07"/>
    <w:rPr>
      <w:rFonts w:cs="Arial"/>
      <w:sz w:val="20"/>
      <w:szCs w:val="20"/>
    </w:rPr>
  </w:style>
  <w:style w:type="character" w:styleId="FollowedHyperlink">
    <w:name w:val="FollowedHyperlink"/>
    <w:basedOn w:val="DefaultParagraphFont"/>
    <w:semiHidden/>
    <w:rsid w:val="007E7F07"/>
    <w:rPr>
      <w:color w:val="800080"/>
      <w:u w:val="single"/>
    </w:rPr>
  </w:style>
  <w:style w:type="character" w:styleId="HTMLAcronym">
    <w:name w:val="HTML Acronym"/>
    <w:basedOn w:val="DefaultParagraphFont"/>
    <w:semiHidden/>
    <w:rsid w:val="007E7F07"/>
  </w:style>
  <w:style w:type="paragraph" w:styleId="HTMLAddress">
    <w:name w:val="HTML Address"/>
    <w:basedOn w:val="Normal"/>
    <w:semiHidden/>
    <w:rsid w:val="007E7F07"/>
    <w:rPr>
      <w:i/>
      <w:iCs/>
    </w:rPr>
  </w:style>
  <w:style w:type="character" w:styleId="HTMLCite">
    <w:name w:val="HTML Cite"/>
    <w:basedOn w:val="DefaultParagraphFont"/>
    <w:semiHidden/>
    <w:rsid w:val="007E7F07"/>
    <w:rPr>
      <w:i/>
      <w:iCs/>
    </w:rPr>
  </w:style>
  <w:style w:type="character" w:styleId="HTMLCode">
    <w:name w:val="HTML Code"/>
    <w:basedOn w:val="DefaultParagraphFont"/>
    <w:semiHidden/>
    <w:rsid w:val="007E7F07"/>
    <w:rPr>
      <w:rFonts w:ascii="Courier New" w:hAnsi="Courier New" w:cs="Courier New"/>
      <w:sz w:val="20"/>
      <w:szCs w:val="20"/>
    </w:rPr>
  </w:style>
  <w:style w:type="character" w:styleId="HTMLDefinition">
    <w:name w:val="HTML Definition"/>
    <w:basedOn w:val="DefaultParagraphFont"/>
    <w:semiHidden/>
    <w:rsid w:val="007E7F07"/>
    <w:rPr>
      <w:i/>
      <w:iCs/>
    </w:rPr>
  </w:style>
  <w:style w:type="character" w:styleId="HTMLKeyboard">
    <w:name w:val="HTML Keyboard"/>
    <w:basedOn w:val="DefaultParagraphFont"/>
    <w:semiHidden/>
    <w:rsid w:val="007E7F07"/>
    <w:rPr>
      <w:rFonts w:ascii="Courier New" w:hAnsi="Courier New" w:cs="Courier New"/>
      <w:sz w:val="20"/>
      <w:szCs w:val="20"/>
    </w:rPr>
  </w:style>
  <w:style w:type="paragraph" w:styleId="HTMLPreformatted">
    <w:name w:val="HTML Preformatted"/>
    <w:basedOn w:val="Normal"/>
    <w:semiHidden/>
    <w:rsid w:val="007E7F07"/>
    <w:rPr>
      <w:rFonts w:ascii="Courier New" w:hAnsi="Courier New" w:cs="Courier New"/>
      <w:sz w:val="20"/>
      <w:szCs w:val="20"/>
    </w:rPr>
  </w:style>
  <w:style w:type="character" w:styleId="HTMLSample">
    <w:name w:val="HTML Sample"/>
    <w:basedOn w:val="DefaultParagraphFont"/>
    <w:semiHidden/>
    <w:rsid w:val="007E7F07"/>
    <w:rPr>
      <w:rFonts w:ascii="Courier New" w:hAnsi="Courier New" w:cs="Courier New"/>
    </w:rPr>
  </w:style>
  <w:style w:type="character" w:styleId="HTMLTypewriter">
    <w:name w:val="HTML Typewriter"/>
    <w:basedOn w:val="DefaultParagraphFont"/>
    <w:semiHidden/>
    <w:rsid w:val="007E7F07"/>
    <w:rPr>
      <w:rFonts w:ascii="Courier New" w:hAnsi="Courier New" w:cs="Courier New"/>
      <w:sz w:val="20"/>
      <w:szCs w:val="20"/>
    </w:rPr>
  </w:style>
  <w:style w:type="character" w:styleId="HTMLVariable">
    <w:name w:val="HTML Variable"/>
    <w:basedOn w:val="DefaultParagraphFont"/>
    <w:semiHidden/>
    <w:rsid w:val="007E7F07"/>
    <w:rPr>
      <w:i/>
      <w:iCs/>
    </w:rPr>
  </w:style>
  <w:style w:type="character" w:styleId="LineNumber">
    <w:name w:val="line number"/>
    <w:basedOn w:val="DefaultParagraphFont"/>
    <w:semiHidden/>
    <w:rsid w:val="007E7F07"/>
  </w:style>
  <w:style w:type="paragraph" w:styleId="List">
    <w:name w:val="List"/>
    <w:basedOn w:val="Normal"/>
    <w:semiHidden/>
    <w:rsid w:val="007E7F07"/>
    <w:pPr>
      <w:ind w:left="283" w:hanging="283"/>
    </w:pPr>
  </w:style>
  <w:style w:type="paragraph" w:styleId="List2">
    <w:name w:val="List 2"/>
    <w:basedOn w:val="Normal"/>
    <w:semiHidden/>
    <w:rsid w:val="007E7F07"/>
    <w:pPr>
      <w:ind w:left="566" w:hanging="283"/>
    </w:pPr>
  </w:style>
  <w:style w:type="paragraph" w:styleId="List3">
    <w:name w:val="List 3"/>
    <w:basedOn w:val="Normal"/>
    <w:semiHidden/>
    <w:rsid w:val="007E7F07"/>
    <w:pPr>
      <w:ind w:left="849" w:hanging="283"/>
    </w:pPr>
  </w:style>
  <w:style w:type="paragraph" w:styleId="List4">
    <w:name w:val="List 4"/>
    <w:basedOn w:val="Normal"/>
    <w:semiHidden/>
    <w:rsid w:val="007E7F07"/>
    <w:pPr>
      <w:ind w:left="1132" w:hanging="283"/>
    </w:pPr>
  </w:style>
  <w:style w:type="paragraph" w:styleId="List5">
    <w:name w:val="List 5"/>
    <w:basedOn w:val="Normal"/>
    <w:semiHidden/>
    <w:rsid w:val="007E7F07"/>
    <w:pPr>
      <w:ind w:left="1415" w:hanging="283"/>
    </w:pPr>
  </w:style>
  <w:style w:type="paragraph" w:styleId="ListBullet2">
    <w:name w:val="List Bullet 2"/>
    <w:basedOn w:val="Normal"/>
    <w:semiHidden/>
    <w:rsid w:val="007E7F07"/>
    <w:pPr>
      <w:numPr>
        <w:numId w:val="6"/>
      </w:numPr>
    </w:pPr>
  </w:style>
  <w:style w:type="paragraph" w:styleId="ListBullet3">
    <w:name w:val="List Bullet 3"/>
    <w:basedOn w:val="Normal"/>
    <w:semiHidden/>
    <w:rsid w:val="007E7F07"/>
    <w:pPr>
      <w:numPr>
        <w:numId w:val="7"/>
      </w:numPr>
    </w:pPr>
  </w:style>
  <w:style w:type="paragraph" w:styleId="ListBullet4">
    <w:name w:val="List Bullet 4"/>
    <w:basedOn w:val="Normal"/>
    <w:semiHidden/>
    <w:rsid w:val="007E7F07"/>
    <w:pPr>
      <w:numPr>
        <w:numId w:val="8"/>
      </w:numPr>
    </w:pPr>
  </w:style>
  <w:style w:type="paragraph" w:styleId="ListBullet5">
    <w:name w:val="List Bullet 5"/>
    <w:basedOn w:val="Normal"/>
    <w:semiHidden/>
    <w:rsid w:val="007E7F07"/>
    <w:pPr>
      <w:numPr>
        <w:numId w:val="9"/>
      </w:numPr>
    </w:pPr>
  </w:style>
  <w:style w:type="paragraph" w:styleId="ListContinue">
    <w:name w:val="List Continue"/>
    <w:basedOn w:val="Normal"/>
    <w:semiHidden/>
    <w:rsid w:val="007E7F07"/>
    <w:pPr>
      <w:spacing w:after="120"/>
      <w:ind w:left="283"/>
    </w:pPr>
  </w:style>
  <w:style w:type="paragraph" w:styleId="ListContinue2">
    <w:name w:val="List Continue 2"/>
    <w:basedOn w:val="Normal"/>
    <w:semiHidden/>
    <w:rsid w:val="007E7F07"/>
    <w:pPr>
      <w:spacing w:after="120"/>
      <w:ind w:left="566"/>
    </w:pPr>
  </w:style>
  <w:style w:type="paragraph" w:styleId="ListContinue3">
    <w:name w:val="List Continue 3"/>
    <w:basedOn w:val="Normal"/>
    <w:semiHidden/>
    <w:rsid w:val="007E7F07"/>
    <w:pPr>
      <w:spacing w:after="120"/>
      <w:ind w:left="849"/>
    </w:pPr>
  </w:style>
  <w:style w:type="paragraph" w:styleId="ListContinue4">
    <w:name w:val="List Continue 4"/>
    <w:basedOn w:val="Normal"/>
    <w:semiHidden/>
    <w:rsid w:val="007E7F07"/>
    <w:pPr>
      <w:spacing w:after="120"/>
      <w:ind w:left="1132"/>
    </w:pPr>
  </w:style>
  <w:style w:type="paragraph" w:styleId="ListContinue5">
    <w:name w:val="List Continue 5"/>
    <w:basedOn w:val="Normal"/>
    <w:semiHidden/>
    <w:rsid w:val="007E7F07"/>
    <w:pPr>
      <w:spacing w:after="120"/>
      <w:ind w:left="1415"/>
    </w:pPr>
  </w:style>
  <w:style w:type="paragraph" w:styleId="ListNumber2">
    <w:name w:val="List Number 2"/>
    <w:basedOn w:val="Normal"/>
    <w:semiHidden/>
    <w:rsid w:val="007E7F07"/>
    <w:pPr>
      <w:numPr>
        <w:numId w:val="10"/>
      </w:numPr>
    </w:pPr>
  </w:style>
  <w:style w:type="paragraph" w:styleId="ListNumber3">
    <w:name w:val="List Number 3"/>
    <w:basedOn w:val="Normal"/>
    <w:semiHidden/>
    <w:rsid w:val="007E7F07"/>
    <w:pPr>
      <w:numPr>
        <w:numId w:val="11"/>
      </w:numPr>
    </w:pPr>
  </w:style>
  <w:style w:type="paragraph" w:styleId="ListNumber4">
    <w:name w:val="List Number 4"/>
    <w:basedOn w:val="Normal"/>
    <w:semiHidden/>
    <w:rsid w:val="007E7F07"/>
    <w:pPr>
      <w:numPr>
        <w:numId w:val="12"/>
      </w:numPr>
    </w:pPr>
  </w:style>
  <w:style w:type="paragraph" w:styleId="ListNumber5">
    <w:name w:val="List Number 5"/>
    <w:basedOn w:val="Normal"/>
    <w:semiHidden/>
    <w:rsid w:val="007E7F07"/>
    <w:pPr>
      <w:numPr>
        <w:numId w:val="13"/>
      </w:numPr>
    </w:pPr>
  </w:style>
  <w:style w:type="paragraph" w:styleId="MessageHeader">
    <w:name w:val="Message Header"/>
    <w:basedOn w:val="Normal"/>
    <w:semiHidden/>
    <w:rsid w:val="007E7F0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7E7F07"/>
    <w:rPr>
      <w:rFonts w:ascii="Times New Roman" w:hAnsi="Times New Roman"/>
      <w:sz w:val="24"/>
    </w:rPr>
  </w:style>
  <w:style w:type="paragraph" w:styleId="NormalIndent">
    <w:name w:val="Normal Indent"/>
    <w:basedOn w:val="Normal"/>
    <w:semiHidden/>
    <w:rsid w:val="007E7F07"/>
    <w:pPr>
      <w:ind w:left="720"/>
    </w:pPr>
  </w:style>
  <w:style w:type="paragraph" w:styleId="NoteHeading">
    <w:name w:val="Note Heading"/>
    <w:basedOn w:val="Normal"/>
    <w:next w:val="Normal"/>
    <w:semiHidden/>
    <w:rsid w:val="007E7F07"/>
  </w:style>
  <w:style w:type="paragraph" w:styleId="PlainText">
    <w:name w:val="Plain Text"/>
    <w:basedOn w:val="Normal"/>
    <w:semiHidden/>
    <w:rsid w:val="007E7F07"/>
    <w:rPr>
      <w:rFonts w:ascii="Courier New" w:hAnsi="Courier New" w:cs="Courier New"/>
      <w:sz w:val="20"/>
      <w:szCs w:val="20"/>
    </w:rPr>
  </w:style>
  <w:style w:type="paragraph" w:styleId="Salutation">
    <w:name w:val="Salutation"/>
    <w:basedOn w:val="Normal"/>
    <w:next w:val="Normal"/>
    <w:semiHidden/>
    <w:rsid w:val="007E7F07"/>
  </w:style>
  <w:style w:type="paragraph" w:styleId="Signature">
    <w:name w:val="Signature"/>
    <w:basedOn w:val="Normal"/>
    <w:semiHidden/>
    <w:rsid w:val="007E7F07"/>
    <w:pPr>
      <w:ind w:left="4252"/>
    </w:pPr>
  </w:style>
  <w:style w:type="character" w:styleId="Strong">
    <w:name w:val="Strong"/>
    <w:basedOn w:val="DefaultParagraphFont"/>
    <w:qFormat/>
    <w:rsid w:val="007E7F07"/>
    <w:rPr>
      <w:b/>
      <w:bCs/>
    </w:rPr>
  </w:style>
  <w:style w:type="table" w:styleId="Table3Deffects1">
    <w:name w:val="Table 3D effects 1"/>
    <w:basedOn w:val="TableNormal"/>
    <w:semiHidden/>
    <w:rsid w:val="007E7F07"/>
    <w:pPr>
      <w:numPr>
        <w:ilvl w:val="1"/>
        <w:numId w:val="2"/>
      </w:numPr>
      <w:tabs>
        <w:tab w:val="clear" w:pos="720"/>
        <w:tab w:val="num" w:pos="792"/>
      </w:tabs>
      <w:ind w:left="792" w:hanging="43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07"/>
    <w:pPr>
      <w:numPr>
        <w:ilvl w:val="1"/>
        <w:numId w:val="2"/>
      </w:numPr>
      <w:tabs>
        <w:tab w:val="clear" w:pos="720"/>
        <w:tab w:val="num" w:pos="792"/>
      </w:tabs>
      <w:ind w:left="792" w:hanging="43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07"/>
    <w:pPr>
      <w:numPr>
        <w:ilvl w:val="1"/>
        <w:numId w:val="2"/>
      </w:numPr>
      <w:tabs>
        <w:tab w:val="clear" w:pos="720"/>
        <w:tab w:val="num" w:pos="792"/>
      </w:tabs>
      <w:ind w:left="792" w:hanging="43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F07"/>
    <w:pPr>
      <w:numPr>
        <w:ilvl w:val="1"/>
        <w:numId w:val="2"/>
      </w:numPr>
      <w:tabs>
        <w:tab w:val="clear" w:pos="720"/>
        <w:tab w:val="num" w:pos="792"/>
      </w:tabs>
      <w:ind w:left="792" w:hanging="43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07"/>
    <w:pPr>
      <w:numPr>
        <w:ilvl w:val="1"/>
        <w:numId w:val="2"/>
      </w:numPr>
      <w:tabs>
        <w:tab w:val="clear" w:pos="720"/>
        <w:tab w:val="num" w:pos="792"/>
      </w:tabs>
      <w:ind w:left="792" w:hanging="43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07"/>
    <w:pPr>
      <w:numPr>
        <w:ilvl w:val="1"/>
        <w:numId w:val="2"/>
      </w:numPr>
      <w:tabs>
        <w:tab w:val="clear" w:pos="720"/>
        <w:tab w:val="num" w:pos="792"/>
      </w:tabs>
      <w:ind w:left="792" w:hanging="43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07"/>
    <w:pPr>
      <w:numPr>
        <w:ilvl w:val="1"/>
        <w:numId w:val="2"/>
      </w:numPr>
      <w:tabs>
        <w:tab w:val="clear" w:pos="720"/>
        <w:tab w:val="num" w:pos="792"/>
      </w:tabs>
      <w:ind w:left="792" w:hanging="43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07"/>
    <w:pPr>
      <w:numPr>
        <w:ilvl w:val="1"/>
        <w:numId w:val="2"/>
      </w:numPr>
      <w:tabs>
        <w:tab w:val="clear" w:pos="720"/>
        <w:tab w:val="num" w:pos="792"/>
      </w:tabs>
      <w:ind w:left="792" w:hanging="43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07"/>
    <w:pPr>
      <w:numPr>
        <w:ilvl w:val="1"/>
        <w:numId w:val="2"/>
      </w:numPr>
      <w:tabs>
        <w:tab w:val="clear" w:pos="720"/>
        <w:tab w:val="num" w:pos="792"/>
      </w:tabs>
      <w:ind w:left="792" w:hanging="43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07"/>
    <w:pPr>
      <w:numPr>
        <w:ilvl w:val="1"/>
        <w:numId w:val="2"/>
      </w:numPr>
      <w:tabs>
        <w:tab w:val="clear" w:pos="720"/>
        <w:tab w:val="num" w:pos="792"/>
      </w:tabs>
      <w:ind w:left="792" w:hanging="43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07"/>
    <w:pPr>
      <w:numPr>
        <w:ilvl w:val="1"/>
        <w:numId w:val="2"/>
      </w:numPr>
      <w:tabs>
        <w:tab w:val="clear" w:pos="720"/>
        <w:tab w:val="num" w:pos="792"/>
      </w:tabs>
      <w:ind w:left="792" w:hanging="43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07"/>
    <w:pPr>
      <w:numPr>
        <w:ilvl w:val="1"/>
        <w:numId w:val="2"/>
      </w:numPr>
      <w:tabs>
        <w:tab w:val="clear" w:pos="720"/>
        <w:tab w:val="num" w:pos="792"/>
      </w:tabs>
      <w:ind w:left="792" w:hanging="43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07"/>
    <w:pPr>
      <w:numPr>
        <w:ilvl w:val="1"/>
        <w:numId w:val="2"/>
      </w:numPr>
      <w:tabs>
        <w:tab w:val="clear" w:pos="720"/>
        <w:tab w:val="num" w:pos="792"/>
      </w:tabs>
      <w:ind w:left="792" w:hanging="43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07"/>
    <w:pPr>
      <w:numPr>
        <w:ilvl w:val="1"/>
        <w:numId w:val="2"/>
      </w:numPr>
      <w:tabs>
        <w:tab w:val="clear" w:pos="720"/>
        <w:tab w:val="num" w:pos="792"/>
      </w:tabs>
      <w:ind w:left="792" w:hanging="43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7F07"/>
    <w:pPr>
      <w:numPr>
        <w:ilvl w:val="1"/>
        <w:numId w:val="2"/>
      </w:numPr>
      <w:tabs>
        <w:tab w:val="clear" w:pos="720"/>
        <w:tab w:val="num" w:pos="792"/>
      </w:tabs>
      <w:ind w:left="792" w:hanging="43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F07"/>
    <w:pPr>
      <w:numPr>
        <w:ilvl w:val="1"/>
        <w:numId w:val="2"/>
      </w:numPr>
      <w:tabs>
        <w:tab w:val="clear" w:pos="720"/>
        <w:tab w:val="num" w:pos="792"/>
      </w:tabs>
      <w:ind w:left="792" w:hanging="43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F07"/>
    <w:pPr>
      <w:numPr>
        <w:ilvl w:val="1"/>
        <w:numId w:val="2"/>
      </w:numPr>
      <w:tabs>
        <w:tab w:val="clear" w:pos="720"/>
        <w:tab w:val="num" w:pos="792"/>
      </w:tabs>
      <w:ind w:left="792" w:hanging="43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F07"/>
    <w:pPr>
      <w:numPr>
        <w:ilvl w:val="1"/>
        <w:numId w:val="2"/>
      </w:numPr>
      <w:tabs>
        <w:tab w:val="clear" w:pos="720"/>
        <w:tab w:val="num" w:pos="792"/>
      </w:tabs>
      <w:ind w:left="792" w:hanging="43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07"/>
    <w:pPr>
      <w:numPr>
        <w:ilvl w:val="1"/>
        <w:numId w:val="2"/>
      </w:numPr>
      <w:tabs>
        <w:tab w:val="clear" w:pos="720"/>
        <w:tab w:val="num" w:pos="792"/>
      </w:tabs>
      <w:ind w:left="792" w:hanging="43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F07"/>
    <w:pPr>
      <w:numPr>
        <w:ilvl w:val="1"/>
        <w:numId w:val="2"/>
      </w:numPr>
      <w:tabs>
        <w:tab w:val="clear" w:pos="720"/>
        <w:tab w:val="num" w:pos="792"/>
      </w:tabs>
      <w:ind w:left="792" w:hanging="43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7F07"/>
    <w:pPr>
      <w:numPr>
        <w:ilvl w:val="1"/>
        <w:numId w:val="2"/>
      </w:numPr>
      <w:tabs>
        <w:tab w:val="clear" w:pos="720"/>
        <w:tab w:val="num" w:pos="792"/>
      </w:tabs>
      <w:ind w:left="792" w:hanging="43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F07"/>
    <w:pPr>
      <w:numPr>
        <w:ilvl w:val="1"/>
        <w:numId w:val="2"/>
      </w:numPr>
      <w:tabs>
        <w:tab w:val="clear" w:pos="720"/>
        <w:tab w:val="num" w:pos="792"/>
      </w:tabs>
      <w:ind w:left="792" w:hanging="43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07"/>
    <w:pPr>
      <w:numPr>
        <w:ilvl w:val="1"/>
        <w:numId w:val="2"/>
      </w:numPr>
      <w:tabs>
        <w:tab w:val="clear" w:pos="720"/>
        <w:tab w:val="num" w:pos="792"/>
      </w:tabs>
      <w:ind w:left="792" w:hanging="43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07"/>
    <w:pPr>
      <w:numPr>
        <w:ilvl w:val="1"/>
        <w:numId w:val="2"/>
      </w:numPr>
      <w:tabs>
        <w:tab w:val="clear" w:pos="720"/>
        <w:tab w:val="num" w:pos="792"/>
      </w:tabs>
      <w:ind w:left="792" w:hanging="43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07"/>
    <w:pPr>
      <w:numPr>
        <w:ilvl w:val="1"/>
        <w:numId w:val="2"/>
      </w:numPr>
      <w:tabs>
        <w:tab w:val="clear" w:pos="720"/>
        <w:tab w:val="num" w:pos="792"/>
      </w:tabs>
      <w:ind w:left="792" w:hanging="43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07"/>
    <w:pPr>
      <w:numPr>
        <w:ilvl w:val="1"/>
        <w:numId w:val="2"/>
      </w:numPr>
      <w:tabs>
        <w:tab w:val="clear" w:pos="720"/>
        <w:tab w:val="num" w:pos="792"/>
      </w:tabs>
      <w:ind w:left="792" w:hanging="43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07"/>
    <w:pPr>
      <w:numPr>
        <w:ilvl w:val="1"/>
        <w:numId w:val="2"/>
      </w:numPr>
      <w:tabs>
        <w:tab w:val="clear" w:pos="720"/>
        <w:tab w:val="num" w:pos="792"/>
      </w:tabs>
      <w:ind w:left="792" w:hanging="43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07"/>
    <w:pPr>
      <w:numPr>
        <w:ilvl w:val="1"/>
        <w:numId w:val="2"/>
      </w:numPr>
      <w:tabs>
        <w:tab w:val="clear" w:pos="720"/>
        <w:tab w:val="num" w:pos="792"/>
      </w:tabs>
      <w:ind w:left="792" w:hanging="43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07"/>
    <w:pPr>
      <w:numPr>
        <w:ilvl w:val="1"/>
        <w:numId w:val="2"/>
      </w:numPr>
      <w:tabs>
        <w:tab w:val="clear" w:pos="720"/>
        <w:tab w:val="num" w:pos="792"/>
      </w:tabs>
      <w:ind w:left="792" w:hanging="43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07"/>
    <w:pPr>
      <w:numPr>
        <w:ilvl w:val="1"/>
        <w:numId w:val="2"/>
      </w:numPr>
      <w:tabs>
        <w:tab w:val="clear" w:pos="720"/>
        <w:tab w:val="num" w:pos="792"/>
      </w:tabs>
      <w:ind w:left="79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7F07"/>
    <w:pPr>
      <w:numPr>
        <w:ilvl w:val="1"/>
        <w:numId w:val="2"/>
      </w:numPr>
      <w:tabs>
        <w:tab w:val="clear" w:pos="720"/>
        <w:tab w:val="num" w:pos="792"/>
      </w:tabs>
      <w:ind w:left="792" w:hanging="43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07"/>
    <w:pPr>
      <w:numPr>
        <w:ilvl w:val="1"/>
        <w:numId w:val="2"/>
      </w:numPr>
      <w:tabs>
        <w:tab w:val="clear" w:pos="720"/>
        <w:tab w:val="num" w:pos="792"/>
      </w:tabs>
      <w:ind w:left="792" w:hanging="43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07"/>
    <w:pPr>
      <w:numPr>
        <w:ilvl w:val="1"/>
        <w:numId w:val="2"/>
      </w:numPr>
      <w:tabs>
        <w:tab w:val="clear" w:pos="720"/>
        <w:tab w:val="num" w:pos="792"/>
      </w:tabs>
      <w:ind w:left="792" w:hanging="43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262E27"/>
    <w:pPr>
      <w:numPr>
        <w:numId w:val="17"/>
      </w:numPr>
    </w:pPr>
    <w:rPr>
      <w:szCs w:val="24"/>
    </w:rPr>
  </w:style>
  <w:style w:type="paragraph" w:customStyle="1" w:styleId="FooterpageNumber">
    <w:name w:val="Footer page Number"/>
    <w:basedOn w:val="Footer"/>
    <w:rsid w:val="007E7F07"/>
    <w:pPr>
      <w:tabs>
        <w:tab w:val="clear" w:pos="9355"/>
      </w:tabs>
      <w:jc w:val="right"/>
    </w:pPr>
  </w:style>
  <w:style w:type="paragraph" w:customStyle="1" w:styleId="NoHeading2">
    <w:name w:val="No. Heading 2"/>
    <w:basedOn w:val="Heading2"/>
    <w:next w:val="BodyText"/>
    <w:rsid w:val="00262E27"/>
    <w:pPr>
      <w:numPr>
        <w:ilvl w:val="1"/>
        <w:numId w:val="17"/>
      </w:numPr>
    </w:pPr>
  </w:style>
  <w:style w:type="paragraph" w:customStyle="1" w:styleId="TableRef">
    <w:name w:val="Table Ref"/>
    <w:basedOn w:val="Normal"/>
    <w:next w:val="BodyText"/>
    <w:rsid w:val="00262E27"/>
    <w:pPr>
      <w:numPr>
        <w:ilvl w:val="4"/>
        <w:numId w:val="17"/>
      </w:numPr>
      <w:spacing w:before="120" w:after="120"/>
    </w:pPr>
    <w:rPr>
      <w:b/>
      <w:sz w:val="20"/>
      <w:szCs w:val="18"/>
    </w:rPr>
  </w:style>
  <w:style w:type="paragraph" w:customStyle="1" w:styleId="FigureRef">
    <w:name w:val="Figure Ref"/>
    <w:basedOn w:val="TableRef"/>
    <w:next w:val="BodyText"/>
    <w:rsid w:val="00262E27"/>
    <w:pPr>
      <w:numPr>
        <w:ilvl w:val="3"/>
      </w:numPr>
    </w:pPr>
  </w:style>
  <w:style w:type="paragraph" w:customStyle="1" w:styleId="Table-Figurenotes">
    <w:name w:val="Table-Figure notes"/>
    <w:basedOn w:val="BodyText"/>
    <w:rsid w:val="007E7F07"/>
    <w:pPr>
      <w:spacing w:line="240" w:lineRule="auto"/>
      <w:contextualSpacing/>
    </w:pPr>
    <w:rPr>
      <w:sz w:val="18"/>
      <w:szCs w:val="18"/>
    </w:rPr>
  </w:style>
  <w:style w:type="paragraph" w:customStyle="1" w:styleId="DocumentDate">
    <w:name w:val="Document Date"/>
    <w:basedOn w:val="Subtitle"/>
    <w:semiHidden/>
    <w:rsid w:val="00FA69F5"/>
    <w:rPr>
      <w:color w:val="78BA2E"/>
    </w:rPr>
  </w:style>
  <w:style w:type="paragraph" w:styleId="TOC4">
    <w:name w:val="toc 4"/>
    <w:basedOn w:val="Normal"/>
    <w:next w:val="Normal"/>
    <w:rsid w:val="008C6A73"/>
    <w:pPr>
      <w:tabs>
        <w:tab w:val="left" w:pos="1134"/>
        <w:tab w:val="right" w:leader="dot" w:pos="8505"/>
      </w:tabs>
      <w:ind w:left="1134" w:right="567" w:hanging="1134"/>
    </w:pPr>
    <w:rPr>
      <w:noProof/>
    </w:rPr>
  </w:style>
  <w:style w:type="paragraph" w:customStyle="1" w:styleId="Introsentence">
    <w:name w:val="Intro sentence"/>
    <w:basedOn w:val="Normal"/>
    <w:rsid w:val="00A267AD"/>
    <w:rPr>
      <w:rFonts w:cs="Arial"/>
      <w:i/>
      <w:color w:val="78BA2E"/>
      <w:sz w:val="28"/>
      <w:szCs w:val="20"/>
    </w:rPr>
  </w:style>
  <w:style w:type="paragraph" w:customStyle="1" w:styleId="CoverDetail1">
    <w:name w:val="Cover Detail 1"/>
    <w:basedOn w:val="Heading3"/>
    <w:semiHidden/>
    <w:rsid w:val="00A267AD"/>
  </w:style>
  <w:style w:type="paragraph" w:customStyle="1" w:styleId="Disclaimer">
    <w:name w:val="Disclaimer"/>
    <w:basedOn w:val="Normal"/>
    <w:rsid w:val="00972DC0"/>
    <w:pPr>
      <w:spacing w:before="60"/>
      <w:ind w:left="567" w:right="567"/>
    </w:pPr>
    <w:rPr>
      <w:sz w:val="16"/>
      <w:lang w:eastAsia="en-US"/>
    </w:rPr>
  </w:style>
  <w:style w:type="paragraph" w:styleId="TOC5">
    <w:name w:val="toc 5"/>
    <w:basedOn w:val="TOC4"/>
    <w:next w:val="Normal"/>
    <w:rsid w:val="00A42590"/>
    <w:pPr>
      <w:tabs>
        <w:tab w:val="clear" w:pos="1134"/>
        <w:tab w:val="left" w:pos="1418"/>
      </w:tabs>
      <w:ind w:left="1418" w:hanging="1418"/>
    </w:pPr>
  </w:style>
  <w:style w:type="paragraph" w:customStyle="1" w:styleId="ListBulletWhite">
    <w:name w:val="List Bullet White"/>
    <w:basedOn w:val="Normal"/>
    <w:rsid w:val="0032197F"/>
    <w:pPr>
      <w:numPr>
        <w:numId w:val="15"/>
      </w:numPr>
      <w:spacing w:before="60" w:after="60" w:line="276" w:lineRule="auto"/>
    </w:pPr>
    <w:rPr>
      <w:color w:val="FFFFFF"/>
    </w:rPr>
  </w:style>
  <w:style w:type="paragraph" w:customStyle="1" w:styleId="TableTextRight">
    <w:name w:val="Table Text Right"/>
    <w:basedOn w:val="Normal"/>
    <w:rsid w:val="00E33ED6"/>
    <w:pPr>
      <w:spacing w:before="60" w:after="40"/>
      <w:jc w:val="right"/>
    </w:pPr>
    <w:rPr>
      <w:sz w:val="20"/>
    </w:rPr>
  </w:style>
  <w:style w:type="paragraph" w:customStyle="1" w:styleId="ImprintPageText">
    <w:name w:val="Imprint Page Text"/>
    <w:basedOn w:val="Normal"/>
    <w:rsid w:val="007E7F07"/>
    <w:pPr>
      <w:spacing w:after="120" w:line="276" w:lineRule="auto"/>
    </w:pPr>
    <w:rPr>
      <w:rFonts w:cs="Arial"/>
      <w:color w:val="000000"/>
      <w:sz w:val="16"/>
      <w:szCs w:val="18"/>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customStyle="1" w:styleId="HeadingHidden">
    <w:name w:val="Heading Hidden"/>
    <w:basedOn w:val="Heading"/>
    <w:next w:val="BodyText"/>
    <w:link w:val="HeadingHiddenChar"/>
    <w:semiHidden/>
    <w:rsid w:val="007E7F07"/>
    <w:pPr>
      <w:pageBreakBefore w:val="0"/>
    </w:pPr>
  </w:style>
  <w:style w:type="table" w:customStyle="1" w:styleId="TealHorizontalTable">
    <w:name w:val="Teal Horizontal Table"/>
    <w:basedOn w:val="TableNormal"/>
    <w:rsid w:val="00D17252"/>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table" w:customStyle="1" w:styleId="NavyGridTable">
    <w:name w:val="Navy Grid Table"/>
    <w:basedOn w:val="TableNormal"/>
    <w:rsid w:val="00E33ED6"/>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AlternatingTable">
    <w:name w:val="Navy Alternating Table"/>
    <w:basedOn w:val="TableNormal"/>
    <w:rsid w:val="004A025E"/>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paragraph" w:customStyle="1" w:styleId="NoHeading3">
    <w:name w:val="No. Heading 3"/>
    <w:basedOn w:val="Heading3"/>
    <w:next w:val="BodyText"/>
    <w:rsid w:val="00262E27"/>
    <w:pPr>
      <w:numPr>
        <w:ilvl w:val="2"/>
        <w:numId w:val="17"/>
      </w:numPr>
    </w:pPr>
  </w:style>
  <w:style w:type="table" w:customStyle="1" w:styleId="TealAlternatingTable">
    <w:name w:val="Teal Alternating Table"/>
    <w:basedOn w:val="TableNormal"/>
    <w:rsid w:val="004A025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character" w:customStyle="1" w:styleId="Heading1Char">
    <w:name w:val="Heading 1 Char"/>
    <w:basedOn w:val="DefaultParagraphFont"/>
    <w:link w:val="Heading1"/>
    <w:locked/>
    <w:rsid w:val="00486A58"/>
    <w:rPr>
      <w:rFonts w:ascii="Arial" w:hAnsi="Arial"/>
      <w:b/>
      <w:sz w:val="36"/>
      <w:szCs w:val="36"/>
    </w:rPr>
  </w:style>
  <w:style w:type="paragraph" w:customStyle="1" w:styleId="TableHeadingCentre-Black">
    <w:name w:val="Table Heading Centre - Black"/>
    <w:basedOn w:val="TableTextCentre"/>
    <w:rsid w:val="007E7F07"/>
    <w:rPr>
      <w:b/>
    </w:rPr>
  </w:style>
  <w:style w:type="paragraph" w:customStyle="1" w:styleId="TableHeadingCentre-White">
    <w:name w:val="Table Heading Centre - White"/>
    <w:basedOn w:val="TableHeadingCentre-Black"/>
    <w:rsid w:val="007E7F07"/>
    <w:rPr>
      <w:color w:val="FFFFFF"/>
    </w:rPr>
  </w:style>
  <w:style w:type="paragraph" w:customStyle="1" w:styleId="TableHeadingLeft-Black">
    <w:name w:val="Table Heading Left - Black"/>
    <w:basedOn w:val="TableTextLeft"/>
    <w:rsid w:val="007E7F07"/>
    <w:rPr>
      <w:b/>
    </w:rPr>
  </w:style>
  <w:style w:type="paragraph" w:customStyle="1" w:styleId="TableHeadingLeft-White">
    <w:name w:val="Table Heading Left - White"/>
    <w:basedOn w:val="TableHeadingLeft-Black"/>
    <w:rsid w:val="007E7F07"/>
    <w:rPr>
      <w:color w:val="FFFFFF"/>
      <w:lang w:val="en-NZ"/>
    </w:rPr>
  </w:style>
  <w:style w:type="table" w:customStyle="1" w:styleId="TealGridTable">
    <w:name w:val="Teal Grid Table"/>
    <w:basedOn w:val="TableNormal"/>
    <w:rsid w:val="00E33ED6"/>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character" w:customStyle="1" w:styleId="Heading2Char">
    <w:name w:val="Heading 2 Char"/>
    <w:basedOn w:val="DefaultParagraphFont"/>
    <w:link w:val="Heading2"/>
    <w:locked/>
    <w:rsid w:val="00300AC2"/>
    <w:rPr>
      <w:rFonts w:ascii="Arial" w:hAnsi="Arial"/>
      <w:color w:val="5ACAAF"/>
      <w:sz w:val="32"/>
      <w:szCs w:val="24"/>
    </w:rPr>
  </w:style>
  <w:style w:type="character" w:customStyle="1" w:styleId="Heading3Char">
    <w:name w:val="Heading 3 Char"/>
    <w:basedOn w:val="DefaultParagraphFont"/>
    <w:link w:val="Heading3"/>
    <w:locked/>
    <w:rsid w:val="00486A58"/>
    <w:rPr>
      <w:rFonts w:ascii="Arial" w:hAnsi="Arial"/>
      <w:b/>
      <w:color w:val="5ACAAF"/>
      <w:sz w:val="28"/>
      <w:szCs w:val="24"/>
    </w:rPr>
  </w:style>
  <w:style w:type="character" w:customStyle="1" w:styleId="Heading4Char">
    <w:name w:val="Heading 4 Char"/>
    <w:basedOn w:val="DefaultParagraphFont"/>
    <w:link w:val="Heading4"/>
    <w:locked/>
    <w:rsid w:val="00486A58"/>
    <w:rPr>
      <w:rFonts w:ascii="Arial" w:hAnsi="Arial"/>
      <w:b/>
      <w:i/>
      <w:color w:val="5ACAAF"/>
      <w:sz w:val="28"/>
      <w:szCs w:val="24"/>
    </w:rPr>
  </w:style>
  <w:style w:type="character" w:customStyle="1" w:styleId="BodyTextChar">
    <w:name w:val="Body Text Char"/>
    <w:basedOn w:val="DefaultParagraphFont"/>
    <w:link w:val="BodyText"/>
    <w:locked/>
    <w:rsid w:val="009E57BC"/>
    <w:rPr>
      <w:rFonts w:ascii="Arial" w:hAnsi="Arial"/>
      <w:sz w:val="22"/>
      <w:szCs w:val="24"/>
      <w:lang w:val="en-AU" w:eastAsia="en-AU" w:bidi="ar-SA"/>
    </w:rPr>
  </w:style>
  <w:style w:type="paragraph" w:customStyle="1" w:styleId="TableHeadingCentre">
    <w:name w:val="Table Heading Centre"/>
    <w:basedOn w:val="TableTextCentre"/>
    <w:rsid w:val="009E57BC"/>
    <w:rPr>
      <w:b/>
    </w:rPr>
  </w:style>
  <w:style w:type="paragraph" w:customStyle="1" w:styleId="AppendixHeading1">
    <w:name w:val="Appendix Heading 1"/>
    <w:basedOn w:val="Heading"/>
    <w:next w:val="BodyText"/>
    <w:rsid w:val="00FE7DEB"/>
    <w:pPr>
      <w:numPr>
        <w:numId w:val="21"/>
      </w:numPr>
      <w:spacing w:before="200"/>
    </w:pPr>
  </w:style>
  <w:style w:type="paragraph" w:customStyle="1" w:styleId="AppendixHeading2">
    <w:name w:val="Appendix Heading 2"/>
    <w:basedOn w:val="Heading2"/>
    <w:next w:val="BodyText"/>
    <w:rsid w:val="004D4D61"/>
    <w:pPr>
      <w:spacing w:before="280" w:after="140"/>
    </w:pPr>
  </w:style>
  <w:style w:type="paragraph" w:customStyle="1" w:styleId="AppendixHeading3">
    <w:name w:val="Appendix Heading 3"/>
    <w:basedOn w:val="Heading3"/>
    <w:next w:val="BodyText"/>
    <w:rsid w:val="004D4D61"/>
    <w:pPr>
      <w:spacing w:before="240"/>
    </w:pPr>
    <w:rPr>
      <w:rFonts w:ascii="Arial Bold" w:hAnsi="Arial Bold"/>
      <w:b w:val="0"/>
    </w:rPr>
  </w:style>
  <w:style w:type="paragraph" w:customStyle="1" w:styleId="Bodycopy">
    <w:name w:val="Body copy"/>
    <w:basedOn w:val="Normal"/>
    <w:link w:val="BodycopyChar"/>
    <w:qFormat/>
    <w:rsid w:val="0088304B"/>
    <w:pPr>
      <w:keepNext/>
      <w:spacing w:before="240" w:after="240"/>
    </w:pPr>
  </w:style>
  <w:style w:type="character" w:customStyle="1" w:styleId="HeadingChar">
    <w:name w:val="Heading Char"/>
    <w:basedOn w:val="Heading1Char"/>
    <w:link w:val="Heading"/>
    <w:rsid w:val="00784A76"/>
    <w:rPr>
      <w:rFonts w:ascii="Arial" w:hAnsi="Arial"/>
      <w:b/>
      <w:noProof/>
      <w:color w:val="343333"/>
      <w:sz w:val="36"/>
      <w:szCs w:val="36"/>
    </w:rPr>
  </w:style>
  <w:style w:type="character" w:customStyle="1" w:styleId="HeadingHiddenChar">
    <w:name w:val="Heading Hidden Char"/>
    <w:basedOn w:val="HeadingChar"/>
    <w:link w:val="HeadingHidden"/>
    <w:semiHidden/>
    <w:rsid w:val="002E462E"/>
    <w:rPr>
      <w:rFonts w:ascii="Arial" w:hAnsi="Arial"/>
      <w:b/>
      <w:noProof/>
      <w:color w:val="B80B4D"/>
      <w:sz w:val="36"/>
      <w:szCs w:val="36"/>
    </w:rPr>
  </w:style>
  <w:style w:type="character" w:customStyle="1" w:styleId="BodycopyChar">
    <w:name w:val="Body copy Char"/>
    <w:basedOn w:val="HeadingHiddenChar"/>
    <w:link w:val="Bodycopy"/>
    <w:rsid w:val="0088304B"/>
    <w:rPr>
      <w:rFonts w:ascii="Arial" w:hAnsi="Arial"/>
      <w:b w:val="0"/>
      <w:noProof/>
      <w:color w:val="B80B4D"/>
      <w:sz w:val="22"/>
      <w:szCs w:val="24"/>
    </w:rPr>
  </w:style>
  <w:style w:type="paragraph" w:styleId="BalloonText">
    <w:name w:val="Balloon Text"/>
    <w:basedOn w:val="Normal"/>
    <w:link w:val="BalloonTextChar"/>
    <w:rsid w:val="00544192"/>
    <w:rPr>
      <w:rFonts w:ascii="Segoe UI" w:hAnsi="Segoe UI" w:cs="Segoe UI"/>
      <w:sz w:val="18"/>
      <w:szCs w:val="18"/>
    </w:rPr>
  </w:style>
  <w:style w:type="character" w:customStyle="1" w:styleId="BalloonTextChar">
    <w:name w:val="Balloon Text Char"/>
    <w:basedOn w:val="DefaultParagraphFont"/>
    <w:link w:val="BalloonText"/>
    <w:rsid w:val="00544192"/>
    <w:rPr>
      <w:rFonts w:ascii="Segoe UI" w:hAnsi="Segoe UI" w:cs="Segoe UI"/>
      <w:sz w:val="18"/>
      <w:szCs w:val="18"/>
    </w:rPr>
  </w:style>
  <w:style w:type="character" w:styleId="CommentReference">
    <w:name w:val="annotation reference"/>
    <w:basedOn w:val="DefaultParagraphFont"/>
    <w:rsid w:val="006B145B"/>
    <w:rPr>
      <w:sz w:val="16"/>
      <w:szCs w:val="16"/>
    </w:rPr>
  </w:style>
  <w:style w:type="paragraph" w:styleId="CommentText">
    <w:name w:val="annotation text"/>
    <w:basedOn w:val="Normal"/>
    <w:link w:val="CommentTextChar"/>
    <w:rsid w:val="006B145B"/>
    <w:rPr>
      <w:sz w:val="20"/>
      <w:szCs w:val="20"/>
    </w:rPr>
  </w:style>
  <w:style w:type="character" w:customStyle="1" w:styleId="CommentTextChar">
    <w:name w:val="Comment Text Char"/>
    <w:basedOn w:val="DefaultParagraphFont"/>
    <w:link w:val="CommentText"/>
    <w:rsid w:val="006B145B"/>
    <w:rPr>
      <w:rFonts w:ascii="Arial" w:hAnsi="Arial"/>
    </w:rPr>
  </w:style>
  <w:style w:type="paragraph" w:styleId="CommentSubject">
    <w:name w:val="annotation subject"/>
    <w:basedOn w:val="CommentText"/>
    <w:next w:val="CommentText"/>
    <w:link w:val="CommentSubjectChar"/>
    <w:rsid w:val="006B145B"/>
    <w:rPr>
      <w:b/>
      <w:bCs/>
    </w:rPr>
  </w:style>
  <w:style w:type="character" w:customStyle="1" w:styleId="CommentSubjectChar">
    <w:name w:val="Comment Subject Char"/>
    <w:basedOn w:val="CommentTextChar"/>
    <w:link w:val="CommentSubject"/>
    <w:rsid w:val="006B145B"/>
    <w:rPr>
      <w:rFonts w:ascii="Arial" w:hAnsi="Arial"/>
      <w:b/>
      <w:bCs/>
    </w:rPr>
  </w:style>
  <w:style w:type="paragraph" w:styleId="FootnoteText">
    <w:name w:val="footnote text"/>
    <w:basedOn w:val="Normal"/>
    <w:link w:val="FootnoteTextChar"/>
    <w:rsid w:val="00577166"/>
    <w:rPr>
      <w:sz w:val="20"/>
      <w:szCs w:val="20"/>
    </w:rPr>
  </w:style>
  <w:style w:type="character" w:customStyle="1" w:styleId="FootnoteTextChar">
    <w:name w:val="Footnote Text Char"/>
    <w:basedOn w:val="DefaultParagraphFont"/>
    <w:link w:val="FootnoteText"/>
    <w:rsid w:val="00577166"/>
    <w:rPr>
      <w:rFonts w:ascii="Arial" w:hAnsi="Arial"/>
    </w:rPr>
  </w:style>
  <w:style w:type="character" w:styleId="FootnoteReference">
    <w:name w:val="footnote reference"/>
    <w:basedOn w:val="DefaultParagraphFont"/>
    <w:rsid w:val="00577166"/>
    <w:rPr>
      <w:vertAlign w:val="superscript"/>
    </w:rPr>
  </w:style>
  <w:style w:type="character" w:customStyle="1" w:styleId="FooterChar">
    <w:name w:val="Footer Char"/>
    <w:basedOn w:val="DefaultParagraphFont"/>
    <w:link w:val="Footer"/>
    <w:uiPriority w:val="99"/>
    <w:rsid w:val="00C85354"/>
    <w:rPr>
      <w:rFonts w:ascii="Arial" w:hAnsi="Arial"/>
      <w:b/>
      <w:color w:val="635D63"/>
      <w:sz w:val="18"/>
      <w:szCs w:val="18"/>
    </w:rPr>
  </w:style>
  <w:style w:type="character" w:styleId="UnresolvedMention">
    <w:name w:val="Unresolved Mention"/>
    <w:basedOn w:val="DefaultParagraphFont"/>
    <w:uiPriority w:val="99"/>
    <w:semiHidden/>
    <w:unhideWhenUsed/>
    <w:rsid w:val="00231AC3"/>
    <w:rPr>
      <w:color w:val="605E5C"/>
      <w:shd w:val="clear" w:color="auto" w:fill="E1DFDD"/>
    </w:rPr>
  </w:style>
  <w:style w:type="paragraph" w:styleId="Revision">
    <w:name w:val="Revision"/>
    <w:hidden/>
    <w:uiPriority w:val="99"/>
    <w:semiHidden/>
    <w:rsid w:val="00B1047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1551">
      <w:bodyDiv w:val="1"/>
      <w:marLeft w:val="0"/>
      <w:marRight w:val="0"/>
      <w:marTop w:val="0"/>
      <w:marBottom w:val="0"/>
      <w:divBdr>
        <w:top w:val="none" w:sz="0" w:space="0" w:color="auto"/>
        <w:left w:val="none" w:sz="0" w:space="0" w:color="auto"/>
        <w:bottom w:val="none" w:sz="0" w:space="0" w:color="auto"/>
        <w:right w:val="none" w:sz="0" w:space="0" w:color="auto"/>
      </w:divBdr>
    </w:div>
    <w:div w:id="1877310209">
      <w:bodyDiv w:val="1"/>
      <w:marLeft w:val="0"/>
      <w:marRight w:val="0"/>
      <w:marTop w:val="0"/>
      <w:marBottom w:val="0"/>
      <w:divBdr>
        <w:top w:val="none" w:sz="0" w:space="0" w:color="auto"/>
        <w:left w:val="none" w:sz="0" w:space="0" w:color="auto"/>
        <w:bottom w:val="none" w:sz="0" w:space="0" w:color="auto"/>
        <w:right w:val="none" w:sz="0" w:space="0" w:color="auto"/>
      </w:divBdr>
    </w:div>
    <w:div w:id="1951473771">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rgov.qld.gov.au/employment-policy-career-and-wellbeing/directives-policies-circulars-and-guidelines/voluntary-medical-retirement-vmr-scheme-directive-2216" TargetMode="External"/><Relationship Id="rId18" Type="http://schemas.openxmlformats.org/officeDocument/2006/relationships/hyperlink" Target="https://www.forgov.qld.gov.au/__data/assets/word_doc/0028/184177/independent-medical-examinations-ime-letter-template-to-employee.docx"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commission.psc@psc.qld.gov.au"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forgov.qld.gov.au/__data/assets/word_doc/0029/182936/independent-medical-examinations-ime-letter-template-to-doctor.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worksafe.qld.gov.au/service-providers/medical-services/independent-opinion/independent-medical-examinations-pan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psc.qld.gov.au/" TargetMode="External"/><Relationship Id="rId5" Type="http://schemas.openxmlformats.org/officeDocument/2006/relationships/styles" Target="styles.xml"/><Relationship Id="rId15" Type="http://schemas.openxmlformats.org/officeDocument/2006/relationships/hyperlink" Target="https://www.forgov.qld.gov.au/employment-policy-career-and-wellbeing/directives-policies-circulars-and-guidelines/voluntary-medical-retirement-vmr-scheme-directive-2216" TargetMode="External"/><Relationship Id="rId23" Type="http://schemas.openxmlformats.org/officeDocument/2006/relationships/hyperlink" Target="mailto:commission.psc@psc.qld.gov.au"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qirc.qld.gov.au/qirc/resources/pdf/public_service_appeals/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rgov.qld.gov.au/employment-policy-career-and-wellbeing/directives-policies-circulars-and-guidelines/independent-medical-examinations-directive-1020" TargetMode="External"/><Relationship Id="rId22" Type="http://schemas.openxmlformats.org/officeDocument/2006/relationships/hyperlink" Target="http://www.psc.qld.gov.a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PSC corporate colour theme">
      <a:dk1>
        <a:sysClr val="windowText" lastClr="000000"/>
      </a:dk1>
      <a:lt1>
        <a:sysClr val="window" lastClr="FFFFFF"/>
      </a:lt1>
      <a:dk2>
        <a:srgbClr val="44546A"/>
      </a:dk2>
      <a:lt2>
        <a:srgbClr val="E7E6E6"/>
      </a:lt2>
      <a:accent1>
        <a:srgbClr val="60C3AD"/>
      </a:accent1>
      <a:accent2>
        <a:srgbClr val="97D5C9"/>
      </a:accent2>
      <a:accent3>
        <a:srgbClr val="CBE8DD"/>
      </a:accent3>
      <a:accent4>
        <a:srgbClr val="F15B67"/>
      </a:accent4>
      <a:accent5>
        <a:srgbClr val="F8ABA6"/>
      </a:accent5>
      <a:accent6>
        <a:srgbClr val="FFD965"/>
      </a:accent6>
      <a:hlink>
        <a:srgbClr val="60C3AD"/>
      </a:hlink>
      <a:folHlink>
        <a:srgbClr val="CBE8D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5" ma:contentTypeDescription="Create a new document." ma:contentTypeScope="" ma:versionID="0362f9ad97afb83d40562e9474a22d87">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bca47d0205ff667121705a0ba20b2ee7"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8BAD9-4C74-41B2-9F02-433A886DF1DD}">
  <ds:schemaRefs>
    <ds:schemaRef ds:uri="http://schemas.openxmlformats.org/officeDocument/2006/bibliography"/>
  </ds:schemaRefs>
</ds:datastoreItem>
</file>

<file path=customXml/itemProps2.xml><?xml version="1.0" encoding="utf-8"?>
<ds:datastoreItem xmlns:ds="http://schemas.openxmlformats.org/officeDocument/2006/customXml" ds:itemID="{B9581813-9B60-42E9-9342-80E15D761C9F}">
  <ds:schemaRefs>
    <ds:schemaRef ds:uri="http://schemas.microsoft.com/sharepoint/v3/contenttype/forms"/>
  </ds:schemaRefs>
</ds:datastoreItem>
</file>

<file path=customXml/itemProps3.xml><?xml version="1.0" encoding="utf-8"?>
<ds:datastoreItem xmlns:ds="http://schemas.openxmlformats.org/officeDocument/2006/customXml" ds:itemID="{C3A292D4-CC49-4645-9BB7-3E185C50D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5667</Words>
  <Characters>32302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Commission Chief Executive guideline - Managing employee health, safety and wellbeing – independent medical examinations</vt:lpstr>
    </vt:vector>
  </TitlesOfParts>
  <Manager/>
  <Company/>
  <LinksUpToDate>false</LinksUpToDate>
  <CharactersWithSpaces>37894</CharactersWithSpaces>
  <SharedDoc>false</SharedDoc>
  <HLinks>
    <vt:vector size="300" baseType="variant">
      <vt:variant>
        <vt:i4>917588</vt:i4>
      </vt:variant>
      <vt:variant>
        <vt:i4>387</vt:i4>
      </vt:variant>
      <vt:variant>
        <vt:i4>0</vt:i4>
      </vt:variant>
      <vt:variant>
        <vt:i4>5</vt:i4>
      </vt:variant>
      <vt:variant>
        <vt:lpwstr>http://www.health.qld.gov.au/</vt:lpwstr>
      </vt:variant>
      <vt:variant>
        <vt:lpwstr/>
      </vt:variant>
      <vt:variant>
        <vt:i4>1245246</vt:i4>
      </vt:variant>
      <vt:variant>
        <vt:i4>329</vt:i4>
      </vt:variant>
      <vt:variant>
        <vt:i4>0</vt:i4>
      </vt:variant>
      <vt:variant>
        <vt:i4>5</vt:i4>
      </vt:variant>
      <vt:variant>
        <vt:lpwstr/>
      </vt:variant>
      <vt:variant>
        <vt:lpwstr>_Toc373767830</vt:lpwstr>
      </vt:variant>
      <vt:variant>
        <vt:i4>1179710</vt:i4>
      </vt:variant>
      <vt:variant>
        <vt:i4>320</vt:i4>
      </vt:variant>
      <vt:variant>
        <vt:i4>0</vt:i4>
      </vt:variant>
      <vt:variant>
        <vt:i4>5</vt:i4>
      </vt:variant>
      <vt:variant>
        <vt:lpwstr/>
      </vt:variant>
      <vt:variant>
        <vt:lpwstr>_Toc373767829</vt:lpwstr>
      </vt:variant>
      <vt:variant>
        <vt:i4>1179710</vt:i4>
      </vt:variant>
      <vt:variant>
        <vt:i4>311</vt:i4>
      </vt:variant>
      <vt:variant>
        <vt:i4>0</vt:i4>
      </vt:variant>
      <vt:variant>
        <vt:i4>5</vt:i4>
      </vt:variant>
      <vt:variant>
        <vt:lpwstr/>
      </vt:variant>
      <vt:variant>
        <vt:lpwstr>_Toc373767828</vt:lpwstr>
      </vt:variant>
      <vt:variant>
        <vt:i4>1179710</vt:i4>
      </vt:variant>
      <vt:variant>
        <vt:i4>305</vt:i4>
      </vt:variant>
      <vt:variant>
        <vt:i4>0</vt:i4>
      </vt:variant>
      <vt:variant>
        <vt:i4>5</vt:i4>
      </vt:variant>
      <vt:variant>
        <vt:lpwstr/>
      </vt:variant>
      <vt:variant>
        <vt:lpwstr>_Toc373767827</vt:lpwstr>
      </vt:variant>
      <vt:variant>
        <vt:i4>1179710</vt:i4>
      </vt:variant>
      <vt:variant>
        <vt:i4>299</vt:i4>
      </vt:variant>
      <vt:variant>
        <vt:i4>0</vt:i4>
      </vt:variant>
      <vt:variant>
        <vt:i4>5</vt:i4>
      </vt:variant>
      <vt:variant>
        <vt:lpwstr/>
      </vt:variant>
      <vt:variant>
        <vt:lpwstr>_Toc373767826</vt:lpwstr>
      </vt:variant>
      <vt:variant>
        <vt:i4>1179710</vt:i4>
      </vt:variant>
      <vt:variant>
        <vt:i4>293</vt:i4>
      </vt:variant>
      <vt:variant>
        <vt:i4>0</vt:i4>
      </vt:variant>
      <vt:variant>
        <vt:i4>5</vt:i4>
      </vt:variant>
      <vt:variant>
        <vt:lpwstr/>
      </vt:variant>
      <vt:variant>
        <vt:lpwstr>_Toc373767825</vt:lpwstr>
      </vt:variant>
      <vt:variant>
        <vt:i4>1179710</vt:i4>
      </vt:variant>
      <vt:variant>
        <vt:i4>287</vt:i4>
      </vt:variant>
      <vt:variant>
        <vt:i4>0</vt:i4>
      </vt:variant>
      <vt:variant>
        <vt:i4>5</vt:i4>
      </vt:variant>
      <vt:variant>
        <vt:lpwstr/>
      </vt:variant>
      <vt:variant>
        <vt:lpwstr>_Toc373767824</vt:lpwstr>
      </vt:variant>
      <vt:variant>
        <vt:i4>1179710</vt:i4>
      </vt:variant>
      <vt:variant>
        <vt:i4>281</vt:i4>
      </vt:variant>
      <vt:variant>
        <vt:i4>0</vt:i4>
      </vt:variant>
      <vt:variant>
        <vt:i4>5</vt:i4>
      </vt:variant>
      <vt:variant>
        <vt:lpwstr/>
      </vt:variant>
      <vt:variant>
        <vt:lpwstr>_Toc373767823</vt:lpwstr>
      </vt:variant>
      <vt:variant>
        <vt:i4>1179710</vt:i4>
      </vt:variant>
      <vt:variant>
        <vt:i4>275</vt:i4>
      </vt:variant>
      <vt:variant>
        <vt:i4>0</vt:i4>
      </vt:variant>
      <vt:variant>
        <vt:i4>5</vt:i4>
      </vt:variant>
      <vt:variant>
        <vt:lpwstr/>
      </vt:variant>
      <vt:variant>
        <vt:lpwstr>_Toc373767822</vt:lpwstr>
      </vt:variant>
      <vt:variant>
        <vt:i4>1179710</vt:i4>
      </vt:variant>
      <vt:variant>
        <vt:i4>269</vt:i4>
      </vt:variant>
      <vt:variant>
        <vt:i4>0</vt:i4>
      </vt:variant>
      <vt:variant>
        <vt:i4>5</vt:i4>
      </vt:variant>
      <vt:variant>
        <vt:lpwstr/>
      </vt:variant>
      <vt:variant>
        <vt:lpwstr>_Toc373767821</vt:lpwstr>
      </vt:variant>
      <vt:variant>
        <vt:i4>1179710</vt:i4>
      </vt:variant>
      <vt:variant>
        <vt:i4>263</vt:i4>
      </vt:variant>
      <vt:variant>
        <vt:i4>0</vt:i4>
      </vt:variant>
      <vt:variant>
        <vt:i4>5</vt:i4>
      </vt:variant>
      <vt:variant>
        <vt:lpwstr/>
      </vt:variant>
      <vt:variant>
        <vt:lpwstr>_Toc373767820</vt:lpwstr>
      </vt:variant>
      <vt:variant>
        <vt:i4>1114174</vt:i4>
      </vt:variant>
      <vt:variant>
        <vt:i4>257</vt:i4>
      </vt:variant>
      <vt:variant>
        <vt:i4>0</vt:i4>
      </vt:variant>
      <vt:variant>
        <vt:i4>5</vt:i4>
      </vt:variant>
      <vt:variant>
        <vt:lpwstr/>
      </vt:variant>
      <vt:variant>
        <vt:lpwstr>_Toc373767819</vt:lpwstr>
      </vt:variant>
      <vt:variant>
        <vt:i4>1114174</vt:i4>
      </vt:variant>
      <vt:variant>
        <vt:i4>251</vt:i4>
      </vt:variant>
      <vt:variant>
        <vt:i4>0</vt:i4>
      </vt:variant>
      <vt:variant>
        <vt:i4>5</vt:i4>
      </vt:variant>
      <vt:variant>
        <vt:lpwstr/>
      </vt:variant>
      <vt:variant>
        <vt:lpwstr>_Toc373767818</vt:lpwstr>
      </vt:variant>
      <vt:variant>
        <vt:i4>1114174</vt:i4>
      </vt:variant>
      <vt:variant>
        <vt:i4>245</vt:i4>
      </vt:variant>
      <vt:variant>
        <vt:i4>0</vt:i4>
      </vt:variant>
      <vt:variant>
        <vt:i4>5</vt:i4>
      </vt:variant>
      <vt:variant>
        <vt:lpwstr/>
      </vt:variant>
      <vt:variant>
        <vt:lpwstr>_Toc373767817</vt:lpwstr>
      </vt:variant>
      <vt:variant>
        <vt:i4>1114174</vt:i4>
      </vt:variant>
      <vt:variant>
        <vt:i4>239</vt:i4>
      </vt:variant>
      <vt:variant>
        <vt:i4>0</vt:i4>
      </vt:variant>
      <vt:variant>
        <vt:i4>5</vt:i4>
      </vt:variant>
      <vt:variant>
        <vt:lpwstr/>
      </vt:variant>
      <vt:variant>
        <vt:lpwstr>_Toc373767816</vt:lpwstr>
      </vt:variant>
      <vt:variant>
        <vt:i4>1114174</vt:i4>
      </vt:variant>
      <vt:variant>
        <vt:i4>233</vt:i4>
      </vt:variant>
      <vt:variant>
        <vt:i4>0</vt:i4>
      </vt:variant>
      <vt:variant>
        <vt:i4>5</vt:i4>
      </vt:variant>
      <vt:variant>
        <vt:lpwstr/>
      </vt:variant>
      <vt:variant>
        <vt:lpwstr>_Toc373767815</vt:lpwstr>
      </vt:variant>
      <vt:variant>
        <vt:i4>1114174</vt:i4>
      </vt:variant>
      <vt:variant>
        <vt:i4>227</vt:i4>
      </vt:variant>
      <vt:variant>
        <vt:i4>0</vt:i4>
      </vt:variant>
      <vt:variant>
        <vt:i4>5</vt:i4>
      </vt:variant>
      <vt:variant>
        <vt:lpwstr/>
      </vt:variant>
      <vt:variant>
        <vt:lpwstr>_Toc373767814</vt:lpwstr>
      </vt:variant>
      <vt:variant>
        <vt:i4>1114174</vt:i4>
      </vt:variant>
      <vt:variant>
        <vt:i4>221</vt:i4>
      </vt:variant>
      <vt:variant>
        <vt:i4>0</vt:i4>
      </vt:variant>
      <vt:variant>
        <vt:i4>5</vt:i4>
      </vt:variant>
      <vt:variant>
        <vt:lpwstr/>
      </vt:variant>
      <vt:variant>
        <vt:lpwstr>_Toc373767813</vt:lpwstr>
      </vt:variant>
      <vt:variant>
        <vt:i4>1114174</vt:i4>
      </vt:variant>
      <vt:variant>
        <vt:i4>215</vt:i4>
      </vt:variant>
      <vt:variant>
        <vt:i4>0</vt:i4>
      </vt:variant>
      <vt:variant>
        <vt:i4>5</vt:i4>
      </vt:variant>
      <vt:variant>
        <vt:lpwstr/>
      </vt:variant>
      <vt:variant>
        <vt:lpwstr>_Toc373767812</vt:lpwstr>
      </vt:variant>
      <vt:variant>
        <vt:i4>1114174</vt:i4>
      </vt:variant>
      <vt:variant>
        <vt:i4>209</vt:i4>
      </vt:variant>
      <vt:variant>
        <vt:i4>0</vt:i4>
      </vt:variant>
      <vt:variant>
        <vt:i4>5</vt:i4>
      </vt:variant>
      <vt:variant>
        <vt:lpwstr/>
      </vt:variant>
      <vt:variant>
        <vt:lpwstr>_Toc373767811</vt:lpwstr>
      </vt:variant>
      <vt:variant>
        <vt:i4>1114174</vt:i4>
      </vt:variant>
      <vt:variant>
        <vt:i4>203</vt:i4>
      </vt:variant>
      <vt:variant>
        <vt:i4>0</vt:i4>
      </vt:variant>
      <vt:variant>
        <vt:i4>5</vt:i4>
      </vt:variant>
      <vt:variant>
        <vt:lpwstr/>
      </vt:variant>
      <vt:variant>
        <vt:lpwstr>_Toc373767810</vt:lpwstr>
      </vt:variant>
      <vt:variant>
        <vt:i4>1048638</vt:i4>
      </vt:variant>
      <vt:variant>
        <vt:i4>197</vt:i4>
      </vt:variant>
      <vt:variant>
        <vt:i4>0</vt:i4>
      </vt:variant>
      <vt:variant>
        <vt:i4>5</vt:i4>
      </vt:variant>
      <vt:variant>
        <vt:lpwstr/>
      </vt:variant>
      <vt:variant>
        <vt:lpwstr>_Toc373767809</vt:lpwstr>
      </vt:variant>
      <vt:variant>
        <vt:i4>1048638</vt:i4>
      </vt:variant>
      <vt:variant>
        <vt:i4>191</vt:i4>
      </vt:variant>
      <vt:variant>
        <vt:i4>0</vt:i4>
      </vt:variant>
      <vt:variant>
        <vt:i4>5</vt:i4>
      </vt:variant>
      <vt:variant>
        <vt:lpwstr/>
      </vt:variant>
      <vt:variant>
        <vt:lpwstr>_Toc373767808</vt:lpwstr>
      </vt:variant>
      <vt:variant>
        <vt:i4>1048638</vt:i4>
      </vt:variant>
      <vt:variant>
        <vt:i4>185</vt:i4>
      </vt:variant>
      <vt:variant>
        <vt:i4>0</vt:i4>
      </vt:variant>
      <vt:variant>
        <vt:i4>5</vt:i4>
      </vt:variant>
      <vt:variant>
        <vt:lpwstr/>
      </vt:variant>
      <vt:variant>
        <vt:lpwstr>_Toc373767807</vt:lpwstr>
      </vt:variant>
      <vt:variant>
        <vt:i4>1048638</vt:i4>
      </vt:variant>
      <vt:variant>
        <vt:i4>179</vt:i4>
      </vt:variant>
      <vt:variant>
        <vt:i4>0</vt:i4>
      </vt:variant>
      <vt:variant>
        <vt:i4>5</vt:i4>
      </vt:variant>
      <vt:variant>
        <vt:lpwstr/>
      </vt:variant>
      <vt:variant>
        <vt:lpwstr>_Toc373767806</vt:lpwstr>
      </vt:variant>
      <vt:variant>
        <vt:i4>1048638</vt:i4>
      </vt:variant>
      <vt:variant>
        <vt:i4>173</vt:i4>
      </vt:variant>
      <vt:variant>
        <vt:i4>0</vt:i4>
      </vt:variant>
      <vt:variant>
        <vt:i4>5</vt:i4>
      </vt:variant>
      <vt:variant>
        <vt:lpwstr/>
      </vt:variant>
      <vt:variant>
        <vt:lpwstr>_Toc373767805</vt:lpwstr>
      </vt:variant>
      <vt:variant>
        <vt:i4>1048638</vt:i4>
      </vt:variant>
      <vt:variant>
        <vt:i4>167</vt:i4>
      </vt:variant>
      <vt:variant>
        <vt:i4>0</vt:i4>
      </vt:variant>
      <vt:variant>
        <vt:i4>5</vt:i4>
      </vt:variant>
      <vt:variant>
        <vt:lpwstr/>
      </vt:variant>
      <vt:variant>
        <vt:lpwstr>_Toc373767804</vt:lpwstr>
      </vt:variant>
      <vt:variant>
        <vt:i4>1048638</vt:i4>
      </vt:variant>
      <vt:variant>
        <vt:i4>161</vt:i4>
      </vt:variant>
      <vt:variant>
        <vt:i4>0</vt:i4>
      </vt:variant>
      <vt:variant>
        <vt:i4>5</vt:i4>
      </vt:variant>
      <vt:variant>
        <vt:lpwstr/>
      </vt:variant>
      <vt:variant>
        <vt:lpwstr>_Toc373767803</vt:lpwstr>
      </vt:variant>
      <vt:variant>
        <vt:i4>1048638</vt:i4>
      </vt:variant>
      <vt:variant>
        <vt:i4>155</vt:i4>
      </vt:variant>
      <vt:variant>
        <vt:i4>0</vt:i4>
      </vt:variant>
      <vt:variant>
        <vt:i4>5</vt:i4>
      </vt:variant>
      <vt:variant>
        <vt:lpwstr/>
      </vt:variant>
      <vt:variant>
        <vt:lpwstr>_Toc373767802</vt:lpwstr>
      </vt:variant>
      <vt:variant>
        <vt:i4>1048638</vt:i4>
      </vt:variant>
      <vt:variant>
        <vt:i4>149</vt:i4>
      </vt:variant>
      <vt:variant>
        <vt:i4>0</vt:i4>
      </vt:variant>
      <vt:variant>
        <vt:i4>5</vt:i4>
      </vt:variant>
      <vt:variant>
        <vt:lpwstr/>
      </vt:variant>
      <vt:variant>
        <vt:lpwstr>_Toc373767801</vt:lpwstr>
      </vt:variant>
      <vt:variant>
        <vt:i4>1048638</vt:i4>
      </vt:variant>
      <vt:variant>
        <vt:i4>143</vt:i4>
      </vt:variant>
      <vt:variant>
        <vt:i4>0</vt:i4>
      </vt:variant>
      <vt:variant>
        <vt:i4>5</vt:i4>
      </vt:variant>
      <vt:variant>
        <vt:lpwstr/>
      </vt:variant>
      <vt:variant>
        <vt:lpwstr>_Toc373767800</vt:lpwstr>
      </vt:variant>
      <vt:variant>
        <vt:i4>1638449</vt:i4>
      </vt:variant>
      <vt:variant>
        <vt:i4>137</vt:i4>
      </vt:variant>
      <vt:variant>
        <vt:i4>0</vt:i4>
      </vt:variant>
      <vt:variant>
        <vt:i4>5</vt:i4>
      </vt:variant>
      <vt:variant>
        <vt:lpwstr/>
      </vt:variant>
      <vt:variant>
        <vt:lpwstr>_Toc373767799</vt:lpwstr>
      </vt:variant>
      <vt:variant>
        <vt:i4>1638449</vt:i4>
      </vt:variant>
      <vt:variant>
        <vt:i4>131</vt:i4>
      </vt:variant>
      <vt:variant>
        <vt:i4>0</vt:i4>
      </vt:variant>
      <vt:variant>
        <vt:i4>5</vt:i4>
      </vt:variant>
      <vt:variant>
        <vt:lpwstr/>
      </vt:variant>
      <vt:variant>
        <vt:lpwstr>_Toc373767798</vt:lpwstr>
      </vt:variant>
      <vt:variant>
        <vt:i4>1638449</vt:i4>
      </vt:variant>
      <vt:variant>
        <vt:i4>125</vt:i4>
      </vt:variant>
      <vt:variant>
        <vt:i4>0</vt:i4>
      </vt:variant>
      <vt:variant>
        <vt:i4>5</vt:i4>
      </vt:variant>
      <vt:variant>
        <vt:lpwstr/>
      </vt:variant>
      <vt:variant>
        <vt:lpwstr>_Toc373767797</vt:lpwstr>
      </vt:variant>
      <vt:variant>
        <vt:i4>1638449</vt:i4>
      </vt:variant>
      <vt:variant>
        <vt:i4>119</vt:i4>
      </vt:variant>
      <vt:variant>
        <vt:i4>0</vt:i4>
      </vt:variant>
      <vt:variant>
        <vt:i4>5</vt:i4>
      </vt:variant>
      <vt:variant>
        <vt:lpwstr/>
      </vt:variant>
      <vt:variant>
        <vt:lpwstr>_Toc373767796</vt:lpwstr>
      </vt:variant>
      <vt:variant>
        <vt:i4>1638449</vt:i4>
      </vt:variant>
      <vt:variant>
        <vt:i4>113</vt:i4>
      </vt:variant>
      <vt:variant>
        <vt:i4>0</vt:i4>
      </vt:variant>
      <vt:variant>
        <vt:i4>5</vt:i4>
      </vt:variant>
      <vt:variant>
        <vt:lpwstr/>
      </vt:variant>
      <vt:variant>
        <vt:lpwstr>_Toc373767795</vt:lpwstr>
      </vt:variant>
      <vt:variant>
        <vt:i4>1638449</vt:i4>
      </vt:variant>
      <vt:variant>
        <vt:i4>107</vt:i4>
      </vt:variant>
      <vt:variant>
        <vt:i4>0</vt:i4>
      </vt:variant>
      <vt:variant>
        <vt:i4>5</vt:i4>
      </vt:variant>
      <vt:variant>
        <vt:lpwstr/>
      </vt:variant>
      <vt:variant>
        <vt:lpwstr>_Toc373767794</vt:lpwstr>
      </vt:variant>
      <vt:variant>
        <vt:i4>1638449</vt:i4>
      </vt:variant>
      <vt:variant>
        <vt:i4>101</vt:i4>
      </vt:variant>
      <vt:variant>
        <vt:i4>0</vt:i4>
      </vt:variant>
      <vt:variant>
        <vt:i4>5</vt:i4>
      </vt:variant>
      <vt:variant>
        <vt:lpwstr/>
      </vt:variant>
      <vt:variant>
        <vt:lpwstr>_Toc373767793</vt:lpwstr>
      </vt:variant>
      <vt:variant>
        <vt:i4>1638449</vt:i4>
      </vt:variant>
      <vt:variant>
        <vt:i4>95</vt:i4>
      </vt:variant>
      <vt:variant>
        <vt:i4>0</vt:i4>
      </vt:variant>
      <vt:variant>
        <vt:i4>5</vt:i4>
      </vt:variant>
      <vt:variant>
        <vt:lpwstr/>
      </vt:variant>
      <vt:variant>
        <vt:lpwstr>_Toc373767792</vt:lpwstr>
      </vt:variant>
      <vt:variant>
        <vt:i4>1638449</vt:i4>
      </vt:variant>
      <vt:variant>
        <vt:i4>89</vt:i4>
      </vt:variant>
      <vt:variant>
        <vt:i4>0</vt:i4>
      </vt:variant>
      <vt:variant>
        <vt:i4>5</vt:i4>
      </vt:variant>
      <vt:variant>
        <vt:lpwstr/>
      </vt:variant>
      <vt:variant>
        <vt:lpwstr>_Toc373767791</vt:lpwstr>
      </vt:variant>
      <vt:variant>
        <vt:i4>1638449</vt:i4>
      </vt:variant>
      <vt:variant>
        <vt:i4>83</vt:i4>
      </vt:variant>
      <vt:variant>
        <vt:i4>0</vt:i4>
      </vt:variant>
      <vt:variant>
        <vt:i4>5</vt:i4>
      </vt:variant>
      <vt:variant>
        <vt:lpwstr/>
      </vt:variant>
      <vt:variant>
        <vt:lpwstr>_Toc373767790</vt:lpwstr>
      </vt:variant>
      <vt:variant>
        <vt:i4>1572913</vt:i4>
      </vt:variant>
      <vt:variant>
        <vt:i4>77</vt:i4>
      </vt:variant>
      <vt:variant>
        <vt:i4>0</vt:i4>
      </vt:variant>
      <vt:variant>
        <vt:i4>5</vt:i4>
      </vt:variant>
      <vt:variant>
        <vt:lpwstr/>
      </vt:variant>
      <vt:variant>
        <vt:lpwstr>_Toc373767789</vt:lpwstr>
      </vt:variant>
      <vt:variant>
        <vt:i4>1572913</vt:i4>
      </vt:variant>
      <vt:variant>
        <vt:i4>71</vt:i4>
      </vt:variant>
      <vt:variant>
        <vt:i4>0</vt:i4>
      </vt:variant>
      <vt:variant>
        <vt:i4>5</vt:i4>
      </vt:variant>
      <vt:variant>
        <vt:lpwstr/>
      </vt:variant>
      <vt:variant>
        <vt:lpwstr>_Toc373767788</vt:lpwstr>
      </vt:variant>
      <vt:variant>
        <vt:i4>1572913</vt:i4>
      </vt:variant>
      <vt:variant>
        <vt:i4>65</vt:i4>
      </vt:variant>
      <vt:variant>
        <vt:i4>0</vt:i4>
      </vt:variant>
      <vt:variant>
        <vt:i4>5</vt:i4>
      </vt:variant>
      <vt:variant>
        <vt:lpwstr/>
      </vt:variant>
      <vt:variant>
        <vt:lpwstr>_Toc373767787</vt:lpwstr>
      </vt:variant>
      <vt:variant>
        <vt:i4>1572913</vt:i4>
      </vt:variant>
      <vt:variant>
        <vt:i4>59</vt:i4>
      </vt:variant>
      <vt:variant>
        <vt:i4>0</vt:i4>
      </vt:variant>
      <vt:variant>
        <vt:i4>5</vt:i4>
      </vt:variant>
      <vt:variant>
        <vt:lpwstr/>
      </vt:variant>
      <vt:variant>
        <vt:lpwstr>_Toc373767786</vt:lpwstr>
      </vt:variant>
      <vt:variant>
        <vt:i4>1572913</vt:i4>
      </vt:variant>
      <vt:variant>
        <vt:i4>53</vt:i4>
      </vt:variant>
      <vt:variant>
        <vt:i4>0</vt:i4>
      </vt:variant>
      <vt:variant>
        <vt:i4>5</vt:i4>
      </vt:variant>
      <vt:variant>
        <vt:lpwstr/>
      </vt:variant>
      <vt:variant>
        <vt:lpwstr>_Toc373767785</vt:lpwstr>
      </vt:variant>
      <vt:variant>
        <vt:i4>1572913</vt:i4>
      </vt:variant>
      <vt:variant>
        <vt:i4>47</vt:i4>
      </vt:variant>
      <vt:variant>
        <vt:i4>0</vt:i4>
      </vt:variant>
      <vt:variant>
        <vt:i4>5</vt:i4>
      </vt:variant>
      <vt:variant>
        <vt:lpwstr/>
      </vt:variant>
      <vt:variant>
        <vt:lpwstr>_Toc373767784</vt:lpwstr>
      </vt:variant>
      <vt:variant>
        <vt:i4>1572913</vt:i4>
      </vt:variant>
      <vt:variant>
        <vt:i4>41</vt:i4>
      </vt:variant>
      <vt:variant>
        <vt:i4>0</vt:i4>
      </vt:variant>
      <vt:variant>
        <vt:i4>5</vt:i4>
      </vt:variant>
      <vt:variant>
        <vt:lpwstr/>
      </vt:variant>
      <vt:variant>
        <vt:lpwstr>_Toc373767783</vt:lpwstr>
      </vt:variant>
      <vt:variant>
        <vt:i4>1572913</vt:i4>
      </vt:variant>
      <vt:variant>
        <vt:i4>35</vt:i4>
      </vt:variant>
      <vt:variant>
        <vt:i4>0</vt:i4>
      </vt:variant>
      <vt:variant>
        <vt:i4>5</vt:i4>
      </vt:variant>
      <vt:variant>
        <vt:lpwstr/>
      </vt:variant>
      <vt:variant>
        <vt:lpwstr>_Toc373767782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Chief Executive guideline - Managing employee health, safety and wellbeing – independent medical examinations</dc:title>
  <dc:subject>Commission Chief Executive guideline - Managing employee health, safety and wellbeing – independent medical examinations</dc:subject>
  <dc:creator/>
  <cp:keywords>Commission Chief Executive guideline - Managing employee health, safety and wellbeing – independent medical examinations</cp:keywords>
  <dc:description/>
  <cp:lastModifiedBy/>
  <cp:revision>1</cp:revision>
  <dcterms:created xsi:type="dcterms:W3CDTF">2019-02-20T01:46:00Z</dcterms:created>
  <dcterms:modified xsi:type="dcterms:W3CDTF">2022-07-27T23:20:00Z</dcterms:modified>
  <cp:category/>
</cp:coreProperties>
</file>