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8FFB" w14:textId="77777777" w:rsidR="00091F6D" w:rsidRDefault="00091F6D" w:rsidP="00091F6D">
      <w:pPr>
        <w:pStyle w:val="Appendix1"/>
        <w:tabs>
          <w:tab w:val="clear" w:pos="360"/>
          <w:tab w:val="num" w:pos="142"/>
        </w:tabs>
      </w:pPr>
      <w:bookmarkStart w:id="0" w:name="_Toc29299821"/>
      <w:r>
        <w:t xml:space="preserve">Integrity – Business impact assessment - </w:t>
      </w:r>
      <w:r w:rsidRPr="008C62FB">
        <w:t>example</w:t>
      </w:r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43"/>
        <w:gridCol w:w="5335"/>
        <w:gridCol w:w="2151"/>
        <w:gridCol w:w="2091"/>
        <w:gridCol w:w="2328"/>
      </w:tblGrid>
      <w:tr w:rsidR="00091F6D" w:rsidRPr="008F5A6E" w14:paraId="7AD804FC" w14:textId="77777777" w:rsidTr="005F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3BE872F1" w14:textId="77777777" w:rsidR="00091F6D" w:rsidRPr="008F5A6E" w:rsidRDefault="00091F6D" w:rsidP="005F5795">
            <w:pPr>
              <w:pStyle w:val="BodyText1"/>
              <w:ind w:left="22"/>
            </w:pPr>
            <w:bookmarkStart w:id="1" w:name="_1583241269"/>
            <w:bookmarkEnd w:id="1"/>
            <w:r w:rsidRPr="008F5A6E">
              <w:t>Integrity Impact</w:t>
            </w:r>
          </w:p>
        </w:tc>
        <w:tc>
          <w:tcPr>
            <w:tcW w:w="0" w:type="auto"/>
            <w:noWrap/>
            <w:hideMark/>
          </w:tcPr>
          <w:p w14:paraId="5F8E4A9C" w14:textId="77777777" w:rsidR="00091F6D" w:rsidRPr="008F5A6E" w:rsidRDefault="00091F6D" w:rsidP="005F5795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</w:t>
            </w:r>
          </w:p>
        </w:tc>
        <w:tc>
          <w:tcPr>
            <w:tcW w:w="0" w:type="auto"/>
          </w:tcPr>
          <w:p w14:paraId="70D13250" w14:textId="77777777" w:rsidR="00091F6D" w:rsidRPr="008F5A6E" w:rsidRDefault="00091F6D" w:rsidP="005F5795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Medium</w:t>
            </w:r>
          </w:p>
        </w:tc>
        <w:tc>
          <w:tcPr>
            <w:tcW w:w="0" w:type="auto"/>
          </w:tcPr>
          <w:p w14:paraId="248419A1" w14:textId="77777777" w:rsidR="00091F6D" w:rsidRPr="008F5A6E" w:rsidRDefault="00091F6D" w:rsidP="005F5795">
            <w:pPr>
              <w:pStyle w:val="BodyTex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High</w:t>
            </w:r>
          </w:p>
        </w:tc>
      </w:tr>
      <w:tr w:rsidR="00091F6D" w:rsidRPr="006862DD" w14:paraId="216205EB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442D09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Risk to individual safety</w:t>
            </w:r>
          </w:p>
        </w:tc>
        <w:tc>
          <w:tcPr>
            <w:tcW w:w="0" w:type="auto"/>
          </w:tcPr>
          <w:p w14:paraId="6E8084EA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Consider any risk of injury or impact on safety, as well as the possibility of loss of life.  This could be due to a semantic attack which causes a SCADA system to </w:t>
            </w:r>
            <w:r>
              <w:t>malfunction.</w:t>
            </w:r>
          </w:p>
        </w:tc>
        <w:tc>
          <w:tcPr>
            <w:tcW w:w="0" w:type="auto"/>
          </w:tcPr>
          <w:p w14:paraId="5377EC42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Risk to individual safety</w:t>
            </w:r>
          </w:p>
        </w:tc>
        <w:tc>
          <w:tcPr>
            <w:tcW w:w="0" w:type="auto"/>
          </w:tcPr>
          <w:p w14:paraId="3AAF8581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Direct actual risk to individual safety</w:t>
            </w:r>
          </w:p>
        </w:tc>
        <w:tc>
          <w:tcPr>
            <w:tcW w:w="0" w:type="auto"/>
          </w:tcPr>
          <w:p w14:paraId="7AA1846B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Direct actual risk to individual life / lives </w:t>
            </w:r>
          </w:p>
        </w:tc>
      </w:tr>
      <w:tr w:rsidR="00091F6D" w:rsidRPr="006862DD" w14:paraId="2EDFC3FA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89C463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Data quality</w:t>
            </w:r>
          </w:p>
        </w:tc>
        <w:tc>
          <w:tcPr>
            <w:tcW w:w="0" w:type="auto"/>
          </w:tcPr>
          <w:p w14:paraId="683FF6C2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Effect on agency data quality requirements</w:t>
            </w:r>
            <w:r>
              <w:t>.</w:t>
            </w:r>
          </w:p>
        </w:tc>
        <w:tc>
          <w:tcPr>
            <w:tcW w:w="0" w:type="auto"/>
          </w:tcPr>
          <w:p w14:paraId="78EA66C9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Record keeping does not meet </w:t>
            </w:r>
            <w:r w:rsidRPr="00230F5B">
              <w:rPr>
                <w:i/>
                <w:iCs/>
              </w:rPr>
              <w:t>Public Records Act 2002 (QLD)</w:t>
            </w:r>
            <w:r w:rsidRPr="008F5A6E">
              <w:t xml:space="preserve"> requirements </w:t>
            </w:r>
          </w:p>
        </w:tc>
        <w:tc>
          <w:tcPr>
            <w:tcW w:w="0" w:type="auto"/>
          </w:tcPr>
          <w:p w14:paraId="537625F4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Loss of historically important records</w:t>
            </w:r>
          </w:p>
        </w:tc>
        <w:tc>
          <w:tcPr>
            <w:tcW w:w="0" w:type="auto"/>
          </w:tcPr>
          <w:p w14:paraId="769AE212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Significant failure of Evidentiary requirements </w:t>
            </w:r>
            <w:r w:rsidRPr="00230F5B">
              <w:rPr>
                <w:i/>
                <w:iCs/>
              </w:rPr>
              <w:t>(Evidence Act 1977 (Qld)</w:t>
            </w:r>
            <w:r w:rsidRPr="008F5A6E">
              <w:t xml:space="preserve">), Chain of Custody </w:t>
            </w:r>
          </w:p>
        </w:tc>
      </w:tr>
      <w:tr w:rsidR="00091F6D" w:rsidRPr="006862DD" w14:paraId="1B55846F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E15FA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Distress caused to any party</w:t>
            </w:r>
          </w:p>
        </w:tc>
        <w:tc>
          <w:tcPr>
            <w:tcW w:w="0" w:type="auto"/>
          </w:tcPr>
          <w:p w14:paraId="6F4DEE96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Information gathered about a party that is incorrect. Inability to correct inaccuracies effectively. Information is aged and therefore less accurate.</w:t>
            </w:r>
          </w:p>
        </w:tc>
        <w:tc>
          <w:tcPr>
            <w:tcW w:w="0" w:type="auto"/>
          </w:tcPr>
          <w:p w14:paraId="1BC6D75F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A party is concerned that information gathered is incorrect</w:t>
            </w:r>
          </w:p>
        </w:tc>
        <w:tc>
          <w:tcPr>
            <w:tcW w:w="0" w:type="auto"/>
          </w:tcPr>
          <w:p w14:paraId="36411A20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Multiple parties are concerned or </w:t>
            </w:r>
            <w:r>
              <w:t>raise</w:t>
            </w:r>
            <w:r w:rsidRPr="008F5A6E">
              <w:t xml:space="preserve"> issues </w:t>
            </w:r>
          </w:p>
        </w:tc>
        <w:tc>
          <w:tcPr>
            <w:tcW w:w="0" w:type="auto"/>
          </w:tcPr>
          <w:p w14:paraId="7A940374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Direct, tangible and significant distress caused</w:t>
            </w:r>
          </w:p>
        </w:tc>
      </w:tr>
      <w:tr w:rsidR="00091F6D" w:rsidRPr="006862DD" w14:paraId="64E0BB9A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C66393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proofErr w:type="gramStart"/>
            <w:r w:rsidRPr="00A216D2">
              <w:rPr>
                <w:b w:val="0"/>
                <w:bCs w:val="0"/>
              </w:rPr>
              <w:t>Personally</w:t>
            </w:r>
            <w:proofErr w:type="gramEnd"/>
            <w:r w:rsidRPr="00A216D2">
              <w:rPr>
                <w:b w:val="0"/>
                <w:bCs w:val="0"/>
              </w:rPr>
              <w:t xml:space="preserve"> sensitive data integrity failure </w:t>
            </w:r>
          </w:p>
        </w:tc>
        <w:tc>
          <w:tcPr>
            <w:tcW w:w="0" w:type="auto"/>
          </w:tcPr>
          <w:p w14:paraId="67E6E2A7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Does information held about clients have appropriate integrity/quality. Examples include medical records and other personal information. Inability to correct inaccurate information in a timely manner</w:t>
            </w:r>
            <w:r>
              <w:t>.</w:t>
            </w:r>
          </w:p>
        </w:tc>
        <w:tc>
          <w:tcPr>
            <w:tcW w:w="0" w:type="auto"/>
          </w:tcPr>
          <w:p w14:paraId="1F922239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Quality of personal information held is not fit for purpose</w:t>
            </w:r>
          </w:p>
        </w:tc>
        <w:tc>
          <w:tcPr>
            <w:tcW w:w="0" w:type="auto"/>
          </w:tcPr>
          <w:p w14:paraId="44379A5B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 quality of holdings affects customers adversely over days</w:t>
            </w:r>
          </w:p>
        </w:tc>
        <w:tc>
          <w:tcPr>
            <w:tcW w:w="0" w:type="auto"/>
          </w:tcPr>
          <w:p w14:paraId="242970FF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Inaccuracies in personal information have significant &amp; tangible effects on multiple customers</w:t>
            </w:r>
          </w:p>
        </w:tc>
      </w:tr>
      <w:tr w:rsidR="00091F6D" w:rsidRPr="006862DD" w14:paraId="078F73F6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A0267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Impact on government finances or economic and commercial interests</w:t>
            </w:r>
          </w:p>
        </w:tc>
        <w:tc>
          <w:tcPr>
            <w:tcW w:w="0" w:type="auto"/>
          </w:tcPr>
          <w:p w14:paraId="758ADBC4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Impact on </w:t>
            </w:r>
            <w:r>
              <w:t>g</w:t>
            </w:r>
            <w:r w:rsidRPr="008F5A6E">
              <w:t>overnment finances or economic and commercial interests. Fraud through the changing of government financial data is an integrity threat</w:t>
            </w:r>
            <w:r>
              <w:t>.</w:t>
            </w:r>
          </w:p>
        </w:tc>
        <w:tc>
          <w:tcPr>
            <w:tcW w:w="0" w:type="auto"/>
          </w:tcPr>
          <w:p w14:paraId="6B1DF0CD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Low - Moderate impact</w:t>
            </w:r>
          </w:p>
        </w:tc>
        <w:tc>
          <w:tcPr>
            <w:tcW w:w="0" w:type="auto"/>
          </w:tcPr>
          <w:p w14:paraId="76ABD963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Severe impact on a single agency </w:t>
            </w:r>
          </w:p>
        </w:tc>
        <w:tc>
          <w:tcPr>
            <w:tcW w:w="0" w:type="auto"/>
          </w:tcPr>
          <w:p w14:paraId="39BFA0FA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Catastrophic impact on multiple agencies</w:t>
            </w:r>
          </w:p>
        </w:tc>
      </w:tr>
      <w:tr w:rsidR="00091F6D" w:rsidRPr="006862DD" w14:paraId="4FBC5F8C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604F61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lastRenderedPageBreak/>
              <w:t xml:space="preserve">Financial loss to any client </w:t>
            </w:r>
            <w:r w:rsidRPr="00A216D2">
              <w:rPr>
                <w:b w:val="0"/>
                <w:bCs w:val="0"/>
                <w:vertAlign w:val="superscript"/>
              </w:rPr>
              <w:t>[1]</w:t>
            </w:r>
            <w:r w:rsidRPr="00A216D2">
              <w:rPr>
                <w:b w:val="0"/>
                <w:bCs w:val="0"/>
              </w:rPr>
              <w:t xml:space="preserve"> of the service provider or third party</w:t>
            </w:r>
          </w:p>
        </w:tc>
        <w:tc>
          <w:tcPr>
            <w:tcW w:w="0" w:type="auto"/>
          </w:tcPr>
          <w:p w14:paraId="7AD1F9C0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Consider this from the service provider’s perspective - what losses could they incur? Considerations </w:t>
            </w:r>
            <w:proofErr w:type="gramStart"/>
            <w:r w:rsidRPr="008F5A6E">
              <w:t>include</w:t>
            </w:r>
            <w:r>
              <w:t>:</w:t>
            </w:r>
            <w:proofErr w:type="gramEnd"/>
            <w:r w:rsidRPr="008F5A6E">
              <w:t xml:space="preserve"> possibility of fraud</w:t>
            </w:r>
            <w:r>
              <w:t>;</w:t>
            </w:r>
            <w:r w:rsidRPr="008F5A6E">
              <w:t xml:space="preserve"> a party illegally transferring money</w:t>
            </w:r>
            <w:r>
              <w:t>;</w:t>
            </w:r>
            <w:r w:rsidRPr="008F5A6E">
              <w:t xml:space="preserve"> a party gaining control of assets they don't legally own (e.g. by using the provided information to establish an identity which is not theirs, and then changing ownership details</w:t>
            </w:r>
            <w:r>
              <w:t>).</w:t>
            </w:r>
          </w:p>
        </w:tc>
        <w:tc>
          <w:tcPr>
            <w:tcW w:w="0" w:type="auto"/>
          </w:tcPr>
          <w:p w14:paraId="64673FD2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 - Moderate impact</w:t>
            </w:r>
          </w:p>
        </w:tc>
        <w:tc>
          <w:tcPr>
            <w:tcW w:w="0" w:type="auto"/>
          </w:tcPr>
          <w:p w14:paraId="68084BE7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Severe impact on small numbers of clients or third party</w:t>
            </w:r>
          </w:p>
        </w:tc>
        <w:tc>
          <w:tcPr>
            <w:tcW w:w="0" w:type="auto"/>
          </w:tcPr>
          <w:p w14:paraId="2154DD59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Catastrophic impact on multiple third parties, service providers or significant numbers of clients</w:t>
            </w:r>
          </w:p>
        </w:tc>
      </w:tr>
      <w:tr w:rsidR="00091F6D" w:rsidRPr="0095437F" w14:paraId="2DD1E8B8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AA4AE4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Financial loss to agency / service provider</w:t>
            </w:r>
          </w:p>
        </w:tc>
        <w:tc>
          <w:tcPr>
            <w:tcW w:w="0" w:type="auto"/>
          </w:tcPr>
          <w:p w14:paraId="0807B5D1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Consider this from the service provider’s perspective - what losses could they incur? Considerations </w:t>
            </w:r>
            <w:proofErr w:type="gramStart"/>
            <w:r w:rsidRPr="008F5A6E">
              <w:t>include</w:t>
            </w:r>
            <w:r>
              <w:t>:</w:t>
            </w:r>
            <w:proofErr w:type="gramEnd"/>
            <w:r w:rsidRPr="008F5A6E">
              <w:t xml:space="preserve"> possibility of fraud</w:t>
            </w:r>
            <w:r>
              <w:t>;</w:t>
            </w:r>
            <w:r w:rsidRPr="008F5A6E">
              <w:t xml:space="preserve"> a party illegally transferring money</w:t>
            </w:r>
            <w:r>
              <w:t>;</w:t>
            </w:r>
            <w:r w:rsidRPr="008F5A6E">
              <w:t xml:space="preserve"> or a party gaining control of assets they don't legally own</w:t>
            </w:r>
            <w:r>
              <w:t>.</w:t>
            </w:r>
          </w:p>
        </w:tc>
        <w:tc>
          <w:tcPr>
            <w:tcW w:w="0" w:type="auto"/>
          </w:tcPr>
          <w:p w14:paraId="2AD6D41D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Low - Moderate impact</w:t>
            </w:r>
          </w:p>
        </w:tc>
        <w:tc>
          <w:tcPr>
            <w:tcW w:w="0" w:type="auto"/>
          </w:tcPr>
          <w:p w14:paraId="0E94376D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Severe impact to an agency or a service provider</w:t>
            </w:r>
          </w:p>
        </w:tc>
        <w:tc>
          <w:tcPr>
            <w:tcW w:w="0" w:type="auto"/>
          </w:tcPr>
          <w:p w14:paraId="671F10BC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Catastrophic impact on multiple agencies and service providers</w:t>
            </w:r>
          </w:p>
        </w:tc>
      </w:tr>
      <w:tr w:rsidR="00091F6D" w:rsidRPr="0095437F" w14:paraId="07090058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D9AE50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Assistance to crime or impact on its detection</w:t>
            </w:r>
          </w:p>
        </w:tc>
        <w:tc>
          <w:tcPr>
            <w:tcW w:w="0" w:type="auto"/>
          </w:tcPr>
          <w:p w14:paraId="02011A3E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If the integrity of the information were low, would this have the potential to assist criminals.  </w:t>
            </w:r>
          </w:p>
        </w:tc>
        <w:tc>
          <w:tcPr>
            <w:tcW w:w="0" w:type="auto"/>
          </w:tcPr>
          <w:p w14:paraId="7F587491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</w:t>
            </w:r>
          </w:p>
        </w:tc>
        <w:tc>
          <w:tcPr>
            <w:tcW w:w="0" w:type="auto"/>
          </w:tcPr>
          <w:p w14:paraId="7F7CD9C8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Moderate detriment</w:t>
            </w:r>
          </w:p>
        </w:tc>
        <w:tc>
          <w:tcPr>
            <w:tcW w:w="0" w:type="auto"/>
          </w:tcPr>
          <w:p w14:paraId="73BBCF34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Significant </w:t>
            </w:r>
          </w:p>
        </w:tc>
      </w:tr>
      <w:tr w:rsidR="00091F6D" w:rsidRPr="0095437F" w14:paraId="6FBA8A04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EEC95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Impact on development or operation of government policy</w:t>
            </w:r>
          </w:p>
        </w:tc>
        <w:tc>
          <w:tcPr>
            <w:tcW w:w="0" w:type="auto"/>
          </w:tcPr>
          <w:p w14:paraId="77A70E4E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Would integrity loss impact government during the stages where policy is being formulated or implemented? The negative impact may be that a policy initiative will not proceed.</w:t>
            </w:r>
          </w:p>
        </w:tc>
        <w:tc>
          <w:tcPr>
            <w:tcW w:w="0" w:type="auto"/>
          </w:tcPr>
          <w:p w14:paraId="5EDCC20A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 xml:space="preserve">Low </w:t>
            </w:r>
          </w:p>
        </w:tc>
        <w:tc>
          <w:tcPr>
            <w:tcW w:w="0" w:type="auto"/>
          </w:tcPr>
          <w:p w14:paraId="560CF5A3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Medium</w:t>
            </w:r>
          </w:p>
        </w:tc>
        <w:tc>
          <w:tcPr>
            <w:tcW w:w="0" w:type="auto"/>
          </w:tcPr>
          <w:p w14:paraId="4A385FA8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Catastrophic</w:t>
            </w:r>
          </w:p>
        </w:tc>
      </w:tr>
      <w:tr w:rsidR="00091F6D" w:rsidRPr="0095437F" w14:paraId="70142F54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24DC16C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Impact on risk of litigation</w:t>
            </w:r>
          </w:p>
        </w:tc>
        <w:tc>
          <w:tcPr>
            <w:tcW w:w="0" w:type="auto"/>
          </w:tcPr>
          <w:p w14:paraId="5C0243BE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 xml:space="preserve">Integrity loss impacts litigation against the state of </w:t>
            </w:r>
            <w:r>
              <w:t>Queensland</w:t>
            </w:r>
            <w:r w:rsidRPr="008F5A6E">
              <w:t xml:space="preserve"> negatively</w:t>
            </w:r>
          </w:p>
        </w:tc>
        <w:tc>
          <w:tcPr>
            <w:tcW w:w="0" w:type="auto"/>
          </w:tcPr>
          <w:p w14:paraId="5DEDC55C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</w:t>
            </w:r>
          </w:p>
        </w:tc>
        <w:tc>
          <w:tcPr>
            <w:tcW w:w="0" w:type="auto"/>
          </w:tcPr>
          <w:p w14:paraId="05B94580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Medium</w:t>
            </w:r>
          </w:p>
        </w:tc>
        <w:tc>
          <w:tcPr>
            <w:tcW w:w="0" w:type="auto"/>
          </w:tcPr>
          <w:p w14:paraId="2FABE245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Catastrophic</w:t>
            </w:r>
          </w:p>
        </w:tc>
      </w:tr>
      <w:tr w:rsidR="00091F6D" w:rsidRPr="0095437F" w14:paraId="04A04ECE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68A78B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INSERT YOUR OWN IMPACTS HERE</w:t>
            </w:r>
          </w:p>
        </w:tc>
        <w:tc>
          <w:tcPr>
            <w:tcW w:w="0" w:type="auto"/>
          </w:tcPr>
          <w:p w14:paraId="36F06D6B" w14:textId="77777777" w:rsidR="00091F6D" w:rsidRPr="008F5A6E" w:rsidRDefault="00091F6D" w:rsidP="005F5795">
            <w:pPr>
              <w:pStyle w:val="BodyText1"/>
              <w:ind w:left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5A6E">
              <w:t>Opportunity to add or remove impacts that specifically affect your department</w:t>
            </w:r>
            <w:r>
              <w:t>.</w:t>
            </w:r>
          </w:p>
        </w:tc>
        <w:tc>
          <w:tcPr>
            <w:tcW w:w="0" w:type="auto"/>
          </w:tcPr>
          <w:p w14:paraId="40A26741" w14:textId="77777777" w:rsidR="00091F6D" w:rsidRPr="008F5A6E" w:rsidRDefault="00091F6D" w:rsidP="005F5795">
            <w:pPr>
              <w:pStyle w:val="BodyText1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600A19" w14:textId="77777777" w:rsidR="00091F6D" w:rsidRPr="008F5A6E" w:rsidRDefault="00091F6D" w:rsidP="005F5795">
            <w:pPr>
              <w:pStyle w:val="BodyText1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70209F" w14:textId="77777777" w:rsidR="00091F6D" w:rsidRPr="008F5A6E" w:rsidRDefault="00091F6D" w:rsidP="005F5795">
            <w:pPr>
              <w:pStyle w:val="BodyText1"/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F6D" w:rsidRPr="0095437F" w14:paraId="18D5BEC2" w14:textId="77777777" w:rsidTr="005F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FBDC8D" w14:textId="77777777" w:rsidR="00091F6D" w:rsidRPr="00A216D2" w:rsidRDefault="00091F6D" w:rsidP="005F5795">
            <w:pPr>
              <w:pStyle w:val="BodyText1"/>
              <w:ind w:left="29"/>
              <w:rPr>
                <w:b w:val="0"/>
                <w:bCs w:val="0"/>
              </w:rPr>
            </w:pPr>
            <w:r w:rsidRPr="00A216D2">
              <w:rPr>
                <w:b w:val="0"/>
                <w:bCs w:val="0"/>
              </w:rPr>
              <w:t>Integrity Impact</w:t>
            </w:r>
          </w:p>
        </w:tc>
        <w:tc>
          <w:tcPr>
            <w:tcW w:w="0" w:type="auto"/>
            <w:hideMark/>
          </w:tcPr>
          <w:p w14:paraId="1D48CB0A" w14:textId="77777777" w:rsidR="00091F6D" w:rsidRPr="008F5A6E" w:rsidRDefault="00091F6D" w:rsidP="005F5795">
            <w:pPr>
              <w:pStyle w:val="BodyText1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 </w:t>
            </w:r>
          </w:p>
        </w:tc>
        <w:tc>
          <w:tcPr>
            <w:tcW w:w="0" w:type="auto"/>
            <w:noWrap/>
            <w:hideMark/>
          </w:tcPr>
          <w:p w14:paraId="0CA212DB" w14:textId="77777777" w:rsidR="00091F6D" w:rsidRPr="008F5A6E" w:rsidRDefault="00091F6D" w:rsidP="005F5795">
            <w:pPr>
              <w:pStyle w:val="BodyText1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Low</w:t>
            </w:r>
          </w:p>
        </w:tc>
        <w:tc>
          <w:tcPr>
            <w:tcW w:w="0" w:type="auto"/>
            <w:noWrap/>
            <w:hideMark/>
          </w:tcPr>
          <w:p w14:paraId="40BA1554" w14:textId="77777777" w:rsidR="00091F6D" w:rsidRPr="008F5A6E" w:rsidRDefault="00091F6D" w:rsidP="005F5795">
            <w:pPr>
              <w:pStyle w:val="BodyText1"/>
              <w:ind w:left="1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Medium</w:t>
            </w:r>
          </w:p>
        </w:tc>
        <w:tc>
          <w:tcPr>
            <w:tcW w:w="0" w:type="auto"/>
            <w:noWrap/>
            <w:hideMark/>
          </w:tcPr>
          <w:p w14:paraId="3DD11314" w14:textId="77777777" w:rsidR="00091F6D" w:rsidRPr="008F5A6E" w:rsidRDefault="00091F6D" w:rsidP="005F5795">
            <w:pPr>
              <w:pStyle w:val="BodyText1"/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A6E">
              <w:t>High</w:t>
            </w:r>
          </w:p>
        </w:tc>
      </w:tr>
      <w:tr w:rsidR="00091F6D" w:rsidRPr="0095437F" w14:paraId="3EADDF0B" w14:textId="77777777" w:rsidTr="005F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14:paraId="5B03DFCF" w14:textId="77777777" w:rsidR="00091F6D" w:rsidRPr="00774698" w:rsidRDefault="00091F6D" w:rsidP="005F5795">
            <w:pPr>
              <w:pStyle w:val="BodyText1"/>
              <w:rPr>
                <w:sz w:val="18"/>
                <w:szCs w:val="18"/>
              </w:rPr>
            </w:pPr>
            <w:r w:rsidRPr="00774698">
              <w:rPr>
                <w:sz w:val="18"/>
                <w:szCs w:val="18"/>
              </w:rPr>
              <w:t>[1] In order to assist in the determination of the appropriate level of impact, the following is suggested: Low &lt; 10% of contract, Severe 60% of contract and Catastrophic 90% of contract.</w:t>
            </w:r>
          </w:p>
        </w:tc>
      </w:tr>
    </w:tbl>
    <w:p w14:paraId="46CAF2EB" w14:textId="2A7BEDB0" w:rsidR="0099057C" w:rsidRDefault="00690B87" w:rsidP="00091F6D">
      <w:pPr>
        <w:spacing w:before="0" w:line="240" w:lineRule="auto"/>
        <w:ind w:left="0"/>
      </w:pPr>
      <w:bookmarkStart w:id="2" w:name="_GoBack"/>
      <w:bookmarkEnd w:id="2"/>
    </w:p>
    <w:sectPr w:rsidR="0099057C" w:rsidSect="00091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1D58" w14:textId="77777777" w:rsidR="00690B87" w:rsidRDefault="00690B87" w:rsidP="00690B87">
      <w:pPr>
        <w:spacing w:before="0" w:line="240" w:lineRule="auto"/>
      </w:pPr>
      <w:r>
        <w:separator/>
      </w:r>
    </w:p>
  </w:endnote>
  <w:endnote w:type="continuationSeparator" w:id="0">
    <w:p w14:paraId="5017AB57" w14:textId="77777777" w:rsidR="00690B87" w:rsidRDefault="00690B87" w:rsidP="00690B8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8286" w14:textId="77777777" w:rsidR="00690B87" w:rsidRDefault="00690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23B8" w14:textId="77777777" w:rsidR="00690B87" w:rsidRDefault="00690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F0D" w14:textId="77777777" w:rsidR="00690B87" w:rsidRDefault="0069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EC92" w14:textId="77777777" w:rsidR="00690B87" w:rsidRDefault="00690B87" w:rsidP="00690B87">
      <w:pPr>
        <w:spacing w:before="0" w:line="240" w:lineRule="auto"/>
      </w:pPr>
      <w:r>
        <w:separator/>
      </w:r>
    </w:p>
  </w:footnote>
  <w:footnote w:type="continuationSeparator" w:id="0">
    <w:p w14:paraId="5531BCD5" w14:textId="77777777" w:rsidR="00690B87" w:rsidRDefault="00690B87" w:rsidP="00690B8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F712" w14:textId="77777777" w:rsidR="00690B87" w:rsidRDefault="00690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155A" w14:textId="70555C9F" w:rsidR="00690B87" w:rsidRDefault="00690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CF4570" wp14:editId="33BF87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a2c40109fda62731e822920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81525C" w14:textId="3CBD1DC0" w:rsidR="00690B87" w:rsidRPr="00690B87" w:rsidRDefault="00690B87" w:rsidP="00690B87">
                          <w:pPr>
                            <w:spacing w:before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90B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F4570" id="_x0000_t202" coordsize="21600,21600" o:spt="202" path="m,l,21600r21600,l21600,xe">
              <v:stroke joinstyle="miter"/>
              <v:path gradientshapeok="t" o:connecttype="rect"/>
            </v:shapetype>
            <v:shape id="MSIPCM3a2c40109fda62731e822920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DZkTSdrgIAAEgFAAAOAAAAAAAA&#10;AAAAAAAAAC4CAABkcnMvZTJvRG9jLnhtbFBLAQItABQABgAIAAAAIQB75U4p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5781525C" w14:textId="3CBD1DC0" w:rsidR="00690B87" w:rsidRPr="00690B87" w:rsidRDefault="00690B87" w:rsidP="00690B87">
                    <w:pPr>
                      <w:spacing w:before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90B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5347" w14:textId="77777777" w:rsidR="00690B87" w:rsidRDefault="00690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31EF"/>
    <w:multiLevelType w:val="multilevel"/>
    <w:tmpl w:val="7A7418DE"/>
    <w:lvl w:ilvl="0">
      <w:start w:val="1"/>
      <w:numFmt w:val="upperLetter"/>
      <w:pStyle w:val="Appendix1"/>
      <w:lvlText w:val="Appendix %1"/>
      <w:lvlJc w:val="left"/>
      <w:pPr>
        <w:tabs>
          <w:tab w:val="num" w:pos="3403"/>
        </w:tabs>
        <w:ind w:left="3403" w:hanging="1701"/>
      </w:pPr>
      <w:rPr>
        <w:rFonts w:hint="default"/>
        <w:caps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Appendix3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pStyle w:val="Appendix4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09"/>
        </w:tabs>
        <w:ind w:left="709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D"/>
    <w:rsid w:val="00091F6D"/>
    <w:rsid w:val="003E10AD"/>
    <w:rsid w:val="00690B87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9BEA"/>
  <w15:chartTrackingRefBased/>
  <w15:docId w15:val="{85B108CA-EE79-42DE-AF43-CD858C46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F6D"/>
    <w:pPr>
      <w:spacing w:before="110" w:after="0" w:line="280" w:lineRule="atLeast"/>
      <w:ind w:left="709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6D"/>
    <w:rPr>
      <w:rFonts w:ascii="Segoe UI" w:hAnsi="Segoe UI" w:cs="Segoe UI"/>
      <w:sz w:val="18"/>
      <w:szCs w:val="18"/>
    </w:rPr>
  </w:style>
  <w:style w:type="paragraph" w:customStyle="1" w:styleId="Appendix1">
    <w:name w:val="Appendix 1"/>
    <w:basedOn w:val="Normal"/>
    <w:next w:val="BodyText"/>
    <w:link w:val="Appendix1Char"/>
    <w:rsid w:val="00091F6D"/>
    <w:pPr>
      <w:keepNext/>
      <w:pageBreakBefore/>
      <w:numPr>
        <w:numId w:val="1"/>
      </w:numPr>
      <w:shd w:val="clear" w:color="auto" w:fill="FFFFFF"/>
      <w:tabs>
        <w:tab w:val="clear" w:pos="3403"/>
        <w:tab w:val="num" w:pos="360"/>
        <w:tab w:val="num" w:pos="1985"/>
        <w:tab w:val="left" w:pos="2268"/>
      </w:tabs>
      <w:spacing w:before="400" w:after="140" w:line="240" w:lineRule="auto"/>
      <w:ind w:left="2268" w:hanging="2268"/>
      <w:outlineLvl w:val="0"/>
    </w:pPr>
    <w:rPr>
      <w:rFonts w:cs="Arial"/>
      <w:b/>
      <w:bCs/>
      <w:color w:val="336699"/>
      <w:sz w:val="36"/>
      <w:szCs w:val="28"/>
      <w:lang w:eastAsia="en-AU"/>
    </w:rPr>
  </w:style>
  <w:style w:type="paragraph" w:customStyle="1" w:styleId="Appendix2">
    <w:name w:val="Appendix 2"/>
    <w:basedOn w:val="Heading2"/>
    <w:next w:val="BodyText"/>
    <w:rsid w:val="00091F6D"/>
    <w:pPr>
      <w:keepLines w:val="0"/>
      <w:numPr>
        <w:ilvl w:val="1"/>
        <w:numId w:val="1"/>
      </w:numPr>
      <w:tabs>
        <w:tab w:val="clear" w:pos="709"/>
        <w:tab w:val="num" w:pos="360"/>
      </w:tabs>
      <w:spacing w:before="320" w:after="100" w:line="240" w:lineRule="auto"/>
      <w:ind w:firstLine="0"/>
    </w:pPr>
    <w:rPr>
      <w:rFonts w:ascii="Arial" w:eastAsia="Times New Roman" w:hAnsi="Arial" w:cs="Arial"/>
      <w:b/>
      <w:color w:val="5F5F5F"/>
      <w:sz w:val="28"/>
      <w:szCs w:val="20"/>
      <w:lang w:eastAsia="en-AU"/>
    </w:rPr>
  </w:style>
  <w:style w:type="paragraph" w:customStyle="1" w:styleId="Appendix3">
    <w:name w:val="Appendix 3"/>
    <w:basedOn w:val="Heading3"/>
    <w:next w:val="BodyText"/>
    <w:rsid w:val="00091F6D"/>
    <w:pPr>
      <w:widowControl w:val="0"/>
      <w:numPr>
        <w:ilvl w:val="2"/>
        <w:numId w:val="1"/>
      </w:numPr>
      <w:tabs>
        <w:tab w:val="num" w:pos="360"/>
        <w:tab w:val="left" w:pos="567"/>
        <w:tab w:val="num" w:pos="1277"/>
      </w:tabs>
      <w:spacing w:before="280" w:after="80" w:line="240" w:lineRule="auto"/>
    </w:pPr>
    <w:rPr>
      <w:rFonts w:ascii="Arial" w:eastAsia="Times New Roman" w:hAnsi="Arial" w:cs="Arial"/>
      <w:b/>
      <w:color w:val="auto"/>
      <w:kern w:val="24"/>
      <w:sz w:val="22"/>
      <w:lang w:eastAsia="en-AU"/>
    </w:rPr>
  </w:style>
  <w:style w:type="paragraph" w:customStyle="1" w:styleId="Appendix4">
    <w:name w:val="Appendix 4"/>
    <w:basedOn w:val="Appendix3"/>
    <w:next w:val="BodyText"/>
    <w:semiHidden/>
    <w:rsid w:val="00091F6D"/>
    <w:pPr>
      <w:numPr>
        <w:ilvl w:val="3"/>
      </w:numPr>
      <w:tabs>
        <w:tab w:val="clear" w:pos="709"/>
        <w:tab w:val="num" w:pos="360"/>
      </w:tabs>
    </w:pPr>
    <w:rPr>
      <w:b w:val="0"/>
      <w:i/>
      <w:lang w:val="en-US"/>
    </w:rPr>
  </w:style>
  <w:style w:type="paragraph" w:customStyle="1" w:styleId="BodyText1">
    <w:name w:val="Body Text1"/>
    <w:basedOn w:val="BodyText"/>
    <w:link w:val="BodytextChar"/>
    <w:qFormat/>
    <w:rsid w:val="00091F6D"/>
    <w:pPr>
      <w:spacing w:after="0"/>
      <w:ind w:left="567"/>
    </w:pPr>
    <w:rPr>
      <w:lang w:eastAsia="en-AU"/>
    </w:rPr>
  </w:style>
  <w:style w:type="character" w:customStyle="1" w:styleId="Appendix1Char">
    <w:name w:val="Appendix 1 Char"/>
    <w:basedOn w:val="DefaultParagraphFont"/>
    <w:link w:val="Appendix1"/>
    <w:rsid w:val="00091F6D"/>
    <w:rPr>
      <w:rFonts w:ascii="Arial" w:eastAsia="Times New Roman" w:hAnsi="Arial" w:cs="Arial"/>
      <w:b/>
      <w:bCs/>
      <w:color w:val="336699"/>
      <w:sz w:val="36"/>
      <w:szCs w:val="28"/>
      <w:shd w:val="clear" w:color="auto" w:fill="FFFFFF"/>
      <w:lang w:eastAsia="en-AU"/>
    </w:rPr>
  </w:style>
  <w:style w:type="character" w:customStyle="1" w:styleId="BodytextChar">
    <w:name w:val="Body text Char"/>
    <w:basedOn w:val="BodyTextChar0"/>
    <w:link w:val="BodyText1"/>
    <w:rsid w:val="00091F6D"/>
    <w:rPr>
      <w:rFonts w:ascii="Arial" w:eastAsia="Times New Roman" w:hAnsi="Arial" w:cs="Times New Roman"/>
      <w:szCs w:val="20"/>
      <w:lang w:eastAsia="en-AU"/>
    </w:rPr>
  </w:style>
  <w:style w:type="table" w:styleId="GridTable4-Accent1">
    <w:name w:val="Grid Table 4 Accent 1"/>
    <w:basedOn w:val="TableNormal"/>
    <w:uiPriority w:val="49"/>
    <w:rsid w:val="0009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0"/>
    <w:uiPriority w:val="99"/>
    <w:semiHidden/>
    <w:unhideWhenUsed/>
    <w:rsid w:val="00091F6D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091F6D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B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8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B8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8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Corn</dc:creator>
  <cp:keywords/>
  <dc:description/>
  <cp:lastModifiedBy>Wendy Corn</cp:lastModifiedBy>
  <cp:revision>1</cp:revision>
  <dcterms:created xsi:type="dcterms:W3CDTF">2020-01-31T03:35:00Z</dcterms:created>
  <dcterms:modified xsi:type="dcterms:W3CDTF">2020-02-03T01:10:00Z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cb6c51-c6a9-458e-a7b7-2c2da189ce69_Enabled">
    <vt:lpwstr>True</vt:lpwstr>
  </property>
  <property fmtid="{D5CDD505-2E9C-101B-9397-08002B2CF9AE}" pid="3" name="MSIP_Label_cccb6c51-c6a9-458e-a7b7-2c2da189ce69_SiteId">
    <vt:lpwstr>01af09b0-fbf1-4391-91f0-6a9ed731a825</vt:lpwstr>
  </property>
  <property fmtid="{D5CDD505-2E9C-101B-9397-08002B2CF9AE}" pid="4" name="MSIP_Label_cccb6c51-c6a9-458e-a7b7-2c2da189ce69_Owner">
    <vt:lpwstr>wendy.corn@qgcio.qld.gov.au</vt:lpwstr>
  </property>
  <property fmtid="{D5CDD505-2E9C-101B-9397-08002B2CF9AE}" pid="5" name="MSIP_Label_cccb6c51-c6a9-458e-a7b7-2c2da189ce69_SetDate">
    <vt:lpwstr>2020-02-03T01:10:34.0135734Z</vt:lpwstr>
  </property>
  <property fmtid="{D5CDD505-2E9C-101B-9397-08002B2CF9AE}" pid="6" name="MSIP_Label_cccb6c51-c6a9-458e-a7b7-2c2da189ce69_Name">
    <vt:lpwstr>OFFICIAL</vt:lpwstr>
  </property>
  <property fmtid="{D5CDD505-2E9C-101B-9397-08002B2CF9AE}" pid="7" name="MSIP_Label_cccb6c51-c6a9-458e-a7b7-2c2da189ce69_Application">
    <vt:lpwstr>Microsoft Azure Information Protection</vt:lpwstr>
  </property>
  <property fmtid="{D5CDD505-2E9C-101B-9397-08002B2CF9AE}" pid="8" name="MSIP_Label_cccb6c51-c6a9-458e-a7b7-2c2da189ce69_Extended_MSFT_Method">
    <vt:lpwstr>Manual</vt:lpwstr>
  </property>
  <property fmtid="{D5CDD505-2E9C-101B-9397-08002B2CF9AE}" pid="9" name="Sensitivity">
    <vt:lpwstr>OFFICIAL</vt:lpwstr>
  </property>
</Properties>
</file>