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E16F" w14:textId="0D9DA5CC" w:rsidR="00B43511" w:rsidRPr="00B43511" w:rsidRDefault="008A245E" w:rsidP="7EAEC4CD">
      <w:pPr>
        <w:pStyle w:val="PSC-Titleofdocument"/>
        <w:rPr>
          <w:rStyle w:val="DocTitle"/>
        </w:rPr>
      </w:pPr>
      <w:r>
        <w:rPr>
          <w:rStyle w:val="DocTitle"/>
        </w:rPr>
        <w:t xml:space="preserve">Independent </w:t>
      </w:r>
      <w:r w:rsidR="009216F1">
        <w:rPr>
          <w:rStyle w:val="DocTitle"/>
        </w:rPr>
        <w:t>m</w:t>
      </w:r>
      <w:r>
        <w:rPr>
          <w:rStyle w:val="DocTitle"/>
        </w:rPr>
        <w:t xml:space="preserve">edical </w:t>
      </w:r>
      <w:r w:rsidR="009216F1">
        <w:rPr>
          <w:rStyle w:val="DocTitle"/>
        </w:rPr>
        <w:t>e</w:t>
      </w:r>
      <w:r>
        <w:rPr>
          <w:rStyle w:val="DocTitle"/>
        </w:rPr>
        <w:t xml:space="preserve">xaminations </w:t>
      </w:r>
    </w:p>
    <w:p w14:paraId="715930FE" w14:textId="0786CE19" w:rsidR="00B43511" w:rsidRDefault="00B43511" w:rsidP="00B43511">
      <w:pPr>
        <w:pStyle w:val="PSCSubtitle"/>
      </w:pPr>
      <w:r w:rsidRPr="00D31E0B">
        <w:t>Directi</w:t>
      </w:r>
      <w:r w:rsidR="000F694F">
        <w:t>ve</w:t>
      </w:r>
      <w:r w:rsidR="6F34375D">
        <w:t>:</w:t>
      </w:r>
      <w:r>
        <w:t xml:space="preserve"> </w:t>
      </w:r>
      <w:r w:rsidR="00D3268C">
        <w:t>10</w:t>
      </w:r>
      <w:r>
        <w:t>/</w:t>
      </w:r>
      <w:r w:rsidR="00F533BF">
        <w:t>20</w:t>
      </w:r>
      <w:r w:rsidR="002C059D">
        <w:tab/>
      </w:r>
      <w:r w:rsidR="002C059D">
        <w:tab/>
      </w:r>
      <w:r w:rsidR="002C059D">
        <w:tab/>
      </w:r>
      <w:r w:rsidR="002C059D" w:rsidRPr="7EAEC4CD">
        <w:rPr>
          <w:b/>
          <w:bCs/>
        </w:rPr>
        <w:t>Effective date:</w:t>
      </w:r>
      <w:r w:rsidR="002C059D">
        <w:t xml:space="preserve"> </w:t>
      </w:r>
      <w:r w:rsidR="00D3268C">
        <w:t>25/09/20</w:t>
      </w:r>
    </w:p>
    <w:p w14:paraId="40ABB1BE" w14:textId="34504E4A" w:rsidR="515D12C8" w:rsidRDefault="007462F3" w:rsidP="06E836BF">
      <w:pPr>
        <w:pStyle w:val="PSCSubtitle"/>
      </w:pPr>
      <w:r w:rsidRPr="59525F8A">
        <w:rPr>
          <w:sz w:val="28"/>
          <w:szCs w:val="28"/>
        </w:rPr>
        <w:t xml:space="preserve">Supersedes: </w:t>
      </w:r>
      <w:r w:rsidR="1D852D2E" w:rsidRPr="59525F8A">
        <w:rPr>
          <w:sz w:val="28"/>
          <w:szCs w:val="28"/>
        </w:rPr>
        <w:t>01/18</w:t>
      </w:r>
    </w:p>
    <w:p w14:paraId="6C072FFE" w14:textId="695F698E" w:rsidR="00371B98" w:rsidRDefault="00371B98" w:rsidP="00C70162">
      <w:pPr>
        <w:pStyle w:val="Heading2"/>
        <w:numPr>
          <w:ilvl w:val="0"/>
          <w:numId w:val="6"/>
        </w:numPr>
        <w:ind w:left="426" w:hanging="426"/>
      </w:pPr>
      <w:r>
        <w:t>Purpose</w:t>
      </w:r>
    </w:p>
    <w:p w14:paraId="0C615903" w14:textId="03BF9826" w:rsidR="0079033C" w:rsidRPr="00E16409" w:rsidRDefault="00777BFF" w:rsidP="00E16409">
      <w:pPr>
        <w:rPr>
          <w:rFonts w:cs="Arial"/>
          <w:sz w:val="22"/>
          <w:szCs w:val="22"/>
        </w:rPr>
      </w:pPr>
      <w:r w:rsidRPr="00E16409">
        <w:rPr>
          <w:rFonts w:ascii="Arial" w:hAnsi="Arial" w:cs="Arial"/>
          <w:sz w:val="22"/>
          <w:szCs w:val="22"/>
        </w:rPr>
        <w:t xml:space="preserve">This directive affirms the </w:t>
      </w:r>
      <w:r w:rsidR="00994893">
        <w:rPr>
          <w:rFonts w:ascii="Arial" w:hAnsi="Arial" w:cs="Arial"/>
          <w:sz w:val="22"/>
          <w:szCs w:val="22"/>
        </w:rPr>
        <w:t>g</w:t>
      </w:r>
      <w:r w:rsidRPr="00E16409">
        <w:rPr>
          <w:rFonts w:ascii="Arial" w:hAnsi="Arial" w:cs="Arial"/>
          <w:sz w:val="22"/>
          <w:szCs w:val="22"/>
        </w:rPr>
        <w:t xml:space="preserve">overnment’s commitment to workplace health, safety and wellbeing for all employees by clarifying the practical application of sections 174 and 175 of the </w:t>
      </w:r>
      <w:r w:rsidRPr="003671EE">
        <w:rPr>
          <w:rFonts w:ascii="Arial" w:hAnsi="Arial" w:cs="Arial"/>
          <w:i/>
          <w:iCs/>
          <w:sz w:val="22"/>
          <w:szCs w:val="22"/>
        </w:rPr>
        <w:t>Public Service Act 2008</w:t>
      </w:r>
      <w:r w:rsidR="001E1664" w:rsidRPr="00E16409">
        <w:rPr>
          <w:rFonts w:ascii="Arial" w:hAnsi="Arial" w:cs="Arial"/>
          <w:sz w:val="22"/>
          <w:szCs w:val="22"/>
        </w:rPr>
        <w:t xml:space="preserve"> </w:t>
      </w:r>
      <w:r w:rsidRPr="00E16409">
        <w:rPr>
          <w:rFonts w:ascii="Arial" w:hAnsi="Arial" w:cs="Arial"/>
          <w:sz w:val="22"/>
          <w:szCs w:val="22"/>
        </w:rPr>
        <w:t>(PS Act)</w:t>
      </w:r>
      <w:r w:rsidR="000417AC" w:rsidRPr="00E16409">
        <w:rPr>
          <w:rFonts w:ascii="Arial" w:hAnsi="Arial" w:cs="Arial"/>
          <w:sz w:val="22"/>
          <w:szCs w:val="22"/>
        </w:rPr>
        <w:t>,</w:t>
      </w:r>
      <w:r w:rsidR="001E1664" w:rsidRPr="00E16409">
        <w:rPr>
          <w:rFonts w:ascii="Arial" w:hAnsi="Arial" w:cs="Arial"/>
          <w:sz w:val="22"/>
          <w:szCs w:val="22"/>
        </w:rPr>
        <w:t xml:space="preserve"> </w:t>
      </w:r>
      <w:r w:rsidRPr="00E16409">
        <w:rPr>
          <w:rFonts w:ascii="Arial" w:hAnsi="Arial" w:cs="Arial"/>
          <w:sz w:val="22"/>
          <w:szCs w:val="22"/>
        </w:rPr>
        <w:t xml:space="preserve">by providing </w:t>
      </w:r>
      <w:r w:rsidR="00A511DD" w:rsidRPr="00E16409">
        <w:rPr>
          <w:rFonts w:ascii="Arial" w:hAnsi="Arial" w:cs="Arial"/>
          <w:sz w:val="22"/>
          <w:szCs w:val="22"/>
        </w:rPr>
        <w:t xml:space="preserve">that an employee may seek an internal review </w:t>
      </w:r>
      <w:r w:rsidRPr="00E16409">
        <w:rPr>
          <w:rFonts w:ascii="Arial" w:hAnsi="Arial" w:cs="Arial"/>
          <w:sz w:val="22"/>
          <w:szCs w:val="22"/>
        </w:rPr>
        <w:t xml:space="preserve">and </w:t>
      </w:r>
      <w:r w:rsidR="00F176E6" w:rsidRPr="00E16409">
        <w:rPr>
          <w:rFonts w:ascii="Arial" w:hAnsi="Arial" w:cs="Arial"/>
          <w:sz w:val="22"/>
          <w:szCs w:val="22"/>
        </w:rPr>
        <w:t xml:space="preserve">may </w:t>
      </w:r>
      <w:r w:rsidRPr="00E16409">
        <w:rPr>
          <w:rFonts w:ascii="Arial" w:hAnsi="Arial" w:cs="Arial"/>
          <w:sz w:val="22"/>
          <w:szCs w:val="22"/>
        </w:rPr>
        <w:t>appeal</w:t>
      </w:r>
      <w:r w:rsidR="000417AC" w:rsidRPr="00E16409">
        <w:rPr>
          <w:rFonts w:ascii="Arial" w:hAnsi="Arial" w:cs="Arial"/>
          <w:sz w:val="22"/>
          <w:szCs w:val="22"/>
        </w:rPr>
        <w:t xml:space="preserve"> a decision requiring them to submit to an </w:t>
      </w:r>
      <w:r w:rsidR="009216F1">
        <w:rPr>
          <w:rFonts w:ascii="Arial" w:hAnsi="Arial" w:cs="Arial"/>
          <w:sz w:val="22"/>
          <w:szCs w:val="22"/>
        </w:rPr>
        <w:t>i</w:t>
      </w:r>
      <w:r w:rsidR="00994893">
        <w:rPr>
          <w:rFonts w:ascii="Arial" w:hAnsi="Arial" w:cs="Arial"/>
          <w:sz w:val="22"/>
          <w:szCs w:val="22"/>
        </w:rPr>
        <w:t xml:space="preserve">ndependent </w:t>
      </w:r>
      <w:r w:rsidR="009216F1">
        <w:rPr>
          <w:rFonts w:ascii="Arial" w:hAnsi="Arial" w:cs="Arial"/>
          <w:sz w:val="22"/>
          <w:szCs w:val="22"/>
        </w:rPr>
        <w:t>m</w:t>
      </w:r>
      <w:r w:rsidR="00994893">
        <w:rPr>
          <w:rFonts w:ascii="Arial" w:hAnsi="Arial" w:cs="Arial"/>
          <w:sz w:val="22"/>
          <w:szCs w:val="22"/>
        </w:rPr>
        <w:t xml:space="preserve">edical </w:t>
      </w:r>
      <w:r w:rsidR="009216F1">
        <w:rPr>
          <w:rFonts w:ascii="Arial" w:hAnsi="Arial" w:cs="Arial"/>
          <w:sz w:val="22"/>
          <w:szCs w:val="22"/>
        </w:rPr>
        <w:t>e</w:t>
      </w:r>
      <w:r w:rsidR="00994893">
        <w:rPr>
          <w:rFonts w:ascii="Arial" w:hAnsi="Arial" w:cs="Arial"/>
          <w:sz w:val="22"/>
          <w:szCs w:val="22"/>
        </w:rPr>
        <w:t>xamination (</w:t>
      </w:r>
      <w:r w:rsidR="000417AC" w:rsidRPr="00E16409">
        <w:rPr>
          <w:rFonts w:ascii="Arial" w:hAnsi="Arial" w:cs="Arial"/>
          <w:sz w:val="22"/>
          <w:szCs w:val="22"/>
        </w:rPr>
        <w:t>IME</w:t>
      </w:r>
      <w:r w:rsidR="00994893">
        <w:rPr>
          <w:rFonts w:ascii="Arial" w:hAnsi="Arial" w:cs="Arial"/>
          <w:sz w:val="22"/>
          <w:szCs w:val="22"/>
        </w:rPr>
        <w:t>)</w:t>
      </w:r>
      <w:r w:rsidRPr="00E16409">
        <w:rPr>
          <w:rFonts w:ascii="Arial" w:hAnsi="Arial" w:cs="Arial"/>
          <w:sz w:val="22"/>
          <w:szCs w:val="22"/>
        </w:rPr>
        <w:t xml:space="preserve"> where the PS Act conditions have not been met.</w:t>
      </w:r>
    </w:p>
    <w:p w14:paraId="05B98008" w14:textId="5D9D064A" w:rsidR="00B43511" w:rsidRDefault="002C059D" w:rsidP="00C70162">
      <w:pPr>
        <w:pStyle w:val="Heading2"/>
        <w:numPr>
          <w:ilvl w:val="0"/>
          <w:numId w:val="6"/>
        </w:numPr>
        <w:ind w:left="426" w:hanging="426"/>
      </w:pPr>
      <w:r>
        <w:t>Authorising provisions</w:t>
      </w:r>
    </w:p>
    <w:p w14:paraId="38715AD8" w14:textId="4832EA4E" w:rsidR="00B43511" w:rsidRDefault="00B43511" w:rsidP="00B43511">
      <w:pPr>
        <w:pStyle w:val="Bodystrong"/>
        <w:rPr>
          <w:b w:val="0"/>
        </w:rPr>
      </w:pPr>
      <w:r>
        <w:rPr>
          <w:b w:val="0"/>
        </w:rPr>
        <w:t>This directi</w:t>
      </w:r>
      <w:r w:rsidR="000F694F">
        <w:rPr>
          <w:b w:val="0"/>
        </w:rPr>
        <w:t>ve</w:t>
      </w:r>
      <w:r>
        <w:rPr>
          <w:b w:val="0"/>
        </w:rPr>
        <w:t xml:space="preserve"> </w:t>
      </w:r>
      <w:r w:rsidR="002C059D">
        <w:rPr>
          <w:b w:val="0"/>
        </w:rPr>
        <w:t>is made pursuant to sections</w:t>
      </w:r>
      <w:r w:rsidR="00A70B70">
        <w:rPr>
          <w:b w:val="0"/>
        </w:rPr>
        <w:t xml:space="preserve"> </w:t>
      </w:r>
      <w:r w:rsidR="0F794B82">
        <w:rPr>
          <w:b w:val="0"/>
        </w:rPr>
        <w:t>53</w:t>
      </w:r>
      <w:r w:rsidR="00032106">
        <w:rPr>
          <w:b w:val="0"/>
        </w:rPr>
        <w:t xml:space="preserve"> </w:t>
      </w:r>
      <w:r w:rsidR="0F794B82">
        <w:rPr>
          <w:b w:val="0"/>
        </w:rPr>
        <w:t>and</w:t>
      </w:r>
      <w:r w:rsidR="002C059D">
        <w:rPr>
          <w:b w:val="0"/>
        </w:rPr>
        <w:t xml:space="preserve"> </w:t>
      </w:r>
      <w:r w:rsidR="0A588EF5">
        <w:rPr>
          <w:b w:val="0"/>
        </w:rPr>
        <w:t xml:space="preserve">179AA </w:t>
      </w:r>
      <w:r w:rsidR="002C059D">
        <w:rPr>
          <w:b w:val="0"/>
        </w:rPr>
        <w:t>of the PS Act</w:t>
      </w:r>
      <w:r w:rsidR="009C37C7">
        <w:rPr>
          <w:b w:val="0"/>
        </w:rPr>
        <w:t>.</w:t>
      </w:r>
    </w:p>
    <w:p w14:paraId="3254DE19" w14:textId="77777777" w:rsidR="00B43511" w:rsidRDefault="00B43511" w:rsidP="00C70162">
      <w:pPr>
        <w:pStyle w:val="Heading2"/>
        <w:numPr>
          <w:ilvl w:val="0"/>
          <w:numId w:val="6"/>
        </w:numPr>
        <w:ind w:left="426" w:hanging="426"/>
      </w:pPr>
      <w:bookmarkStart w:id="0" w:name="_Hlk47965222"/>
      <w:r>
        <w:t>Application</w:t>
      </w:r>
    </w:p>
    <w:bookmarkEnd w:id="0"/>
    <w:p w14:paraId="17E0E0AF" w14:textId="118403F4" w:rsidR="003273AA" w:rsidRPr="005E1B84" w:rsidRDefault="001E1664" w:rsidP="003273AA">
      <w:pPr>
        <w:pStyle w:val="Bullets1"/>
        <w:numPr>
          <w:ilvl w:val="0"/>
          <w:numId w:val="0"/>
        </w:numPr>
        <w:ind w:left="426" w:hanging="426"/>
        <w:rPr>
          <w:szCs w:val="22"/>
        </w:rPr>
      </w:pPr>
      <w:r>
        <w:t>3.1</w:t>
      </w:r>
      <w:r>
        <w:tab/>
      </w:r>
      <w:r w:rsidR="1C1A78C2" w:rsidRPr="005E1B84">
        <w:rPr>
          <w:szCs w:val="22"/>
        </w:rPr>
        <w:t>This directive applies to public service employees</w:t>
      </w:r>
      <w:r w:rsidR="00637C9F">
        <w:rPr>
          <w:szCs w:val="22"/>
        </w:rPr>
        <w:t xml:space="preserve"> as defined in the PS Act</w:t>
      </w:r>
      <w:r w:rsidR="1C1A78C2" w:rsidRPr="005E1B84">
        <w:rPr>
          <w:szCs w:val="22"/>
        </w:rPr>
        <w:t xml:space="preserve">. </w:t>
      </w:r>
    </w:p>
    <w:p w14:paraId="222FDF00" w14:textId="73C27131" w:rsidR="003273AA" w:rsidRPr="006760F4" w:rsidRDefault="008F0492" w:rsidP="003273AA">
      <w:pPr>
        <w:ind w:left="426" w:hanging="426"/>
        <w:rPr>
          <w:rFonts w:ascii="Arial" w:hAnsi="Arial" w:cs="Arial"/>
          <w:sz w:val="22"/>
          <w:szCs w:val="22"/>
        </w:rPr>
      </w:pPr>
      <w:r w:rsidRPr="00B423E6">
        <w:rPr>
          <w:szCs w:val="22"/>
        </w:rPr>
        <w:t>3.2</w:t>
      </w:r>
      <w:r w:rsidRPr="00B423E6">
        <w:rPr>
          <w:szCs w:val="22"/>
        </w:rPr>
        <w:tab/>
      </w:r>
      <w:r w:rsidR="003273AA" w:rsidRPr="006760F4">
        <w:rPr>
          <w:rFonts w:ascii="Arial" w:hAnsi="Arial" w:cs="Arial"/>
          <w:sz w:val="22"/>
          <w:szCs w:val="22"/>
        </w:rPr>
        <w:t xml:space="preserve">This directive applies to the following entities (each entity being an </w:t>
      </w:r>
      <w:r w:rsidR="009216F1">
        <w:rPr>
          <w:rFonts w:ascii="Arial" w:hAnsi="Arial" w:cs="Arial"/>
          <w:sz w:val="22"/>
          <w:szCs w:val="22"/>
        </w:rPr>
        <w:t>‘</w:t>
      </w:r>
      <w:r w:rsidR="003273AA" w:rsidRPr="003671EE">
        <w:rPr>
          <w:rFonts w:ascii="Arial" w:hAnsi="Arial" w:cs="Arial"/>
          <w:sz w:val="22"/>
          <w:szCs w:val="22"/>
        </w:rPr>
        <w:t>agency</w:t>
      </w:r>
      <w:r w:rsidR="009216F1">
        <w:rPr>
          <w:rFonts w:ascii="Arial" w:hAnsi="Arial" w:cs="Arial"/>
          <w:sz w:val="22"/>
          <w:szCs w:val="22"/>
        </w:rPr>
        <w:t>’</w:t>
      </w:r>
      <w:r w:rsidR="003273AA" w:rsidRPr="006760F4">
        <w:rPr>
          <w:rFonts w:ascii="Arial" w:hAnsi="Arial" w:cs="Arial"/>
          <w:sz w:val="22"/>
          <w:szCs w:val="22"/>
        </w:rPr>
        <w:t xml:space="preserve"> for this directive) and their employees:</w:t>
      </w:r>
    </w:p>
    <w:p w14:paraId="5D0129BB" w14:textId="057D4995" w:rsidR="006760F4" w:rsidRPr="006760F4" w:rsidRDefault="00994893" w:rsidP="006760F4">
      <w:pPr>
        <w:pStyle w:val="ListParagraph"/>
        <w:numPr>
          <w:ilvl w:val="0"/>
          <w:numId w:val="24"/>
        </w:numPr>
        <w:tabs>
          <w:tab w:val="left" w:pos="993"/>
        </w:tabs>
        <w:ind w:left="0" w:firstLine="426"/>
        <w:contextualSpacing w:val="0"/>
        <w:rPr>
          <w:rFonts w:ascii="Arial" w:eastAsia="Times New Roman" w:hAnsi="Arial" w:cs="Arial"/>
          <w:sz w:val="22"/>
          <w:szCs w:val="22"/>
        </w:rPr>
      </w:pPr>
      <w:r>
        <w:rPr>
          <w:rFonts w:ascii="Arial" w:eastAsia="Times New Roman" w:hAnsi="Arial" w:cs="Arial"/>
          <w:sz w:val="22"/>
          <w:szCs w:val="22"/>
        </w:rPr>
        <w:t>d</w:t>
      </w:r>
      <w:r w:rsidR="003273AA" w:rsidRPr="006760F4">
        <w:rPr>
          <w:rFonts w:ascii="Arial" w:eastAsia="Times New Roman" w:hAnsi="Arial" w:cs="Arial"/>
          <w:sz w:val="22"/>
          <w:szCs w:val="22"/>
        </w:rPr>
        <w:t>epartments</w:t>
      </w:r>
    </w:p>
    <w:p w14:paraId="0BBF6122" w14:textId="72DEC8DE" w:rsidR="006760F4" w:rsidRPr="006760F4" w:rsidRDefault="003273AA" w:rsidP="006760F4">
      <w:pPr>
        <w:pStyle w:val="ListParagraph"/>
        <w:numPr>
          <w:ilvl w:val="0"/>
          <w:numId w:val="24"/>
        </w:numPr>
        <w:tabs>
          <w:tab w:val="left" w:pos="993"/>
        </w:tabs>
        <w:ind w:left="0" w:firstLine="426"/>
        <w:contextualSpacing w:val="0"/>
        <w:rPr>
          <w:rFonts w:ascii="Arial" w:eastAsia="Times New Roman" w:hAnsi="Arial" w:cs="Arial"/>
          <w:sz w:val="22"/>
          <w:szCs w:val="22"/>
        </w:rPr>
      </w:pPr>
      <w:r w:rsidRPr="006760F4">
        <w:rPr>
          <w:rFonts w:ascii="Arial" w:eastAsia="Times New Roman" w:hAnsi="Arial" w:cs="Arial"/>
          <w:sz w:val="22"/>
          <w:szCs w:val="22"/>
        </w:rPr>
        <w:t>public service offices list</w:t>
      </w:r>
      <w:r w:rsidR="00074F80">
        <w:rPr>
          <w:rFonts w:ascii="Arial" w:eastAsia="Times New Roman" w:hAnsi="Arial" w:cs="Arial"/>
          <w:sz w:val="22"/>
          <w:szCs w:val="22"/>
        </w:rPr>
        <w:t>ed</w:t>
      </w:r>
      <w:r w:rsidRPr="006760F4">
        <w:rPr>
          <w:rFonts w:ascii="Arial" w:eastAsia="Times New Roman" w:hAnsi="Arial" w:cs="Arial"/>
          <w:sz w:val="22"/>
          <w:szCs w:val="22"/>
        </w:rPr>
        <w:t xml:space="preserve"> in Schedule 1 of the PS Act</w:t>
      </w:r>
    </w:p>
    <w:p w14:paraId="0D192FBE" w14:textId="007F8FCB" w:rsidR="003273AA" w:rsidRPr="006760F4" w:rsidRDefault="006760F4" w:rsidP="006760F4">
      <w:pPr>
        <w:pStyle w:val="ListParagraph"/>
        <w:numPr>
          <w:ilvl w:val="0"/>
          <w:numId w:val="24"/>
        </w:numPr>
        <w:tabs>
          <w:tab w:val="left" w:pos="993"/>
        </w:tabs>
        <w:ind w:left="993" w:hanging="567"/>
        <w:contextualSpacing w:val="0"/>
        <w:rPr>
          <w:rFonts w:ascii="Arial" w:eastAsia="Times New Roman" w:hAnsi="Arial" w:cs="Arial"/>
          <w:sz w:val="22"/>
          <w:szCs w:val="22"/>
        </w:rPr>
      </w:pPr>
      <w:r w:rsidRPr="006760F4">
        <w:rPr>
          <w:rFonts w:ascii="Arial" w:eastAsia="Times New Roman" w:hAnsi="Arial" w:cs="Arial"/>
          <w:sz w:val="22"/>
          <w:szCs w:val="22"/>
        </w:rPr>
        <w:t>a</w:t>
      </w:r>
      <w:r w:rsidR="003273AA" w:rsidRPr="006760F4">
        <w:rPr>
          <w:rFonts w:ascii="Arial" w:eastAsia="Times New Roman" w:hAnsi="Arial" w:cs="Arial"/>
          <w:sz w:val="22"/>
          <w:szCs w:val="22"/>
        </w:rPr>
        <w:t>n entity declared to be a public service office under a regulation and where the regulation applies this directive to the entity (s</w:t>
      </w:r>
      <w:r w:rsidR="00CD4993">
        <w:rPr>
          <w:rFonts w:ascii="Arial" w:eastAsia="Times New Roman" w:hAnsi="Arial" w:cs="Arial"/>
          <w:sz w:val="22"/>
          <w:szCs w:val="22"/>
        </w:rPr>
        <w:t>ection</w:t>
      </w:r>
      <w:r w:rsidR="003273AA" w:rsidRPr="006760F4">
        <w:rPr>
          <w:rFonts w:ascii="Arial" w:eastAsia="Times New Roman" w:hAnsi="Arial" w:cs="Arial"/>
          <w:sz w:val="22"/>
          <w:szCs w:val="22"/>
        </w:rPr>
        <w:t>s 22-23 PS Act).</w:t>
      </w:r>
    </w:p>
    <w:p w14:paraId="07CBA323" w14:textId="03390C4E" w:rsidR="001E1664" w:rsidRPr="001E1664" w:rsidRDefault="003273AA" w:rsidP="006760F4">
      <w:pPr>
        <w:pStyle w:val="Bullets1"/>
        <w:numPr>
          <w:ilvl w:val="0"/>
          <w:numId w:val="0"/>
        </w:numPr>
        <w:spacing w:before="120"/>
        <w:ind w:left="425" w:hanging="425"/>
      </w:pPr>
      <w:r>
        <w:rPr>
          <w:szCs w:val="22"/>
        </w:rPr>
        <w:t>3.3</w:t>
      </w:r>
      <w:r>
        <w:rPr>
          <w:szCs w:val="22"/>
        </w:rPr>
        <w:tab/>
      </w:r>
      <w:r w:rsidR="00A44590">
        <w:t>Section 52 of the PS Act outlines the relationship between a directive and industrial instrument including how to deal with inconsistencies.</w:t>
      </w:r>
    </w:p>
    <w:p w14:paraId="31212BB5" w14:textId="77777777" w:rsidR="001E1664" w:rsidRPr="00C218E1" w:rsidRDefault="001E1664" w:rsidP="59525F8A">
      <w:pPr>
        <w:pStyle w:val="Bullets1"/>
        <w:numPr>
          <w:ilvl w:val="0"/>
          <w:numId w:val="0"/>
        </w:numPr>
      </w:pPr>
    </w:p>
    <w:p w14:paraId="4A7A80BE" w14:textId="41F2CD26" w:rsidR="00B43511" w:rsidRPr="00BA64D2" w:rsidRDefault="00573784" w:rsidP="00161B40">
      <w:pPr>
        <w:pStyle w:val="PSC-Title1"/>
      </w:pPr>
      <w:r>
        <w:t>Directive</w:t>
      </w:r>
    </w:p>
    <w:p w14:paraId="332273B2" w14:textId="20DAACAD" w:rsidR="009C37C7" w:rsidRDefault="00C21DD8" w:rsidP="00C70162">
      <w:pPr>
        <w:pStyle w:val="Heading2"/>
        <w:numPr>
          <w:ilvl w:val="0"/>
          <w:numId w:val="6"/>
        </w:numPr>
        <w:ind w:left="426" w:hanging="426"/>
      </w:pPr>
      <w:r>
        <w:t>Principles</w:t>
      </w:r>
    </w:p>
    <w:p w14:paraId="21D62177" w14:textId="3AE70B88" w:rsidR="4645C810" w:rsidRDefault="6230F8DB" w:rsidP="00BB09A6">
      <w:pPr>
        <w:pStyle w:val="Numberedlist2"/>
        <w:keepNext w:val="0"/>
        <w:keepLines w:val="0"/>
        <w:widowControl w:val="0"/>
        <w:numPr>
          <w:ilvl w:val="1"/>
          <w:numId w:val="6"/>
        </w:numPr>
        <w:ind w:left="426" w:hanging="426"/>
        <w:contextualSpacing w:val="0"/>
        <w:rPr>
          <w:sz w:val="22"/>
          <w:szCs w:val="22"/>
        </w:rPr>
      </w:pPr>
      <w:r w:rsidRPr="00E16409">
        <w:rPr>
          <w:sz w:val="22"/>
          <w:szCs w:val="22"/>
        </w:rPr>
        <w:t xml:space="preserve">The Queensland Government is committed to supporting public service employees who experience illness or injury to maintain their employment, including, where appropriate, through the application of reasonable adjustment.  </w:t>
      </w:r>
    </w:p>
    <w:p w14:paraId="70ABE519" w14:textId="1FCF4C18" w:rsidR="4645C810" w:rsidRPr="00E16409" w:rsidRDefault="6230F8DB" w:rsidP="006760F4">
      <w:pPr>
        <w:pStyle w:val="Numberedlist2"/>
        <w:keepNext w:val="0"/>
        <w:keepLines w:val="0"/>
        <w:widowControl w:val="0"/>
        <w:numPr>
          <w:ilvl w:val="1"/>
          <w:numId w:val="6"/>
        </w:numPr>
        <w:tabs>
          <w:tab w:val="left" w:pos="851"/>
        </w:tabs>
        <w:ind w:left="426" w:hanging="426"/>
        <w:contextualSpacing w:val="0"/>
        <w:rPr>
          <w:sz w:val="22"/>
          <w:szCs w:val="22"/>
        </w:rPr>
      </w:pPr>
      <w:r w:rsidRPr="00E16409">
        <w:rPr>
          <w:sz w:val="22"/>
          <w:szCs w:val="22"/>
        </w:rPr>
        <w:t>It is expected that managers and employees will work together to</w:t>
      </w:r>
      <w:r w:rsidR="00C34B79">
        <w:rPr>
          <w:sz w:val="22"/>
          <w:szCs w:val="22"/>
        </w:rPr>
        <w:t>:</w:t>
      </w:r>
      <w:r w:rsidRPr="00E16409">
        <w:rPr>
          <w:sz w:val="22"/>
          <w:szCs w:val="22"/>
        </w:rPr>
        <w:t xml:space="preserve">  </w:t>
      </w:r>
    </w:p>
    <w:p w14:paraId="19AF2A28" w14:textId="7E763560" w:rsidR="4645C810" w:rsidRPr="00E16409" w:rsidRDefault="6230F8DB" w:rsidP="00BB09A6">
      <w:pPr>
        <w:pStyle w:val="Numberedlist2"/>
        <w:keepNext w:val="0"/>
        <w:keepLines w:val="0"/>
        <w:widowControl w:val="0"/>
        <w:numPr>
          <w:ilvl w:val="2"/>
          <w:numId w:val="21"/>
        </w:numPr>
        <w:contextualSpacing w:val="0"/>
        <w:rPr>
          <w:sz w:val="22"/>
          <w:szCs w:val="22"/>
        </w:rPr>
      </w:pPr>
      <w:r w:rsidRPr="00E16409">
        <w:rPr>
          <w:sz w:val="22"/>
          <w:szCs w:val="22"/>
        </w:rPr>
        <w:t xml:space="preserve">manage work performance and absence in an appropriately supportive manner, including where a medical condition may be a contributing factor </w:t>
      </w:r>
    </w:p>
    <w:p w14:paraId="367758E4" w14:textId="7DBAF1D2" w:rsidR="4645C810" w:rsidRPr="00E16409" w:rsidRDefault="00F36370" w:rsidP="00BB09A6">
      <w:pPr>
        <w:pStyle w:val="Numberedlist2"/>
        <w:keepNext w:val="0"/>
        <w:keepLines w:val="0"/>
        <w:widowControl w:val="0"/>
        <w:numPr>
          <w:ilvl w:val="2"/>
          <w:numId w:val="21"/>
        </w:numPr>
        <w:contextualSpacing w:val="0"/>
        <w:rPr>
          <w:sz w:val="22"/>
          <w:szCs w:val="22"/>
        </w:rPr>
      </w:pPr>
      <w:r w:rsidRPr="00E16409">
        <w:rPr>
          <w:sz w:val="22"/>
          <w:szCs w:val="22"/>
        </w:rPr>
        <w:t>w</w:t>
      </w:r>
      <w:r w:rsidR="6230F8DB" w:rsidRPr="00E16409">
        <w:rPr>
          <w:sz w:val="22"/>
          <w:szCs w:val="22"/>
        </w:rPr>
        <w:t xml:space="preserve">here an IME report has been obtained, explore opportunities for continuing </w:t>
      </w:r>
      <w:r w:rsidR="6230F8DB" w:rsidRPr="00E16409">
        <w:rPr>
          <w:sz w:val="22"/>
          <w:szCs w:val="22"/>
        </w:rPr>
        <w:lastRenderedPageBreak/>
        <w:t xml:space="preserve">employment in line with it before considering ill health retirement of an employee under the PS Act </w:t>
      </w:r>
    </w:p>
    <w:p w14:paraId="0D9CA657" w14:textId="13336009" w:rsidR="4645C810" w:rsidRPr="00E16409" w:rsidRDefault="6230F8DB" w:rsidP="00BB09A6">
      <w:pPr>
        <w:pStyle w:val="Numberedlist2"/>
        <w:keepNext w:val="0"/>
        <w:keepLines w:val="0"/>
        <w:widowControl w:val="0"/>
        <w:numPr>
          <w:ilvl w:val="2"/>
          <w:numId w:val="21"/>
        </w:numPr>
        <w:contextualSpacing w:val="0"/>
        <w:rPr>
          <w:sz w:val="22"/>
          <w:szCs w:val="22"/>
        </w:rPr>
      </w:pPr>
      <w:r w:rsidRPr="00E16409">
        <w:rPr>
          <w:sz w:val="22"/>
          <w:szCs w:val="22"/>
        </w:rPr>
        <w:t xml:space="preserve">communicate regularly, </w:t>
      </w:r>
      <w:proofErr w:type="gramStart"/>
      <w:r w:rsidRPr="00E16409">
        <w:rPr>
          <w:sz w:val="22"/>
          <w:szCs w:val="22"/>
        </w:rPr>
        <w:t>openly</w:t>
      </w:r>
      <w:proofErr w:type="gramEnd"/>
      <w:r w:rsidRPr="00E16409">
        <w:rPr>
          <w:sz w:val="22"/>
          <w:szCs w:val="22"/>
        </w:rPr>
        <w:t xml:space="preserve"> and constructively, including while the employee is absent, or during performance management processes. Mutual information sharing is expected to occur and is likely to improve outcomes for employees’ health, safety, </w:t>
      </w:r>
      <w:proofErr w:type="gramStart"/>
      <w:r w:rsidRPr="00E16409">
        <w:rPr>
          <w:sz w:val="22"/>
          <w:szCs w:val="22"/>
        </w:rPr>
        <w:t>wellbeing</w:t>
      </w:r>
      <w:proofErr w:type="gramEnd"/>
      <w:r w:rsidRPr="00E16409">
        <w:rPr>
          <w:sz w:val="22"/>
          <w:szCs w:val="22"/>
        </w:rPr>
        <w:t xml:space="preserve"> and performance.</w:t>
      </w:r>
    </w:p>
    <w:p w14:paraId="095A01BF" w14:textId="70F1138B" w:rsidR="4645C810" w:rsidRDefault="44BDAF35" w:rsidP="00BB09A6">
      <w:pPr>
        <w:pStyle w:val="Numberedlist2"/>
        <w:keepNext w:val="0"/>
        <w:keepLines w:val="0"/>
        <w:widowControl w:val="0"/>
        <w:numPr>
          <w:ilvl w:val="1"/>
          <w:numId w:val="6"/>
        </w:numPr>
        <w:ind w:left="426" w:hanging="426"/>
        <w:contextualSpacing w:val="0"/>
        <w:rPr>
          <w:sz w:val="22"/>
          <w:szCs w:val="22"/>
        </w:rPr>
      </w:pPr>
      <w:r w:rsidRPr="00E16409">
        <w:rPr>
          <w:sz w:val="22"/>
          <w:szCs w:val="22"/>
        </w:rPr>
        <w:t>The PS Act provides a mechanism for seeking independent medical advice</w:t>
      </w:r>
      <w:r w:rsidR="009216F1">
        <w:rPr>
          <w:sz w:val="22"/>
          <w:szCs w:val="22"/>
        </w:rPr>
        <w:t>.</w:t>
      </w:r>
      <w:r w:rsidRPr="00E16409">
        <w:rPr>
          <w:sz w:val="22"/>
          <w:szCs w:val="22"/>
        </w:rPr>
        <w:t xml:space="preserve"> </w:t>
      </w:r>
      <w:r w:rsidR="009216F1">
        <w:rPr>
          <w:sz w:val="22"/>
          <w:szCs w:val="22"/>
        </w:rPr>
        <w:t>A</w:t>
      </w:r>
      <w:r w:rsidRPr="00E16409">
        <w:rPr>
          <w:sz w:val="22"/>
          <w:szCs w:val="22"/>
        </w:rPr>
        <w:t xml:space="preserve"> PS Act IME under section 175 is to be used only where the conditions in section 174 have been met.</w:t>
      </w:r>
    </w:p>
    <w:p w14:paraId="3B52C09B" w14:textId="6B87BC4C" w:rsidR="00D11FC6" w:rsidRPr="00796BE2" w:rsidRDefault="00287886" w:rsidP="003671EE">
      <w:pPr>
        <w:pStyle w:val="Numberedlist2"/>
        <w:keepNext w:val="0"/>
        <w:keepLines w:val="0"/>
        <w:widowControl w:val="0"/>
        <w:numPr>
          <w:ilvl w:val="1"/>
          <w:numId w:val="6"/>
        </w:numPr>
        <w:ind w:left="426" w:hanging="426"/>
        <w:contextualSpacing w:val="0"/>
        <w:rPr>
          <w:sz w:val="22"/>
          <w:szCs w:val="22"/>
        </w:rPr>
      </w:pPr>
      <w:r>
        <w:rPr>
          <w:sz w:val="22"/>
          <w:szCs w:val="22"/>
        </w:rPr>
        <w:t xml:space="preserve">The chief executive is to ensure </w:t>
      </w:r>
      <w:r w:rsidR="004A6ABC">
        <w:rPr>
          <w:sz w:val="22"/>
          <w:szCs w:val="22"/>
        </w:rPr>
        <w:t>that processes are fair and without bias, provide for impartiality and inform and involve the employee.</w:t>
      </w:r>
      <w:r w:rsidR="009216F1">
        <w:rPr>
          <w:sz w:val="22"/>
          <w:szCs w:val="22"/>
        </w:rPr>
        <w:t xml:space="preserve"> </w:t>
      </w:r>
      <w:r w:rsidR="00F10BB8" w:rsidRPr="00796BE2">
        <w:rPr>
          <w:sz w:val="22"/>
          <w:szCs w:val="22"/>
        </w:rPr>
        <w:t xml:space="preserve">When </w:t>
      </w:r>
      <w:proofErr w:type="gramStart"/>
      <w:r w:rsidR="00F10BB8" w:rsidRPr="00796BE2">
        <w:rPr>
          <w:sz w:val="22"/>
          <w:szCs w:val="22"/>
        </w:rPr>
        <w:t>making a decision</w:t>
      </w:r>
      <w:proofErr w:type="gramEnd"/>
      <w:r w:rsidR="00F10BB8" w:rsidRPr="00796BE2">
        <w:rPr>
          <w:sz w:val="22"/>
          <w:szCs w:val="22"/>
        </w:rPr>
        <w:t xml:space="preserve"> about an IME for an employee, it is expected that the chief executive will also </w:t>
      </w:r>
      <w:r w:rsidR="00553096" w:rsidRPr="00796BE2">
        <w:rPr>
          <w:sz w:val="22"/>
          <w:szCs w:val="22"/>
        </w:rPr>
        <w:t xml:space="preserve">comply with </w:t>
      </w:r>
      <w:r w:rsidR="003356D1" w:rsidRPr="00796BE2">
        <w:rPr>
          <w:sz w:val="22"/>
          <w:szCs w:val="22"/>
        </w:rPr>
        <w:t>the IME guideline,</w:t>
      </w:r>
      <w:r w:rsidR="003356D1" w:rsidRPr="00796BE2" w:rsidDel="003356D1">
        <w:rPr>
          <w:sz w:val="22"/>
          <w:szCs w:val="22"/>
        </w:rPr>
        <w:t xml:space="preserve"> </w:t>
      </w:r>
      <w:r w:rsidR="000417AC" w:rsidRPr="00796BE2">
        <w:rPr>
          <w:sz w:val="22"/>
          <w:szCs w:val="22"/>
        </w:rPr>
        <w:t>privacy obligations</w:t>
      </w:r>
      <w:r w:rsidR="00F10BB8" w:rsidRPr="00796BE2">
        <w:rPr>
          <w:sz w:val="22"/>
          <w:szCs w:val="22"/>
        </w:rPr>
        <w:t xml:space="preserve"> and any other relevant legislati</w:t>
      </w:r>
      <w:r w:rsidR="000417AC" w:rsidRPr="00796BE2">
        <w:rPr>
          <w:sz w:val="22"/>
          <w:szCs w:val="22"/>
        </w:rPr>
        <w:t>on.</w:t>
      </w:r>
      <w:r w:rsidR="003356D1" w:rsidRPr="00796BE2">
        <w:rPr>
          <w:sz w:val="22"/>
          <w:szCs w:val="22"/>
        </w:rPr>
        <w:t xml:space="preserve"> </w:t>
      </w:r>
    </w:p>
    <w:p w14:paraId="2A49468F" w14:textId="77777777" w:rsidR="000417AC" w:rsidRPr="00F05540" w:rsidRDefault="000417AC" w:rsidP="00BB09A6">
      <w:pPr>
        <w:pStyle w:val="Numberedlist2"/>
        <w:keepNext w:val="0"/>
        <w:keepLines w:val="0"/>
        <w:widowControl w:val="0"/>
        <w:numPr>
          <w:ilvl w:val="1"/>
          <w:numId w:val="6"/>
        </w:numPr>
        <w:ind w:left="426" w:hanging="426"/>
        <w:contextualSpacing w:val="0"/>
        <w:rPr>
          <w:sz w:val="22"/>
          <w:szCs w:val="22"/>
        </w:rPr>
      </w:pPr>
      <w:r>
        <w:rPr>
          <w:sz w:val="22"/>
          <w:szCs w:val="22"/>
        </w:rPr>
        <w:t xml:space="preserve">The directive provides an employee with the right to seek an internal review of a decision requiring them to submit to a medical examination under sections 174 and 175 of the PS Act. This allows both the employee and the chief executive to ensure the conditions of the PS Act have been met. </w:t>
      </w:r>
    </w:p>
    <w:p w14:paraId="2B9BEB7C" w14:textId="52CEC0F1" w:rsidR="4645C810" w:rsidRDefault="44BDAF35" w:rsidP="00BB09A6">
      <w:pPr>
        <w:pStyle w:val="Numberedlist2"/>
        <w:keepNext w:val="0"/>
        <w:keepLines w:val="0"/>
        <w:widowControl w:val="0"/>
        <w:numPr>
          <w:ilvl w:val="1"/>
          <w:numId w:val="6"/>
        </w:numPr>
        <w:ind w:left="426" w:hanging="426"/>
        <w:contextualSpacing w:val="0"/>
        <w:rPr>
          <w:sz w:val="22"/>
          <w:szCs w:val="22"/>
        </w:rPr>
      </w:pPr>
      <w:r w:rsidRPr="00E16409">
        <w:rPr>
          <w:sz w:val="22"/>
          <w:szCs w:val="22"/>
        </w:rPr>
        <w:t>The directive provides a mechanism for appealing a requirement to submit to an independent medical examination and confirms the expectation that processes under sections 174-179 of the PS Act will be implemented with appropriate support, sensitivity and respect in accordance with the management and employment principles of the PS Act.</w:t>
      </w:r>
    </w:p>
    <w:p w14:paraId="682050EC" w14:textId="2F6A45B5" w:rsidR="00AE3ECC" w:rsidRPr="000417AC" w:rsidRDefault="00AE3ECC" w:rsidP="00BB09A6">
      <w:pPr>
        <w:pStyle w:val="Numberedlist2"/>
        <w:keepNext w:val="0"/>
        <w:keepLines w:val="0"/>
        <w:widowControl w:val="0"/>
        <w:numPr>
          <w:ilvl w:val="1"/>
          <w:numId w:val="6"/>
        </w:numPr>
        <w:ind w:left="426" w:hanging="426"/>
        <w:contextualSpacing w:val="0"/>
        <w:rPr>
          <w:sz w:val="22"/>
          <w:szCs w:val="22"/>
        </w:rPr>
      </w:pPr>
      <w:r>
        <w:rPr>
          <w:sz w:val="22"/>
          <w:szCs w:val="22"/>
        </w:rPr>
        <w:t xml:space="preserve">The chief executive will make appropriate delegations of the </w:t>
      </w:r>
      <w:proofErr w:type="gramStart"/>
      <w:r>
        <w:rPr>
          <w:sz w:val="22"/>
          <w:szCs w:val="22"/>
        </w:rPr>
        <w:t>decision</w:t>
      </w:r>
      <w:r w:rsidR="00B718DF">
        <w:rPr>
          <w:sz w:val="22"/>
          <w:szCs w:val="22"/>
        </w:rPr>
        <w:t xml:space="preserve"> </w:t>
      </w:r>
      <w:r>
        <w:rPr>
          <w:sz w:val="22"/>
          <w:szCs w:val="22"/>
        </w:rPr>
        <w:t>making</w:t>
      </w:r>
      <w:proofErr w:type="gramEnd"/>
      <w:r>
        <w:rPr>
          <w:sz w:val="22"/>
          <w:szCs w:val="22"/>
        </w:rPr>
        <w:t xml:space="preserve"> powers under sections 174-179 of the PS Act to support the internal review process in clause 6.</w:t>
      </w:r>
    </w:p>
    <w:p w14:paraId="27DF46DA" w14:textId="77777777" w:rsidR="00B33CFC" w:rsidRPr="00E16409" w:rsidRDefault="00B33CFC" w:rsidP="00BB09A6">
      <w:pPr>
        <w:pStyle w:val="Numberedlist2"/>
        <w:keepNext w:val="0"/>
        <w:keepLines w:val="0"/>
        <w:widowControl w:val="0"/>
        <w:numPr>
          <w:ilvl w:val="1"/>
          <w:numId w:val="6"/>
        </w:numPr>
        <w:ind w:left="426" w:hanging="426"/>
        <w:contextualSpacing w:val="0"/>
        <w:rPr>
          <w:sz w:val="22"/>
          <w:szCs w:val="22"/>
        </w:rPr>
      </w:pPr>
      <w:r w:rsidRPr="00E16409">
        <w:rPr>
          <w:sz w:val="22"/>
          <w:szCs w:val="22"/>
        </w:rPr>
        <w:t xml:space="preserve">Under the </w:t>
      </w:r>
      <w:r w:rsidRPr="00E16409">
        <w:rPr>
          <w:i/>
          <w:sz w:val="22"/>
          <w:szCs w:val="22"/>
        </w:rPr>
        <w:t>Human Rights Act 2019</w:t>
      </w:r>
      <w:r w:rsidRPr="00E16409">
        <w:rPr>
          <w:sz w:val="22"/>
          <w:szCs w:val="22"/>
        </w:rPr>
        <w:t xml:space="preserve"> decision makers have an obligation to act and make decisions in a way that is compatible with human rights, and when </w:t>
      </w:r>
      <w:proofErr w:type="gramStart"/>
      <w:r w:rsidRPr="00E16409">
        <w:rPr>
          <w:sz w:val="22"/>
          <w:szCs w:val="22"/>
        </w:rPr>
        <w:t>making a decision</w:t>
      </w:r>
      <w:proofErr w:type="gramEnd"/>
      <w:r w:rsidRPr="00E16409">
        <w:rPr>
          <w:sz w:val="22"/>
          <w:szCs w:val="22"/>
        </w:rPr>
        <w:t xml:space="preserve"> under this directive, to give proper consideration to human rights.</w:t>
      </w:r>
    </w:p>
    <w:p w14:paraId="58A9D63C" w14:textId="3BC46F26" w:rsidR="00B43511" w:rsidRDefault="4864E5AD" w:rsidP="00C70162">
      <w:pPr>
        <w:pStyle w:val="Heading2"/>
        <w:numPr>
          <w:ilvl w:val="0"/>
          <w:numId w:val="6"/>
        </w:numPr>
        <w:ind w:left="426" w:hanging="426"/>
      </w:pPr>
      <w:r>
        <w:t>Decision to require an employee to submit to a medical examination</w:t>
      </w:r>
      <w:r w:rsidR="00B43511">
        <w:t xml:space="preserve"> </w:t>
      </w:r>
    </w:p>
    <w:p w14:paraId="5981D1E4" w14:textId="15B177DF" w:rsidR="4B6980EB" w:rsidRPr="00E16409" w:rsidRDefault="4B6980EB" w:rsidP="00BB09A6">
      <w:pPr>
        <w:pStyle w:val="Numberedlist2"/>
        <w:keepNext w:val="0"/>
        <w:keepLines w:val="0"/>
        <w:widowControl w:val="0"/>
        <w:numPr>
          <w:ilvl w:val="1"/>
          <w:numId w:val="6"/>
        </w:numPr>
        <w:ind w:left="426" w:hanging="426"/>
        <w:contextualSpacing w:val="0"/>
        <w:rPr>
          <w:sz w:val="22"/>
          <w:szCs w:val="22"/>
        </w:rPr>
      </w:pPr>
      <w:bookmarkStart w:id="1" w:name="_Hlk41923726"/>
      <w:bookmarkEnd w:id="1"/>
      <w:r w:rsidRPr="00E16409">
        <w:rPr>
          <w:sz w:val="22"/>
          <w:szCs w:val="22"/>
        </w:rPr>
        <w:t xml:space="preserve">In some cases, early communication and management efforts may not be successful in addressing performance issues or </w:t>
      </w:r>
      <w:r w:rsidR="00FC59DD">
        <w:rPr>
          <w:sz w:val="22"/>
          <w:szCs w:val="22"/>
        </w:rPr>
        <w:t xml:space="preserve">a </w:t>
      </w:r>
      <w:r w:rsidRPr="00E16409">
        <w:rPr>
          <w:sz w:val="22"/>
          <w:szCs w:val="22"/>
        </w:rPr>
        <w:t xml:space="preserve">current absence.  </w:t>
      </w:r>
    </w:p>
    <w:p w14:paraId="3A3C75E2" w14:textId="29944170" w:rsidR="4B6980EB" w:rsidRPr="00E16409" w:rsidRDefault="4B6980EB" w:rsidP="00BB09A6">
      <w:pPr>
        <w:pStyle w:val="Numberedlist2"/>
        <w:keepNext w:val="0"/>
        <w:keepLines w:val="0"/>
        <w:widowControl w:val="0"/>
        <w:numPr>
          <w:ilvl w:val="1"/>
          <w:numId w:val="6"/>
        </w:numPr>
        <w:ind w:left="426" w:hanging="426"/>
        <w:contextualSpacing w:val="0"/>
        <w:rPr>
          <w:sz w:val="22"/>
          <w:szCs w:val="22"/>
        </w:rPr>
      </w:pPr>
      <w:r w:rsidRPr="00E16409">
        <w:rPr>
          <w:sz w:val="22"/>
          <w:szCs w:val="22"/>
        </w:rPr>
        <w:t xml:space="preserve">Where the conditions in section 174 are satisfied, section 175 of the PS Act provides that a chief executive may appoint a doctor to examine the employee and give the chief executive a written report on the examination. It also provides that a chief executive may require the employee to submit to the medical examination. </w:t>
      </w:r>
      <w:r w:rsidR="004A6ABC">
        <w:rPr>
          <w:sz w:val="22"/>
          <w:szCs w:val="22"/>
        </w:rPr>
        <w:t>This is a lawful direction that does not require the employee’s consent. F</w:t>
      </w:r>
      <w:r w:rsidRPr="00E16409">
        <w:rPr>
          <w:sz w:val="22"/>
          <w:szCs w:val="22"/>
        </w:rPr>
        <w:t>ailure to comply may be grounds for discipline action.</w:t>
      </w:r>
    </w:p>
    <w:p w14:paraId="7F90573A" w14:textId="45230608" w:rsidR="4B6980EB" w:rsidRDefault="4B6980EB" w:rsidP="00BB09A6">
      <w:pPr>
        <w:pStyle w:val="Numberedlist2"/>
        <w:keepNext w:val="0"/>
        <w:keepLines w:val="0"/>
        <w:widowControl w:val="0"/>
        <w:numPr>
          <w:ilvl w:val="1"/>
          <w:numId w:val="6"/>
        </w:numPr>
        <w:ind w:left="426" w:hanging="426"/>
        <w:contextualSpacing w:val="0"/>
        <w:rPr>
          <w:sz w:val="22"/>
          <w:szCs w:val="22"/>
        </w:rPr>
      </w:pPr>
      <w:r w:rsidRPr="00E16409">
        <w:rPr>
          <w:sz w:val="22"/>
          <w:szCs w:val="22"/>
        </w:rPr>
        <w:t xml:space="preserve">The conditions in sections 174(a) and (b) of the PS Act must both be met before a chief executive may require the employee to submit to a medical examination. Firstly, section 174(a) requires that an employee is either absent from duty (which is a question of fact) OR the chief executive must have sufficient grounds, supported by evidence, to be reasonably satisfied the employee is not performing </w:t>
      </w:r>
      <w:r w:rsidR="009216F1">
        <w:rPr>
          <w:sz w:val="22"/>
          <w:szCs w:val="22"/>
        </w:rPr>
        <w:t>their</w:t>
      </w:r>
      <w:r w:rsidRPr="00E16409">
        <w:rPr>
          <w:sz w:val="22"/>
          <w:szCs w:val="22"/>
        </w:rPr>
        <w:t xml:space="preserve"> duties satisfactorily. </w:t>
      </w:r>
      <w:r w:rsidR="009216F1">
        <w:rPr>
          <w:sz w:val="22"/>
          <w:szCs w:val="22"/>
        </w:rPr>
        <w:t>Secondly</w:t>
      </w:r>
      <w:r w:rsidRPr="00E16409">
        <w:rPr>
          <w:sz w:val="22"/>
          <w:szCs w:val="22"/>
        </w:rPr>
        <w:t xml:space="preserve">, in section 174(b), the chief executive must have sufficient grounds, which have been </w:t>
      </w:r>
      <w:r w:rsidRPr="00E16409">
        <w:rPr>
          <w:sz w:val="22"/>
          <w:szCs w:val="22"/>
        </w:rPr>
        <w:lastRenderedPageBreak/>
        <w:t xml:space="preserve">documented, to support their reasonable suspicion that the employee’s current absence or unsatisfactory performance is caused by a mental or physical illness or disability.  </w:t>
      </w:r>
    </w:p>
    <w:p w14:paraId="0FB2A08B" w14:textId="3AE7AFA8" w:rsidR="00A44590" w:rsidRPr="00F42D09" w:rsidRDefault="00A44590" w:rsidP="00A44590">
      <w:pPr>
        <w:pStyle w:val="Numberedlist2"/>
        <w:keepNext w:val="0"/>
        <w:keepLines w:val="0"/>
        <w:widowControl w:val="0"/>
        <w:numPr>
          <w:ilvl w:val="1"/>
          <w:numId w:val="6"/>
        </w:numPr>
        <w:ind w:left="426" w:hanging="426"/>
        <w:contextualSpacing w:val="0"/>
        <w:rPr>
          <w:sz w:val="22"/>
          <w:szCs w:val="22"/>
        </w:rPr>
      </w:pPr>
      <w:bookmarkStart w:id="2" w:name="_Hlk49517096"/>
      <w:r w:rsidRPr="00F42D09">
        <w:rPr>
          <w:sz w:val="22"/>
          <w:szCs w:val="22"/>
        </w:rPr>
        <w:t>Where an employee’s absence is relied upon, the chief executive must reasonably suspect it is caused by mental or physical illness or disability and not another reason, for example, a suspension unrelated to mental or physical illness or disability.</w:t>
      </w:r>
    </w:p>
    <w:bookmarkEnd w:id="2"/>
    <w:p w14:paraId="34E2444E" w14:textId="6BAB2C48" w:rsidR="000933EA" w:rsidRPr="000933EA" w:rsidRDefault="4B6980EB" w:rsidP="000933EA">
      <w:pPr>
        <w:pStyle w:val="Numberedlist2"/>
        <w:keepNext w:val="0"/>
        <w:keepLines w:val="0"/>
        <w:widowControl w:val="0"/>
        <w:numPr>
          <w:ilvl w:val="1"/>
          <w:numId w:val="6"/>
        </w:numPr>
        <w:ind w:left="426" w:hanging="426"/>
        <w:contextualSpacing w:val="0"/>
        <w:rPr>
          <w:sz w:val="22"/>
          <w:szCs w:val="22"/>
        </w:rPr>
      </w:pPr>
      <w:r w:rsidRPr="00E16409">
        <w:rPr>
          <w:sz w:val="22"/>
          <w:szCs w:val="22"/>
        </w:rPr>
        <w:t xml:space="preserve">The chief executive is to provide the employee with at least </w:t>
      </w:r>
      <w:r w:rsidR="7AEDCD6D" w:rsidRPr="00E16409">
        <w:rPr>
          <w:sz w:val="22"/>
          <w:szCs w:val="22"/>
        </w:rPr>
        <w:t xml:space="preserve">28 </w:t>
      </w:r>
      <w:proofErr w:type="spellStart"/>
      <w:r w:rsidR="7AEDCD6D" w:rsidRPr="00E16409">
        <w:rPr>
          <w:sz w:val="22"/>
          <w:szCs w:val="22"/>
        </w:rPr>
        <w:t xml:space="preserve">days </w:t>
      </w:r>
      <w:r w:rsidRPr="00E16409">
        <w:rPr>
          <w:sz w:val="22"/>
          <w:szCs w:val="22"/>
        </w:rPr>
        <w:t>notice</w:t>
      </w:r>
      <w:proofErr w:type="spellEnd"/>
      <w:r w:rsidRPr="00E16409">
        <w:rPr>
          <w:sz w:val="22"/>
          <w:szCs w:val="22"/>
        </w:rPr>
        <w:t xml:space="preserve"> of a medical examination appointment unless the employee agrees to a shorter notice period. The direction to require an employee to submit to a medical examination must set out the basis and reasons for the direction under section 174</w:t>
      </w:r>
      <w:r w:rsidR="001500E4">
        <w:rPr>
          <w:sz w:val="22"/>
          <w:szCs w:val="22"/>
        </w:rPr>
        <w:t>,</w:t>
      </w:r>
      <w:r w:rsidR="00377C74">
        <w:rPr>
          <w:sz w:val="22"/>
          <w:szCs w:val="22"/>
        </w:rPr>
        <w:t xml:space="preserve"> </w:t>
      </w:r>
      <w:r w:rsidR="001500E4">
        <w:rPr>
          <w:sz w:val="22"/>
          <w:szCs w:val="22"/>
        </w:rPr>
        <w:t>including</w:t>
      </w:r>
      <w:r w:rsidR="00377C74">
        <w:rPr>
          <w:sz w:val="22"/>
          <w:szCs w:val="22"/>
        </w:rPr>
        <w:t xml:space="preserve"> the information provided to the IME doctor</w:t>
      </w:r>
      <w:r w:rsidRPr="00E16409">
        <w:rPr>
          <w:sz w:val="22"/>
          <w:szCs w:val="22"/>
        </w:rPr>
        <w:t>.</w:t>
      </w:r>
      <w:r w:rsidR="00AE3ECC">
        <w:rPr>
          <w:sz w:val="22"/>
          <w:szCs w:val="22"/>
        </w:rPr>
        <w:t xml:space="preserve"> The direction must also explain the employee’s right to seek an internal review or appeal the decision </w:t>
      </w:r>
      <w:r w:rsidR="00977835">
        <w:rPr>
          <w:sz w:val="22"/>
          <w:szCs w:val="22"/>
        </w:rPr>
        <w:t>and the timeframes</w:t>
      </w:r>
      <w:r w:rsidR="00AE3ECC">
        <w:rPr>
          <w:sz w:val="22"/>
          <w:szCs w:val="22"/>
        </w:rPr>
        <w:t>.</w:t>
      </w:r>
    </w:p>
    <w:p w14:paraId="57CD20D9" w14:textId="223D7BDB" w:rsidR="00D11FC6" w:rsidRDefault="00D11FC6" w:rsidP="00D11FC6">
      <w:pPr>
        <w:pStyle w:val="Heading2"/>
        <w:numPr>
          <w:ilvl w:val="0"/>
          <w:numId w:val="6"/>
        </w:numPr>
        <w:ind w:left="426" w:hanging="426"/>
      </w:pPr>
      <w:r>
        <w:t>Use of existing medical reports</w:t>
      </w:r>
    </w:p>
    <w:p w14:paraId="5E1333D3" w14:textId="360FDB04" w:rsidR="00D11FC6" w:rsidRDefault="00D11FC6" w:rsidP="00BB09A6">
      <w:pPr>
        <w:pStyle w:val="Numberedlist2"/>
        <w:keepNext w:val="0"/>
        <w:keepLines w:val="0"/>
        <w:widowControl w:val="0"/>
        <w:numPr>
          <w:ilvl w:val="1"/>
          <w:numId w:val="6"/>
        </w:numPr>
        <w:ind w:left="426" w:hanging="426"/>
        <w:contextualSpacing w:val="0"/>
        <w:rPr>
          <w:sz w:val="22"/>
          <w:szCs w:val="22"/>
        </w:rPr>
      </w:pPr>
      <w:r>
        <w:rPr>
          <w:sz w:val="22"/>
          <w:szCs w:val="22"/>
        </w:rPr>
        <w:t>Where an employee provides a medical report or consents to the agency being provided with a medical report from a third party (e.g. QSuper) the agency can consider the information provided in determining what actions if any are required to manage the impact of the employee’s illness or disability in the workplace. Clear written consent for the use of the report should be obtained from the employee.</w:t>
      </w:r>
    </w:p>
    <w:p w14:paraId="34BA6FB5" w14:textId="19520212" w:rsidR="00D11FC6" w:rsidRDefault="00D11FC6" w:rsidP="00BB09A6">
      <w:pPr>
        <w:pStyle w:val="Numberedlist2"/>
        <w:keepNext w:val="0"/>
        <w:keepLines w:val="0"/>
        <w:widowControl w:val="0"/>
        <w:numPr>
          <w:ilvl w:val="1"/>
          <w:numId w:val="6"/>
        </w:numPr>
        <w:ind w:left="426" w:hanging="426"/>
        <w:contextualSpacing w:val="0"/>
        <w:rPr>
          <w:sz w:val="22"/>
          <w:szCs w:val="22"/>
        </w:rPr>
      </w:pPr>
      <w:r>
        <w:rPr>
          <w:sz w:val="22"/>
          <w:szCs w:val="22"/>
        </w:rPr>
        <w:t xml:space="preserve">Workers’ </w:t>
      </w:r>
      <w:r w:rsidR="009216F1">
        <w:rPr>
          <w:sz w:val="22"/>
          <w:szCs w:val="22"/>
        </w:rPr>
        <w:t>c</w:t>
      </w:r>
      <w:r>
        <w:rPr>
          <w:sz w:val="22"/>
          <w:szCs w:val="22"/>
        </w:rPr>
        <w:t xml:space="preserve">ompensation documents including WorkCover medical reports cannot be used or paraphrased where action under s178 of the PS </w:t>
      </w:r>
      <w:r w:rsidR="00761289">
        <w:rPr>
          <w:sz w:val="22"/>
          <w:szCs w:val="22"/>
        </w:rPr>
        <w:t>A</w:t>
      </w:r>
      <w:r>
        <w:rPr>
          <w:sz w:val="22"/>
          <w:szCs w:val="22"/>
        </w:rPr>
        <w:t xml:space="preserve">ct is or will be considered </w:t>
      </w:r>
      <w:r w:rsidR="00761289">
        <w:rPr>
          <w:sz w:val="22"/>
          <w:szCs w:val="22"/>
        </w:rPr>
        <w:t xml:space="preserve">as it is contrary to s572A of the </w:t>
      </w:r>
      <w:r w:rsidR="00761289" w:rsidRPr="00E16409">
        <w:rPr>
          <w:i/>
          <w:sz w:val="22"/>
          <w:szCs w:val="22"/>
        </w:rPr>
        <w:t>Workers Compensation and Rehabilitation Act 2003</w:t>
      </w:r>
      <w:r w:rsidR="00761289">
        <w:rPr>
          <w:sz w:val="22"/>
          <w:szCs w:val="22"/>
        </w:rPr>
        <w:t>.</w:t>
      </w:r>
    </w:p>
    <w:p w14:paraId="60EC9D2A" w14:textId="165CE6B5" w:rsidR="46FEB4A5" w:rsidRDefault="3CD7B3CE" w:rsidP="14703375">
      <w:pPr>
        <w:pStyle w:val="Heading2"/>
        <w:numPr>
          <w:ilvl w:val="0"/>
          <w:numId w:val="6"/>
        </w:numPr>
        <w:ind w:left="426" w:hanging="426"/>
      </w:pPr>
      <w:r>
        <w:t>Internal</w:t>
      </w:r>
      <w:r w:rsidR="4C7F90B7">
        <w:t xml:space="preserve"> review </w:t>
      </w:r>
    </w:p>
    <w:p w14:paraId="3EE7C3CC" w14:textId="4AF37846" w:rsidR="481A8C92" w:rsidRDefault="481A8C92" w:rsidP="00BB09A6">
      <w:pPr>
        <w:pStyle w:val="Numberedlist2"/>
        <w:keepNext w:val="0"/>
        <w:keepLines w:val="0"/>
        <w:widowControl w:val="0"/>
        <w:numPr>
          <w:ilvl w:val="1"/>
          <w:numId w:val="6"/>
        </w:numPr>
        <w:ind w:left="426" w:hanging="426"/>
        <w:contextualSpacing w:val="0"/>
        <w:rPr>
          <w:sz w:val="22"/>
          <w:szCs w:val="22"/>
        </w:rPr>
      </w:pPr>
      <w:r w:rsidRPr="00E16409">
        <w:rPr>
          <w:sz w:val="22"/>
          <w:szCs w:val="22"/>
        </w:rPr>
        <w:t>An employee may</w:t>
      </w:r>
      <w:r w:rsidR="00E459B0" w:rsidRPr="00E16409">
        <w:rPr>
          <w:sz w:val="22"/>
          <w:szCs w:val="22"/>
        </w:rPr>
        <w:t>, within 14 days</w:t>
      </w:r>
      <w:r w:rsidR="0042006E" w:rsidRPr="00E16409">
        <w:rPr>
          <w:sz w:val="22"/>
          <w:szCs w:val="22"/>
        </w:rPr>
        <w:t xml:space="preserve"> of </w:t>
      </w:r>
      <w:r w:rsidR="00AD203D">
        <w:rPr>
          <w:sz w:val="22"/>
          <w:szCs w:val="22"/>
        </w:rPr>
        <w:t xml:space="preserve">receiving </w:t>
      </w:r>
      <w:r w:rsidR="0042006E" w:rsidRPr="00E16409">
        <w:rPr>
          <w:sz w:val="22"/>
          <w:szCs w:val="22"/>
        </w:rPr>
        <w:t xml:space="preserve">the </w:t>
      </w:r>
      <w:r w:rsidR="0015032C" w:rsidRPr="00E16409">
        <w:rPr>
          <w:sz w:val="22"/>
          <w:szCs w:val="22"/>
        </w:rPr>
        <w:t>notice</w:t>
      </w:r>
      <w:r w:rsidR="00C50394" w:rsidRPr="00E16409">
        <w:rPr>
          <w:sz w:val="22"/>
          <w:szCs w:val="22"/>
        </w:rPr>
        <w:t xml:space="preserve"> to attend a medical examination appointment,</w:t>
      </w:r>
      <w:r w:rsidR="31206021" w:rsidRPr="00E16409">
        <w:rPr>
          <w:sz w:val="22"/>
          <w:szCs w:val="22"/>
        </w:rPr>
        <w:t xml:space="preserve"> </w:t>
      </w:r>
      <w:r w:rsidR="008F0492" w:rsidRPr="00E16409">
        <w:rPr>
          <w:sz w:val="22"/>
          <w:szCs w:val="22"/>
        </w:rPr>
        <w:t>notify the chief executive</w:t>
      </w:r>
      <w:r w:rsidR="00453491">
        <w:rPr>
          <w:sz w:val="22"/>
          <w:szCs w:val="22"/>
        </w:rPr>
        <w:t xml:space="preserve"> in writing</w:t>
      </w:r>
      <w:r w:rsidR="008F0492" w:rsidRPr="00E16409">
        <w:rPr>
          <w:sz w:val="22"/>
          <w:szCs w:val="22"/>
        </w:rPr>
        <w:t xml:space="preserve"> that they </w:t>
      </w:r>
      <w:r w:rsidR="00A478C3" w:rsidRPr="00E16409">
        <w:rPr>
          <w:sz w:val="22"/>
          <w:szCs w:val="22"/>
        </w:rPr>
        <w:t xml:space="preserve">are </w:t>
      </w:r>
      <w:r w:rsidRPr="00E16409">
        <w:rPr>
          <w:sz w:val="22"/>
          <w:szCs w:val="22"/>
        </w:rPr>
        <w:t>seek</w:t>
      </w:r>
      <w:r w:rsidR="00A478C3">
        <w:rPr>
          <w:sz w:val="22"/>
          <w:szCs w:val="22"/>
        </w:rPr>
        <w:t>ing</w:t>
      </w:r>
      <w:r w:rsidRPr="00E16409">
        <w:rPr>
          <w:sz w:val="22"/>
          <w:szCs w:val="22"/>
        </w:rPr>
        <w:t xml:space="preserve"> a</w:t>
      </w:r>
      <w:r w:rsidR="0B3C2080" w:rsidRPr="00E16409">
        <w:rPr>
          <w:sz w:val="22"/>
          <w:szCs w:val="22"/>
        </w:rPr>
        <w:t>n internal</w:t>
      </w:r>
      <w:r w:rsidRPr="00E16409">
        <w:rPr>
          <w:sz w:val="22"/>
          <w:szCs w:val="22"/>
        </w:rPr>
        <w:t xml:space="preserve"> review </w:t>
      </w:r>
      <w:r w:rsidR="3A32606C" w:rsidRPr="00E16409">
        <w:rPr>
          <w:sz w:val="22"/>
          <w:szCs w:val="22"/>
        </w:rPr>
        <w:t xml:space="preserve">of </w:t>
      </w:r>
      <w:r w:rsidR="001E130A" w:rsidRPr="00E16409">
        <w:rPr>
          <w:sz w:val="22"/>
          <w:szCs w:val="22"/>
        </w:rPr>
        <w:t>the</w:t>
      </w:r>
      <w:r w:rsidRPr="00E16409">
        <w:rPr>
          <w:sz w:val="22"/>
          <w:szCs w:val="22"/>
        </w:rPr>
        <w:t xml:space="preserve"> decision requir</w:t>
      </w:r>
      <w:r w:rsidR="728921EA" w:rsidRPr="00E16409">
        <w:rPr>
          <w:sz w:val="22"/>
          <w:szCs w:val="22"/>
        </w:rPr>
        <w:t>ing</w:t>
      </w:r>
      <w:r w:rsidRPr="00E16409">
        <w:rPr>
          <w:sz w:val="22"/>
          <w:szCs w:val="22"/>
        </w:rPr>
        <w:t xml:space="preserve"> them to submit to a medical examination</w:t>
      </w:r>
      <w:r w:rsidR="13E60D27" w:rsidRPr="00E16409">
        <w:rPr>
          <w:sz w:val="22"/>
          <w:szCs w:val="22"/>
        </w:rPr>
        <w:t>.</w:t>
      </w:r>
      <w:r w:rsidR="120FD707" w:rsidRPr="00E16409">
        <w:rPr>
          <w:sz w:val="22"/>
          <w:szCs w:val="22"/>
        </w:rPr>
        <w:t xml:space="preserve"> </w:t>
      </w:r>
    </w:p>
    <w:p w14:paraId="4CD3C533" w14:textId="0CE63D17" w:rsidR="00B179FB" w:rsidRDefault="00B179FB" w:rsidP="00BB09A6">
      <w:pPr>
        <w:pStyle w:val="Numberedlist2"/>
        <w:keepNext w:val="0"/>
        <w:keepLines w:val="0"/>
        <w:widowControl w:val="0"/>
        <w:numPr>
          <w:ilvl w:val="1"/>
          <w:numId w:val="6"/>
        </w:numPr>
        <w:ind w:left="426" w:hanging="426"/>
        <w:contextualSpacing w:val="0"/>
        <w:rPr>
          <w:sz w:val="22"/>
          <w:szCs w:val="22"/>
        </w:rPr>
      </w:pPr>
      <w:r>
        <w:rPr>
          <w:sz w:val="22"/>
          <w:szCs w:val="22"/>
        </w:rPr>
        <w:t>Upon</w:t>
      </w:r>
      <w:r w:rsidR="00805A14">
        <w:rPr>
          <w:sz w:val="22"/>
          <w:szCs w:val="22"/>
        </w:rPr>
        <w:t xml:space="preserve"> the chief executive</w:t>
      </w:r>
      <w:r>
        <w:rPr>
          <w:sz w:val="22"/>
          <w:szCs w:val="22"/>
        </w:rPr>
        <w:t xml:space="preserve"> receiving notice</w:t>
      </w:r>
      <w:r w:rsidR="00814281">
        <w:rPr>
          <w:sz w:val="22"/>
          <w:szCs w:val="22"/>
        </w:rPr>
        <w:t xml:space="preserve"> of an internal review request</w:t>
      </w:r>
      <w:r>
        <w:rPr>
          <w:sz w:val="22"/>
          <w:szCs w:val="22"/>
        </w:rPr>
        <w:t xml:space="preserve">, the </w:t>
      </w:r>
      <w:r w:rsidR="00346DF8">
        <w:rPr>
          <w:sz w:val="22"/>
          <w:szCs w:val="22"/>
        </w:rPr>
        <w:t>IME appointment should be cancelled</w:t>
      </w:r>
      <w:r w:rsidR="00D66215">
        <w:rPr>
          <w:sz w:val="22"/>
          <w:szCs w:val="22"/>
        </w:rPr>
        <w:t>,</w:t>
      </w:r>
      <w:r w:rsidR="00346DF8">
        <w:rPr>
          <w:sz w:val="22"/>
          <w:szCs w:val="22"/>
        </w:rPr>
        <w:t xml:space="preserve"> </w:t>
      </w:r>
      <w:r w:rsidR="00A478C3">
        <w:rPr>
          <w:sz w:val="22"/>
          <w:szCs w:val="22"/>
        </w:rPr>
        <w:t>and</w:t>
      </w:r>
      <w:r w:rsidR="00346DF8">
        <w:rPr>
          <w:sz w:val="22"/>
          <w:szCs w:val="22"/>
        </w:rPr>
        <w:t xml:space="preserve"> rescheduled </w:t>
      </w:r>
      <w:r w:rsidR="00B513C2">
        <w:rPr>
          <w:sz w:val="22"/>
          <w:szCs w:val="22"/>
        </w:rPr>
        <w:t>subject to the outcome of</w:t>
      </w:r>
      <w:r w:rsidR="00346DF8">
        <w:rPr>
          <w:sz w:val="22"/>
          <w:szCs w:val="22"/>
        </w:rPr>
        <w:t xml:space="preserve"> the review decision. </w:t>
      </w:r>
    </w:p>
    <w:p w14:paraId="477D7224" w14:textId="745C3263" w:rsidR="0076158C" w:rsidRPr="00E16409" w:rsidRDefault="0076158C" w:rsidP="00BB09A6">
      <w:pPr>
        <w:pStyle w:val="Numberedlist2"/>
        <w:keepNext w:val="0"/>
        <w:keepLines w:val="0"/>
        <w:widowControl w:val="0"/>
        <w:numPr>
          <w:ilvl w:val="1"/>
          <w:numId w:val="6"/>
        </w:numPr>
        <w:ind w:left="426" w:hanging="426"/>
        <w:contextualSpacing w:val="0"/>
        <w:rPr>
          <w:sz w:val="22"/>
          <w:szCs w:val="22"/>
        </w:rPr>
      </w:pPr>
      <w:r>
        <w:rPr>
          <w:sz w:val="22"/>
          <w:szCs w:val="22"/>
        </w:rPr>
        <w:t>The employee</w:t>
      </w:r>
      <w:r w:rsidR="00864701">
        <w:rPr>
          <w:sz w:val="22"/>
          <w:szCs w:val="22"/>
        </w:rPr>
        <w:t xml:space="preserve"> must provide reasons for </w:t>
      </w:r>
      <w:r w:rsidR="00453491">
        <w:rPr>
          <w:sz w:val="22"/>
          <w:szCs w:val="22"/>
        </w:rPr>
        <w:t xml:space="preserve">requesting the </w:t>
      </w:r>
      <w:r w:rsidR="00864701">
        <w:rPr>
          <w:sz w:val="22"/>
          <w:szCs w:val="22"/>
        </w:rPr>
        <w:t>review</w:t>
      </w:r>
      <w:r w:rsidR="00325474">
        <w:rPr>
          <w:sz w:val="22"/>
          <w:szCs w:val="22"/>
        </w:rPr>
        <w:t xml:space="preserve"> explaining</w:t>
      </w:r>
      <w:r>
        <w:rPr>
          <w:sz w:val="22"/>
          <w:szCs w:val="22"/>
        </w:rPr>
        <w:t xml:space="preserve"> </w:t>
      </w:r>
      <w:r w:rsidR="00325474">
        <w:rPr>
          <w:sz w:val="22"/>
          <w:szCs w:val="22"/>
        </w:rPr>
        <w:t xml:space="preserve">why they believe the </w:t>
      </w:r>
      <w:r w:rsidR="00C05EA0">
        <w:rPr>
          <w:sz w:val="22"/>
          <w:szCs w:val="22"/>
        </w:rPr>
        <w:t>requirement to submit to an IME</w:t>
      </w:r>
      <w:r w:rsidR="00325474">
        <w:rPr>
          <w:sz w:val="22"/>
          <w:szCs w:val="22"/>
        </w:rPr>
        <w:t xml:space="preserve"> does not meet the PS Act conditions</w:t>
      </w:r>
      <w:r w:rsidR="00553096">
        <w:rPr>
          <w:sz w:val="22"/>
          <w:szCs w:val="22"/>
        </w:rPr>
        <w:t>.</w:t>
      </w:r>
      <w:r w:rsidR="00553096" w:rsidRPr="00553096">
        <w:rPr>
          <w:sz w:val="22"/>
          <w:szCs w:val="22"/>
        </w:rPr>
        <w:t xml:space="preserve"> </w:t>
      </w:r>
      <w:r w:rsidR="00553096">
        <w:rPr>
          <w:sz w:val="22"/>
          <w:szCs w:val="22"/>
        </w:rPr>
        <w:t xml:space="preserve">A chief executive may extend the time </w:t>
      </w:r>
      <w:r w:rsidR="00B513C2">
        <w:rPr>
          <w:sz w:val="22"/>
          <w:szCs w:val="22"/>
        </w:rPr>
        <w:t xml:space="preserve">for the employee </w:t>
      </w:r>
      <w:r w:rsidR="00553096">
        <w:rPr>
          <w:sz w:val="22"/>
          <w:szCs w:val="22"/>
        </w:rPr>
        <w:t xml:space="preserve">to provide reasons for requesting the review, </w:t>
      </w:r>
      <w:proofErr w:type="gramStart"/>
      <w:r w:rsidR="00553096">
        <w:rPr>
          <w:sz w:val="22"/>
          <w:szCs w:val="22"/>
        </w:rPr>
        <w:t>taking into account</w:t>
      </w:r>
      <w:proofErr w:type="gramEnd"/>
      <w:r w:rsidR="00553096">
        <w:rPr>
          <w:sz w:val="22"/>
          <w:szCs w:val="22"/>
        </w:rPr>
        <w:t xml:space="preserve"> the </w:t>
      </w:r>
      <w:r w:rsidR="00B513C2">
        <w:rPr>
          <w:sz w:val="22"/>
          <w:szCs w:val="22"/>
        </w:rPr>
        <w:t xml:space="preserve">employee’s individual </w:t>
      </w:r>
      <w:r w:rsidR="00553096">
        <w:rPr>
          <w:sz w:val="22"/>
          <w:szCs w:val="22"/>
        </w:rPr>
        <w:t>circumstances</w:t>
      </w:r>
      <w:r w:rsidR="00B513C2">
        <w:rPr>
          <w:sz w:val="22"/>
          <w:szCs w:val="22"/>
        </w:rPr>
        <w:t>.</w:t>
      </w:r>
    </w:p>
    <w:p w14:paraId="2C520E80" w14:textId="0B391789" w:rsidR="01140B22" w:rsidRPr="00E16409" w:rsidRDefault="10C62FBE" w:rsidP="00BB09A6">
      <w:pPr>
        <w:pStyle w:val="Numberedlist2"/>
        <w:keepNext w:val="0"/>
        <w:keepLines w:val="0"/>
        <w:widowControl w:val="0"/>
        <w:numPr>
          <w:ilvl w:val="1"/>
          <w:numId w:val="6"/>
        </w:numPr>
        <w:ind w:left="426" w:hanging="426"/>
        <w:contextualSpacing w:val="0"/>
        <w:rPr>
          <w:rFonts w:asciiTheme="minorHAnsi" w:eastAsiaTheme="minorEastAsia" w:hAnsiTheme="minorHAnsi"/>
          <w:sz w:val="22"/>
          <w:szCs w:val="22"/>
        </w:rPr>
      </w:pPr>
      <w:r w:rsidRPr="00E16409">
        <w:rPr>
          <w:sz w:val="22"/>
          <w:szCs w:val="22"/>
        </w:rPr>
        <w:t xml:space="preserve">The </w:t>
      </w:r>
      <w:r w:rsidR="00863A8B">
        <w:rPr>
          <w:sz w:val="22"/>
          <w:szCs w:val="22"/>
        </w:rPr>
        <w:t xml:space="preserve">internal </w:t>
      </w:r>
      <w:r w:rsidRPr="00E16409">
        <w:rPr>
          <w:sz w:val="22"/>
          <w:szCs w:val="22"/>
        </w:rPr>
        <w:t xml:space="preserve">review </w:t>
      </w:r>
      <w:r w:rsidR="00D66215">
        <w:rPr>
          <w:sz w:val="22"/>
          <w:szCs w:val="22"/>
        </w:rPr>
        <w:t xml:space="preserve">should </w:t>
      </w:r>
      <w:r w:rsidRPr="00E16409">
        <w:rPr>
          <w:sz w:val="22"/>
          <w:szCs w:val="22"/>
        </w:rPr>
        <w:t>determine whether the decision was made in compliance with the conditions in section 174 of the PS Act</w:t>
      </w:r>
      <w:r w:rsidR="00377C74">
        <w:rPr>
          <w:sz w:val="22"/>
          <w:szCs w:val="22"/>
        </w:rPr>
        <w:t xml:space="preserve"> and the procedural requirements of this directive</w:t>
      </w:r>
      <w:r w:rsidRPr="00E16409">
        <w:rPr>
          <w:sz w:val="22"/>
          <w:szCs w:val="22"/>
        </w:rPr>
        <w:t>.</w:t>
      </w:r>
      <w:r w:rsidR="001500E4">
        <w:rPr>
          <w:sz w:val="22"/>
          <w:szCs w:val="22"/>
        </w:rPr>
        <w:t xml:space="preserve"> The internal reviewer will have access to all information considered </w:t>
      </w:r>
      <w:r w:rsidR="00AE3ECC">
        <w:rPr>
          <w:sz w:val="22"/>
          <w:szCs w:val="22"/>
        </w:rPr>
        <w:t>for</w:t>
      </w:r>
      <w:r w:rsidR="001500E4">
        <w:rPr>
          <w:sz w:val="22"/>
          <w:szCs w:val="22"/>
        </w:rPr>
        <w:t xml:space="preserve"> the original decision.</w:t>
      </w:r>
    </w:p>
    <w:p w14:paraId="554DA428" w14:textId="7A26294D" w:rsidR="00D66215" w:rsidRPr="00E16409" w:rsidRDefault="00D66215" w:rsidP="00BB09A6">
      <w:pPr>
        <w:pStyle w:val="Numberedlist2"/>
        <w:keepNext w:val="0"/>
        <w:keepLines w:val="0"/>
        <w:widowControl w:val="0"/>
        <w:numPr>
          <w:ilvl w:val="1"/>
          <w:numId w:val="6"/>
        </w:numPr>
        <w:ind w:left="426" w:hanging="426"/>
        <w:contextualSpacing w:val="0"/>
        <w:rPr>
          <w:rFonts w:eastAsiaTheme="minorEastAsia" w:cs="Arial"/>
          <w:sz w:val="22"/>
          <w:szCs w:val="22"/>
        </w:rPr>
      </w:pPr>
      <w:r>
        <w:rPr>
          <w:rFonts w:eastAsiaTheme="minorEastAsia" w:cs="Arial"/>
          <w:sz w:val="22"/>
          <w:szCs w:val="22"/>
        </w:rPr>
        <w:t>The in</w:t>
      </w:r>
      <w:r w:rsidRPr="00E16409">
        <w:rPr>
          <w:rFonts w:eastAsiaTheme="minorEastAsia" w:cs="Arial"/>
          <w:sz w:val="22"/>
          <w:szCs w:val="22"/>
        </w:rPr>
        <w:t>ternal review</w:t>
      </w:r>
      <w:r>
        <w:rPr>
          <w:rFonts w:eastAsiaTheme="minorEastAsia" w:cs="Arial"/>
          <w:sz w:val="22"/>
          <w:szCs w:val="22"/>
        </w:rPr>
        <w:t xml:space="preserve"> is to be conducted</w:t>
      </w:r>
      <w:r w:rsidRPr="00E16409">
        <w:rPr>
          <w:rFonts w:eastAsiaTheme="minorEastAsia" w:cs="Arial"/>
          <w:sz w:val="22"/>
          <w:szCs w:val="22"/>
        </w:rPr>
        <w:t xml:space="preserve"> within the agency by a different decision maker. Where practicable, the review decision maker should be senior to the original decision maker and removed from the original </w:t>
      </w:r>
      <w:proofErr w:type="gramStart"/>
      <w:r w:rsidRPr="00E16409">
        <w:rPr>
          <w:rFonts w:eastAsiaTheme="minorEastAsia" w:cs="Arial"/>
          <w:sz w:val="22"/>
          <w:szCs w:val="22"/>
        </w:rPr>
        <w:t>decision</w:t>
      </w:r>
      <w:r w:rsidR="009216F1">
        <w:rPr>
          <w:rFonts w:eastAsiaTheme="minorEastAsia" w:cs="Arial"/>
          <w:sz w:val="22"/>
          <w:szCs w:val="22"/>
        </w:rPr>
        <w:t xml:space="preserve"> </w:t>
      </w:r>
      <w:r w:rsidRPr="00E16409">
        <w:rPr>
          <w:rFonts w:eastAsiaTheme="minorEastAsia" w:cs="Arial"/>
          <w:sz w:val="22"/>
          <w:szCs w:val="22"/>
        </w:rPr>
        <w:t>making</w:t>
      </w:r>
      <w:proofErr w:type="gramEnd"/>
      <w:r w:rsidRPr="00E16409">
        <w:rPr>
          <w:rFonts w:eastAsiaTheme="minorEastAsia" w:cs="Arial"/>
          <w:sz w:val="22"/>
          <w:szCs w:val="22"/>
        </w:rPr>
        <w:t xml:space="preserve"> process. An internal review should not be undertaken by a person who made or recommended the original decision.</w:t>
      </w:r>
    </w:p>
    <w:p w14:paraId="2D863A52" w14:textId="2E5B0BF8" w:rsidR="00FB3919" w:rsidRPr="00E16409" w:rsidRDefault="00FB3919" w:rsidP="00BB09A6">
      <w:pPr>
        <w:pStyle w:val="Numberedlist2"/>
        <w:keepNext w:val="0"/>
        <w:keepLines w:val="0"/>
        <w:widowControl w:val="0"/>
        <w:numPr>
          <w:ilvl w:val="1"/>
          <w:numId w:val="6"/>
        </w:numPr>
        <w:ind w:left="426" w:hanging="426"/>
        <w:contextualSpacing w:val="0"/>
        <w:rPr>
          <w:sz w:val="22"/>
          <w:szCs w:val="22"/>
        </w:rPr>
      </w:pPr>
      <w:r w:rsidRPr="00E16409">
        <w:rPr>
          <w:sz w:val="22"/>
          <w:szCs w:val="22"/>
        </w:rPr>
        <w:t>The review decision maker must provide the employee with written notice of the review decision,</w:t>
      </w:r>
      <w:r w:rsidR="00C95331" w:rsidRPr="00E16409">
        <w:rPr>
          <w:sz w:val="22"/>
          <w:szCs w:val="22"/>
        </w:rPr>
        <w:t xml:space="preserve"> including the basis and</w:t>
      </w:r>
      <w:r w:rsidRPr="00E16409">
        <w:rPr>
          <w:sz w:val="22"/>
          <w:szCs w:val="22"/>
        </w:rPr>
        <w:t xml:space="preserve"> reasons </w:t>
      </w:r>
      <w:r w:rsidR="00C95331" w:rsidRPr="00E16409">
        <w:rPr>
          <w:sz w:val="22"/>
          <w:szCs w:val="22"/>
        </w:rPr>
        <w:t xml:space="preserve">for the decision within </w:t>
      </w:r>
      <w:r w:rsidR="00E9639E">
        <w:rPr>
          <w:sz w:val="22"/>
          <w:szCs w:val="22"/>
        </w:rPr>
        <w:t>2</w:t>
      </w:r>
      <w:r w:rsidR="00F90EE6">
        <w:rPr>
          <w:sz w:val="22"/>
          <w:szCs w:val="22"/>
        </w:rPr>
        <w:t xml:space="preserve">0 working </w:t>
      </w:r>
      <w:r w:rsidR="00C95331" w:rsidRPr="00E16409">
        <w:rPr>
          <w:sz w:val="22"/>
          <w:szCs w:val="22"/>
        </w:rPr>
        <w:t xml:space="preserve">days of the </w:t>
      </w:r>
      <w:r w:rsidR="00C95331" w:rsidRPr="00E16409">
        <w:rPr>
          <w:sz w:val="22"/>
          <w:szCs w:val="22"/>
        </w:rPr>
        <w:lastRenderedPageBreak/>
        <w:t xml:space="preserve">employee </w:t>
      </w:r>
      <w:r w:rsidR="00380341">
        <w:rPr>
          <w:sz w:val="22"/>
          <w:szCs w:val="22"/>
        </w:rPr>
        <w:t>providing their</w:t>
      </w:r>
      <w:r w:rsidR="00D77A16">
        <w:rPr>
          <w:sz w:val="22"/>
          <w:szCs w:val="22"/>
        </w:rPr>
        <w:t xml:space="preserve"> reasons for review under clause </w:t>
      </w:r>
      <w:r w:rsidR="00B513C2">
        <w:rPr>
          <w:sz w:val="22"/>
          <w:szCs w:val="22"/>
        </w:rPr>
        <w:t>7</w:t>
      </w:r>
      <w:r w:rsidR="00D77A16">
        <w:rPr>
          <w:sz w:val="22"/>
          <w:szCs w:val="22"/>
        </w:rPr>
        <w:t xml:space="preserve">.3, </w:t>
      </w:r>
      <w:r w:rsidR="00261269">
        <w:rPr>
          <w:sz w:val="22"/>
          <w:szCs w:val="22"/>
        </w:rPr>
        <w:t xml:space="preserve">or </w:t>
      </w:r>
      <w:r w:rsidR="00933352">
        <w:rPr>
          <w:sz w:val="22"/>
          <w:szCs w:val="22"/>
        </w:rPr>
        <w:t>a</w:t>
      </w:r>
      <w:r w:rsidR="00261269">
        <w:rPr>
          <w:sz w:val="22"/>
          <w:szCs w:val="22"/>
        </w:rPr>
        <w:t xml:space="preserve"> longer time </w:t>
      </w:r>
      <w:r w:rsidR="00933352">
        <w:rPr>
          <w:sz w:val="22"/>
          <w:szCs w:val="22"/>
        </w:rPr>
        <w:t xml:space="preserve">with </w:t>
      </w:r>
      <w:r w:rsidR="00261269">
        <w:rPr>
          <w:sz w:val="22"/>
          <w:szCs w:val="22"/>
        </w:rPr>
        <w:t>the employee</w:t>
      </w:r>
      <w:r w:rsidR="00933352">
        <w:rPr>
          <w:sz w:val="22"/>
          <w:szCs w:val="22"/>
        </w:rPr>
        <w:t>’s agreement</w:t>
      </w:r>
      <w:r w:rsidR="00C95331" w:rsidRPr="00E16409">
        <w:rPr>
          <w:sz w:val="22"/>
          <w:szCs w:val="22"/>
        </w:rPr>
        <w:t>.</w:t>
      </w:r>
    </w:p>
    <w:p w14:paraId="1E109B38" w14:textId="114506DC" w:rsidR="5CA5F5AF" w:rsidRPr="00E16409" w:rsidRDefault="5CA5F5AF" w:rsidP="00BB09A6">
      <w:pPr>
        <w:pStyle w:val="Numberedlist2"/>
        <w:keepNext w:val="0"/>
        <w:keepLines w:val="0"/>
        <w:widowControl w:val="0"/>
        <w:numPr>
          <w:ilvl w:val="1"/>
          <w:numId w:val="6"/>
        </w:numPr>
        <w:ind w:left="426" w:hanging="426"/>
        <w:contextualSpacing w:val="0"/>
        <w:rPr>
          <w:sz w:val="22"/>
          <w:szCs w:val="22"/>
        </w:rPr>
      </w:pPr>
      <w:r w:rsidRPr="00E16409">
        <w:rPr>
          <w:sz w:val="22"/>
          <w:szCs w:val="22"/>
        </w:rPr>
        <w:t xml:space="preserve">An employee may appeal the review decision </w:t>
      </w:r>
      <w:r w:rsidR="00B513C2">
        <w:rPr>
          <w:sz w:val="22"/>
          <w:szCs w:val="22"/>
        </w:rPr>
        <w:t xml:space="preserve">made </w:t>
      </w:r>
      <w:r w:rsidRPr="00E16409">
        <w:rPr>
          <w:sz w:val="22"/>
          <w:szCs w:val="22"/>
        </w:rPr>
        <w:t xml:space="preserve">under clause </w:t>
      </w:r>
      <w:r w:rsidR="00B513C2">
        <w:rPr>
          <w:sz w:val="22"/>
          <w:szCs w:val="22"/>
        </w:rPr>
        <w:t>7</w:t>
      </w:r>
      <w:r w:rsidRPr="00E16409">
        <w:rPr>
          <w:sz w:val="22"/>
          <w:szCs w:val="22"/>
        </w:rPr>
        <w:t xml:space="preserve"> of this directive.</w:t>
      </w:r>
      <w:r w:rsidR="00B205C8" w:rsidRPr="00E16409">
        <w:rPr>
          <w:sz w:val="22"/>
          <w:szCs w:val="22"/>
        </w:rPr>
        <w:t xml:space="preserve"> </w:t>
      </w:r>
    </w:p>
    <w:p w14:paraId="3E99C3DB" w14:textId="35FAED29" w:rsidR="4C7F90B7" w:rsidRDefault="4C7F90B7" w:rsidP="14703375">
      <w:pPr>
        <w:pStyle w:val="Heading2"/>
        <w:numPr>
          <w:ilvl w:val="0"/>
          <w:numId w:val="6"/>
        </w:numPr>
        <w:ind w:left="426" w:hanging="426"/>
      </w:pPr>
      <w:r>
        <w:t xml:space="preserve">Right to </w:t>
      </w:r>
      <w:r w:rsidR="46FEB4A5">
        <w:t>appeal a requirement</w:t>
      </w:r>
      <w:r w:rsidR="462E77D7">
        <w:t xml:space="preserve"> to submit to a medical examination</w:t>
      </w:r>
    </w:p>
    <w:p w14:paraId="5A246EA7" w14:textId="75E6F7EA" w:rsidR="00863A8B" w:rsidRPr="009419F4" w:rsidRDefault="007E7CA1" w:rsidP="00BB09A6">
      <w:pPr>
        <w:pStyle w:val="Numberedlist2"/>
        <w:keepNext w:val="0"/>
        <w:keepLines w:val="0"/>
        <w:widowControl w:val="0"/>
        <w:numPr>
          <w:ilvl w:val="1"/>
          <w:numId w:val="6"/>
        </w:numPr>
        <w:ind w:left="426" w:hanging="426"/>
        <w:contextualSpacing w:val="0"/>
        <w:rPr>
          <w:sz w:val="22"/>
          <w:szCs w:val="22"/>
        </w:rPr>
      </w:pPr>
      <w:r w:rsidRPr="005A2BDC">
        <w:rPr>
          <w:sz w:val="22"/>
          <w:szCs w:val="22"/>
        </w:rPr>
        <w:t xml:space="preserve">Section 194(1)(a) of the PS Act allows for an appeal of a decision made under a directive. An employee may seek either an internal review or an appeal of a </w:t>
      </w:r>
      <w:r w:rsidRPr="009046E8">
        <w:rPr>
          <w:sz w:val="22"/>
          <w:szCs w:val="22"/>
        </w:rPr>
        <w:t>decision requiring them to submit to a medical examination, on the basis the decision does not satisfy the conditions of section 174 of the PS Act.</w:t>
      </w:r>
      <w:r w:rsidRPr="0084775E">
        <w:rPr>
          <w:sz w:val="22"/>
          <w:szCs w:val="22"/>
        </w:rPr>
        <w:t xml:space="preserve"> </w:t>
      </w:r>
      <w:r w:rsidRPr="002D2EC9">
        <w:rPr>
          <w:sz w:val="22"/>
          <w:szCs w:val="22"/>
        </w:rPr>
        <w:t xml:space="preserve">Where the employee does not seek an internal review under clause </w:t>
      </w:r>
      <w:r w:rsidR="00025F46">
        <w:rPr>
          <w:sz w:val="22"/>
          <w:szCs w:val="22"/>
        </w:rPr>
        <w:t>7</w:t>
      </w:r>
      <w:r w:rsidRPr="002D2EC9">
        <w:rPr>
          <w:sz w:val="22"/>
          <w:szCs w:val="22"/>
        </w:rPr>
        <w:t xml:space="preserve">, </w:t>
      </w:r>
      <w:r w:rsidR="00CC6FC3">
        <w:rPr>
          <w:sz w:val="22"/>
          <w:szCs w:val="22"/>
        </w:rPr>
        <w:t>an</w:t>
      </w:r>
      <w:r>
        <w:rPr>
          <w:sz w:val="22"/>
          <w:szCs w:val="22"/>
        </w:rPr>
        <w:t xml:space="preserve"> appeal must be made within 21 days of the decision, or within the time </w:t>
      </w:r>
      <w:r w:rsidR="007A42A6">
        <w:rPr>
          <w:sz w:val="22"/>
          <w:szCs w:val="22"/>
        </w:rPr>
        <w:t>determined</w:t>
      </w:r>
      <w:r w:rsidR="00833685">
        <w:rPr>
          <w:sz w:val="22"/>
          <w:szCs w:val="22"/>
        </w:rPr>
        <w:t xml:space="preserve"> </w:t>
      </w:r>
      <w:r>
        <w:rPr>
          <w:sz w:val="22"/>
          <w:szCs w:val="22"/>
        </w:rPr>
        <w:t>by the Queensland Industrial Relations Commission (QIRC).</w:t>
      </w:r>
    </w:p>
    <w:p w14:paraId="3D80946B" w14:textId="3B717528" w:rsidR="5782F72D" w:rsidRDefault="00863A8B" w:rsidP="00BB09A6">
      <w:pPr>
        <w:pStyle w:val="Numberedlist2"/>
        <w:keepNext w:val="0"/>
        <w:keepLines w:val="0"/>
        <w:widowControl w:val="0"/>
        <w:numPr>
          <w:ilvl w:val="1"/>
          <w:numId w:val="6"/>
        </w:numPr>
        <w:ind w:left="426" w:hanging="426"/>
        <w:contextualSpacing w:val="0"/>
        <w:rPr>
          <w:sz w:val="22"/>
          <w:szCs w:val="22"/>
        </w:rPr>
      </w:pPr>
      <w:r>
        <w:rPr>
          <w:sz w:val="22"/>
          <w:szCs w:val="22"/>
        </w:rPr>
        <w:t xml:space="preserve">Where the employee </w:t>
      </w:r>
      <w:r w:rsidR="006F19D0">
        <w:rPr>
          <w:sz w:val="22"/>
          <w:szCs w:val="22"/>
        </w:rPr>
        <w:t xml:space="preserve">has </w:t>
      </w:r>
      <w:r>
        <w:rPr>
          <w:sz w:val="22"/>
          <w:szCs w:val="22"/>
        </w:rPr>
        <w:t xml:space="preserve">sought an internal review under clause </w:t>
      </w:r>
      <w:r w:rsidR="00025F46">
        <w:rPr>
          <w:sz w:val="22"/>
          <w:szCs w:val="22"/>
        </w:rPr>
        <w:t>7</w:t>
      </w:r>
      <w:r>
        <w:rPr>
          <w:sz w:val="22"/>
          <w:szCs w:val="22"/>
        </w:rPr>
        <w:t xml:space="preserve">, and </w:t>
      </w:r>
      <w:r w:rsidR="002D0AAF">
        <w:rPr>
          <w:sz w:val="22"/>
          <w:szCs w:val="22"/>
        </w:rPr>
        <w:t xml:space="preserve">the internal review decision requires them to submit to a medical examination, the employee may, under this directive, appeal the internal review decision on the basis that it does not satisfy the conditions of section 174 of the PS Act. The appeal must be made within 21 days of the internal review decision or </w:t>
      </w:r>
      <w:r w:rsidR="00833685">
        <w:rPr>
          <w:sz w:val="22"/>
          <w:szCs w:val="22"/>
        </w:rPr>
        <w:t xml:space="preserve">within the time required by the QIRC. </w:t>
      </w:r>
    </w:p>
    <w:p w14:paraId="0DA96E41" w14:textId="250B7B17" w:rsidR="00863A8B" w:rsidRDefault="00823BDF" w:rsidP="00BB09A6">
      <w:pPr>
        <w:pStyle w:val="Numberedlist2"/>
        <w:keepNext w:val="0"/>
        <w:keepLines w:val="0"/>
        <w:widowControl w:val="0"/>
        <w:numPr>
          <w:ilvl w:val="1"/>
          <w:numId w:val="6"/>
        </w:numPr>
        <w:ind w:left="426" w:hanging="426"/>
        <w:contextualSpacing w:val="0"/>
        <w:rPr>
          <w:sz w:val="22"/>
          <w:szCs w:val="22"/>
        </w:rPr>
      </w:pPr>
      <w:r>
        <w:rPr>
          <w:sz w:val="22"/>
          <w:szCs w:val="22"/>
        </w:rPr>
        <w:t xml:space="preserve">The internal review and appeal rights may not be exercised </w:t>
      </w:r>
      <w:r w:rsidR="009216F1">
        <w:rPr>
          <w:sz w:val="22"/>
          <w:szCs w:val="22"/>
        </w:rPr>
        <w:t>concurrently</w:t>
      </w:r>
      <w:r>
        <w:rPr>
          <w:sz w:val="22"/>
          <w:szCs w:val="22"/>
        </w:rPr>
        <w:t>.</w:t>
      </w:r>
      <w:r w:rsidR="00027E95">
        <w:rPr>
          <w:sz w:val="22"/>
          <w:szCs w:val="22"/>
        </w:rPr>
        <w:t xml:space="preserve"> </w:t>
      </w:r>
    </w:p>
    <w:p w14:paraId="33DF5691" w14:textId="254B3381" w:rsidR="757A4EF7" w:rsidRPr="00E16409" w:rsidRDefault="757A4EF7" w:rsidP="00BB09A6">
      <w:pPr>
        <w:pStyle w:val="Numberedlist2"/>
        <w:keepNext w:val="0"/>
        <w:keepLines w:val="0"/>
        <w:widowControl w:val="0"/>
        <w:numPr>
          <w:ilvl w:val="1"/>
          <w:numId w:val="6"/>
        </w:numPr>
        <w:ind w:left="426" w:hanging="426"/>
        <w:contextualSpacing w:val="0"/>
        <w:rPr>
          <w:sz w:val="22"/>
          <w:szCs w:val="22"/>
        </w:rPr>
      </w:pPr>
      <w:r w:rsidRPr="00E16409">
        <w:rPr>
          <w:sz w:val="22"/>
          <w:szCs w:val="22"/>
        </w:rPr>
        <w:t xml:space="preserve">An </w:t>
      </w:r>
      <w:hyperlink r:id="rId11" w:history="1">
        <w:r w:rsidR="009216F1" w:rsidRPr="001F6C40">
          <w:rPr>
            <w:rStyle w:val="Hyperlink"/>
            <w:rFonts w:eastAsiaTheme="minorHAnsi" w:cs="Arial"/>
            <w:color w:val="0563C1" w:themeColor="hyperlink"/>
            <w:sz w:val="22"/>
            <w:szCs w:val="22"/>
            <w:u w:val="single"/>
          </w:rPr>
          <w:t>a</w:t>
        </w:r>
        <w:r w:rsidRPr="001F6C40">
          <w:rPr>
            <w:rStyle w:val="Hyperlink"/>
            <w:rFonts w:eastAsiaTheme="minorHAnsi" w:cs="Arial"/>
            <w:color w:val="0563C1" w:themeColor="hyperlink"/>
            <w:sz w:val="22"/>
            <w:szCs w:val="22"/>
            <w:u w:val="single"/>
          </w:rPr>
          <w:t xml:space="preserve">ppeals </w:t>
        </w:r>
        <w:r w:rsidR="009216F1" w:rsidRPr="001F6C40">
          <w:rPr>
            <w:rStyle w:val="Hyperlink"/>
            <w:rFonts w:eastAsiaTheme="minorHAnsi" w:cs="Arial"/>
            <w:color w:val="0563C1" w:themeColor="hyperlink"/>
            <w:sz w:val="22"/>
            <w:szCs w:val="22"/>
            <w:u w:val="single"/>
          </w:rPr>
          <w:t>g</w:t>
        </w:r>
        <w:r w:rsidRPr="001F6C40">
          <w:rPr>
            <w:rStyle w:val="Hyperlink"/>
            <w:rFonts w:eastAsiaTheme="minorHAnsi" w:cs="Arial"/>
            <w:color w:val="0563C1" w:themeColor="hyperlink"/>
            <w:sz w:val="22"/>
            <w:szCs w:val="22"/>
            <w:u w:val="single"/>
          </w:rPr>
          <w:t>uide</w:t>
        </w:r>
      </w:hyperlink>
      <w:r w:rsidRPr="00E16409">
        <w:rPr>
          <w:sz w:val="22"/>
          <w:szCs w:val="22"/>
        </w:rPr>
        <w:t xml:space="preserve"> has been designed to help explain the </w:t>
      </w:r>
      <w:r w:rsidR="00994893">
        <w:rPr>
          <w:sz w:val="22"/>
          <w:szCs w:val="22"/>
        </w:rPr>
        <w:t>a</w:t>
      </w:r>
      <w:r w:rsidRPr="00E16409">
        <w:rPr>
          <w:sz w:val="22"/>
          <w:szCs w:val="22"/>
        </w:rPr>
        <w:t xml:space="preserve">ppeal process and can be found on the </w:t>
      </w:r>
      <w:r w:rsidR="00833685">
        <w:rPr>
          <w:sz w:val="22"/>
          <w:szCs w:val="22"/>
        </w:rPr>
        <w:t xml:space="preserve">QIRC </w:t>
      </w:r>
      <w:r w:rsidRPr="00E16409">
        <w:rPr>
          <w:sz w:val="22"/>
          <w:szCs w:val="22"/>
        </w:rPr>
        <w:t xml:space="preserve">website. </w:t>
      </w:r>
      <w:r w:rsidR="00185117" w:rsidRPr="00E16409">
        <w:rPr>
          <w:sz w:val="22"/>
          <w:szCs w:val="22"/>
        </w:rPr>
        <w:t xml:space="preserve"> </w:t>
      </w:r>
    </w:p>
    <w:p w14:paraId="03C9EBB5" w14:textId="51039183" w:rsidR="26F8431A" w:rsidRDefault="26F8431A" w:rsidP="14703375">
      <w:pPr>
        <w:pStyle w:val="Heading2"/>
        <w:numPr>
          <w:ilvl w:val="0"/>
          <w:numId w:val="6"/>
        </w:numPr>
        <w:ind w:left="426" w:hanging="426"/>
      </w:pPr>
      <w:r>
        <w:t xml:space="preserve">The independent medical examination report </w:t>
      </w:r>
    </w:p>
    <w:p w14:paraId="11FDF3AE" w14:textId="15CFE542" w:rsidR="7F880D42" w:rsidRPr="00E16409" w:rsidRDefault="7F880D42" w:rsidP="00BB09A6">
      <w:pPr>
        <w:pStyle w:val="Numberedlist2"/>
        <w:keepNext w:val="0"/>
        <w:keepLines w:val="0"/>
        <w:widowControl w:val="0"/>
        <w:numPr>
          <w:ilvl w:val="1"/>
          <w:numId w:val="6"/>
        </w:numPr>
        <w:ind w:left="426" w:hanging="426"/>
        <w:contextualSpacing w:val="0"/>
        <w:rPr>
          <w:sz w:val="22"/>
          <w:szCs w:val="22"/>
        </w:rPr>
      </w:pPr>
      <w:r w:rsidRPr="00E16409">
        <w:rPr>
          <w:sz w:val="22"/>
          <w:szCs w:val="22"/>
        </w:rPr>
        <w:t>The IME report is an important piece of information for the chief executive or delegate to consider when deciding how best to support an employee, with a focus on continuing employment. It must contain information that is required by section 177 of the PS Act. Any additional information that is included must be demonstrably related to workplace impacts of the employee’s medical condition.</w:t>
      </w:r>
    </w:p>
    <w:p w14:paraId="3456E50E" w14:textId="75110FE7" w:rsidR="485BC46C" w:rsidRPr="00E16409" w:rsidRDefault="485BC46C" w:rsidP="00BB09A6">
      <w:pPr>
        <w:pStyle w:val="Numberedlist2"/>
        <w:keepNext w:val="0"/>
        <w:keepLines w:val="0"/>
        <w:widowControl w:val="0"/>
        <w:numPr>
          <w:ilvl w:val="1"/>
          <w:numId w:val="6"/>
        </w:numPr>
        <w:ind w:left="426" w:hanging="426"/>
        <w:contextualSpacing w:val="0"/>
        <w:rPr>
          <w:sz w:val="22"/>
          <w:szCs w:val="22"/>
        </w:rPr>
      </w:pPr>
      <w:r w:rsidRPr="00E16409">
        <w:rPr>
          <w:sz w:val="22"/>
          <w:szCs w:val="22"/>
        </w:rPr>
        <w:t xml:space="preserve">The letter of referral to the IME doctor should identify for them that their report is not to contain any medical or other information that is not directly or indirectly related to the effect and management of the employee’s medical condition on their workplace performance or current absence. Information that may be irrelevant, depending on the medical condition, may include, for example, family or personal history, gender preferences for intimate relationships, gynaecological history, </w:t>
      </w:r>
      <w:proofErr w:type="gramStart"/>
      <w:r w:rsidRPr="00E16409">
        <w:rPr>
          <w:sz w:val="22"/>
          <w:szCs w:val="22"/>
        </w:rPr>
        <w:t>libido</w:t>
      </w:r>
      <w:proofErr w:type="gramEnd"/>
      <w:r w:rsidRPr="00E16409">
        <w:rPr>
          <w:sz w:val="22"/>
          <w:szCs w:val="22"/>
        </w:rPr>
        <w:t xml:space="preserve"> or past sexual behavio</w:t>
      </w:r>
      <w:r w:rsidR="70880593" w:rsidRPr="00E16409">
        <w:rPr>
          <w:sz w:val="22"/>
          <w:szCs w:val="22"/>
        </w:rPr>
        <w:t>u</w:t>
      </w:r>
      <w:r w:rsidRPr="00E16409">
        <w:rPr>
          <w:sz w:val="22"/>
          <w:szCs w:val="22"/>
        </w:rPr>
        <w:t>r. This type of information should only be included after careful consideration of its relevance by the independent medical examiner.</w:t>
      </w:r>
    </w:p>
    <w:p w14:paraId="54DBAC67" w14:textId="336A6CFD" w:rsidR="485BC46C" w:rsidRDefault="485BC46C" w:rsidP="00BB09A6">
      <w:pPr>
        <w:pStyle w:val="Numberedlist2"/>
        <w:keepNext w:val="0"/>
        <w:keepLines w:val="0"/>
        <w:widowControl w:val="0"/>
        <w:numPr>
          <w:ilvl w:val="1"/>
          <w:numId w:val="6"/>
        </w:numPr>
        <w:ind w:left="426" w:hanging="426"/>
        <w:contextualSpacing w:val="0"/>
        <w:rPr>
          <w:sz w:val="22"/>
          <w:szCs w:val="22"/>
        </w:rPr>
      </w:pPr>
      <w:r w:rsidRPr="00E16409">
        <w:rPr>
          <w:sz w:val="22"/>
          <w:szCs w:val="22"/>
        </w:rPr>
        <w:t>A copy of the report is to be provided to the employee or their nominated doctor in accordan</w:t>
      </w:r>
      <w:r w:rsidR="00725999">
        <w:rPr>
          <w:sz w:val="22"/>
          <w:szCs w:val="22"/>
        </w:rPr>
        <w:t>c</w:t>
      </w:r>
      <w:r w:rsidRPr="00E16409">
        <w:rPr>
          <w:sz w:val="22"/>
          <w:szCs w:val="22"/>
        </w:rPr>
        <w:t>e with sections 177(3)</w:t>
      </w:r>
      <w:proofErr w:type="gramStart"/>
      <w:r w:rsidRPr="00E16409">
        <w:rPr>
          <w:sz w:val="22"/>
          <w:szCs w:val="22"/>
        </w:rPr>
        <w:t>–(</w:t>
      </w:r>
      <w:proofErr w:type="gramEnd"/>
      <w:r w:rsidRPr="00E16409">
        <w:rPr>
          <w:sz w:val="22"/>
          <w:szCs w:val="22"/>
        </w:rPr>
        <w:t xml:space="preserve">5) of the PS Act. </w:t>
      </w:r>
    </w:p>
    <w:p w14:paraId="693CB58A" w14:textId="7B0B85C3" w:rsidR="00977835" w:rsidRPr="00E16409" w:rsidRDefault="00977835" w:rsidP="00BB09A6">
      <w:pPr>
        <w:pStyle w:val="Numberedlist2"/>
        <w:keepNext w:val="0"/>
        <w:keepLines w:val="0"/>
        <w:widowControl w:val="0"/>
        <w:numPr>
          <w:ilvl w:val="1"/>
          <w:numId w:val="6"/>
        </w:numPr>
        <w:ind w:left="426" w:hanging="426"/>
        <w:contextualSpacing w:val="0"/>
        <w:rPr>
          <w:sz w:val="22"/>
          <w:szCs w:val="22"/>
        </w:rPr>
      </w:pPr>
      <w:r>
        <w:rPr>
          <w:sz w:val="22"/>
          <w:szCs w:val="22"/>
        </w:rPr>
        <w:t xml:space="preserve">The chief executive must consider the report and either propose no further action or propose an appropriate course of action under section 178 of the PS Act. In </w:t>
      </w:r>
      <w:r w:rsidR="0038432F">
        <w:rPr>
          <w:sz w:val="22"/>
          <w:szCs w:val="22"/>
        </w:rPr>
        <w:t xml:space="preserve">proposing a course of action, the chief executive must provide the employee with procedural fairness, consider any applicable statutory </w:t>
      </w:r>
      <w:proofErr w:type="gramStart"/>
      <w:r w:rsidR="0038432F">
        <w:rPr>
          <w:sz w:val="22"/>
          <w:szCs w:val="22"/>
        </w:rPr>
        <w:t>protections</w:t>
      </w:r>
      <w:proofErr w:type="gramEnd"/>
      <w:r w:rsidR="0038432F">
        <w:rPr>
          <w:sz w:val="22"/>
          <w:szCs w:val="22"/>
        </w:rPr>
        <w:t xml:space="preserve"> and consider all reasonably practicable options for continuing employment. Retirement of the employee should be considered as a last resort.</w:t>
      </w:r>
    </w:p>
    <w:p w14:paraId="5A1BE279" w14:textId="00CD8D03" w:rsidR="00B43511" w:rsidRDefault="00B43511" w:rsidP="003574A5">
      <w:pPr>
        <w:pStyle w:val="Heading2"/>
        <w:numPr>
          <w:ilvl w:val="0"/>
          <w:numId w:val="6"/>
        </w:numPr>
        <w:ind w:left="567" w:hanging="567"/>
      </w:pPr>
      <w:r>
        <w:lastRenderedPageBreak/>
        <w:t>Transitional arrangements</w:t>
      </w:r>
    </w:p>
    <w:p w14:paraId="615681BC" w14:textId="56BA2605" w:rsidR="61364E2A" w:rsidRPr="00E16409" w:rsidRDefault="61364E2A" w:rsidP="003574A5">
      <w:pPr>
        <w:pStyle w:val="Numberedlist2"/>
        <w:keepNext w:val="0"/>
        <w:keepLines w:val="0"/>
        <w:widowControl w:val="0"/>
        <w:numPr>
          <w:ilvl w:val="1"/>
          <w:numId w:val="6"/>
        </w:numPr>
        <w:ind w:left="567" w:hanging="567"/>
        <w:contextualSpacing w:val="0"/>
        <w:rPr>
          <w:sz w:val="22"/>
          <w:szCs w:val="22"/>
        </w:rPr>
      </w:pPr>
      <w:r w:rsidRPr="00E16409">
        <w:rPr>
          <w:sz w:val="22"/>
          <w:szCs w:val="22"/>
        </w:rPr>
        <w:t>This directive applies where, on or after the effective date, a chief executive signs a requirement for an employee to submit to an IME. The</w:t>
      </w:r>
      <w:r w:rsidR="007D0750">
        <w:rPr>
          <w:sz w:val="22"/>
          <w:szCs w:val="22"/>
        </w:rPr>
        <w:t xml:space="preserve"> superseded</w:t>
      </w:r>
      <w:r w:rsidRPr="00E16409">
        <w:rPr>
          <w:sz w:val="22"/>
          <w:szCs w:val="22"/>
        </w:rPr>
        <w:t xml:space="preserve"> directive </w:t>
      </w:r>
      <w:r w:rsidR="007D0750">
        <w:rPr>
          <w:sz w:val="22"/>
          <w:szCs w:val="22"/>
        </w:rPr>
        <w:t>applies</w:t>
      </w:r>
      <w:r w:rsidRPr="00E16409">
        <w:rPr>
          <w:sz w:val="22"/>
          <w:szCs w:val="22"/>
        </w:rPr>
        <w:t xml:space="preserve"> where notice to attend an IME has been signed before the directive takes effect.</w:t>
      </w:r>
    </w:p>
    <w:p w14:paraId="03363BBC" w14:textId="77777777" w:rsidR="00B43511" w:rsidRDefault="00B43511" w:rsidP="00C70162">
      <w:pPr>
        <w:pStyle w:val="Heading2"/>
        <w:numPr>
          <w:ilvl w:val="0"/>
          <w:numId w:val="6"/>
        </w:numPr>
        <w:ind w:left="426" w:hanging="426"/>
      </w:pPr>
      <w:bookmarkStart w:id="3" w:name="_Hlk48119352"/>
      <w:r>
        <w:t>Definitions</w:t>
      </w:r>
    </w:p>
    <w:bookmarkEnd w:id="3"/>
    <w:p w14:paraId="3AACA7CF" w14:textId="372F7C39" w:rsidR="00834704" w:rsidRDefault="00834704" w:rsidP="003356D1">
      <w:pPr>
        <w:rPr>
          <w:rFonts w:ascii="Arial" w:eastAsia="Calibri" w:hAnsi="Arial" w:cs="Arial"/>
          <w:b/>
          <w:bCs/>
          <w:sz w:val="22"/>
          <w:szCs w:val="22"/>
        </w:rPr>
      </w:pPr>
      <w:r>
        <w:rPr>
          <w:rFonts w:ascii="Arial" w:eastAsia="Calibri" w:hAnsi="Arial" w:cs="Arial"/>
          <w:b/>
          <w:bCs/>
          <w:sz w:val="22"/>
          <w:szCs w:val="22"/>
        </w:rPr>
        <w:t>Agency</w:t>
      </w:r>
      <w:r w:rsidR="00DB3168" w:rsidRPr="0066020D">
        <w:rPr>
          <w:rFonts w:eastAsia="Times New Roman" w:cs="Arial"/>
          <w:sz w:val="22"/>
          <w:szCs w:val="22"/>
          <w:lang w:eastAsia="en-AU"/>
        </w:rPr>
        <w:t>—</w:t>
      </w:r>
      <w:r w:rsidRPr="00834704">
        <w:rPr>
          <w:rFonts w:ascii="Arial" w:eastAsia="Calibri" w:hAnsi="Arial" w:cs="Arial"/>
          <w:sz w:val="22"/>
          <w:szCs w:val="22"/>
        </w:rPr>
        <w:t xml:space="preserve">see </w:t>
      </w:r>
      <w:r w:rsidR="00994893">
        <w:rPr>
          <w:rFonts w:ascii="Arial" w:eastAsia="Calibri" w:hAnsi="Arial" w:cs="Arial"/>
          <w:sz w:val="22"/>
          <w:szCs w:val="22"/>
        </w:rPr>
        <w:t>a</w:t>
      </w:r>
      <w:r w:rsidRPr="00834704">
        <w:rPr>
          <w:rFonts w:ascii="Arial" w:eastAsia="Calibri" w:hAnsi="Arial" w:cs="Arial"/>
          <w:sz w:val="22"/>
          <w:szCs w:val="22"/>
        </w:rPr>
        <w:t>pplication clause</w:t>
      </w:r>
      <w:r>
        <w:rPr>
          <w:rFonts w:ascii="Arial" w:eastAsia="Calibri" w:hAnsi="Arial" w:cs="Arial"/>
          <w:sz w:val="22"/>
          <w:szCs w:val="22"/>
        </w:rPr>
        <w:t xml:space="preserve"> of this directive.</w:t>
      </w:r>
    </w:p>
    <w:p w14:paraId="14BC401C" w14:textId="77777777" w:rsidR="00834704" w:rsidRDefault="00834704" w:rsidP="003356D1">
      <w:pPr>
        <w:rPr>
          <w:rFonts w:ascii="Arial" w:eastAsia="Calibri" w:hAnsi="Arial" w:cs="Arial"/>
          <w:b/>
          <w:bCs/>
          <w:sz w:val="22"/>
          <w:szCs w:val="22"/>
        </w:rPr>
      </w:pPr>
    </w:p>
    <w:p w14:paraId="3870A6BA" w14:textId="5BA64545" w:rsidR="003356D1" w:rsidRPr="00E16409" w:rsidRDefault="003356D1" w:rsidP="003356D1">
      <w:pPr>
        <w:rPr>
          <w:rFonts w:ascii="Arial" w:eastAsiaTheme="majorEastAsia" w:hAnsi="Arial"/>
          <w:sz w:val="22"/>
          <w:szCs w:val="22"/>
        </w:rPr>
      </w:pPr>
      <w:r w:rsidRPr="00E16409">
        <w:rPr>
          <w:rFonts w:ascii="Arial" w:eastAsia="Calibri" w:hAnsi="Arial" w:cs="Arial"/>
          <w:b/>
          <w:bCs/>
          <w:sz w:val="22"/>
          <w:szCs w:val="22"/>
        </w:rPr>
        <w:t>Chief executive</w:t>
      </w:r>
      <w:r w:rsidRPr="00E16409">
        <w:rPr>
          <w:rFonts w:ascii="Arial" w:eastAsia="Calibri" w:hAnsi="Arial" w:cs="Arial"/>
          <w:b/>
          <w:bCs/>
        </w:rPr>
        <w:t xml:space="preserve"> </w:t>
      </w:r>
      <w:r w:rsidRPr="00E16409">
        <w:rPr>
          <w:rFonts w:ascii="Arial" w:eastAsiaTheme="majorEastAsia" w:hAnsi="Arial"/>
          <w:sz w:val="22"/>
          <w:szCs w:val="22"/>
        </w:rPr>
        <w:t xml:space="preserve">in the context of exercising a </w:t>
      </w:r>
      <w:proofErr w:type="gramStart"/>
      <w:r w:rsidRPr="00E16409">
        <w:rPr>
          <w:rFonts w:ascii="Arial" w:eastAsiaTheme="majorEastAsia" w:hAnsi="Arial"/>
          <w:sz w:val="22"/>
          <w:szCs w:val="22"/>
        </w:rPr>
        <w:t>decision making</w:t>
      </w:r>
      <w:proofErr w:type="gramEnd"/>
      <w:r w:rsidRPr="00E16409">
        <w:rPr>
          <w:rFonts w:ascii="Arial" w:eastAsiaTheme="majorEastAsia" w:hAnsi="Arial"/>
          <w:sz w:val="22"/>
          <w:szCs w:val="22"/>
        </w:rPr>
        <w:t xml:space="preserve"> power, includes a person to whom the chief executive has delegated the decision making power.</w:t>
      </w:r>
    </w:p>
    <w:p w14:paraId="78B01C29" w14:textId="77777777" w:rsidR="009B396E" w:rsidRDefault="009B396E" w:rsidP="4645C810">
      <w:pPr>
        <w:rPr>
          <w:rFonts w:ascii="Arial" w:eastAsia="Calibri" w:hAnsi="Arial" w:cs="Arial"/>
          <w:b/>
          <w:bCs/>
        </w:rPr>
      </w:pPr>
    </w:p>
    <w:p w14:paraId="529E3A64" w14:textId="235DDC6B" w:rsidR="007A328D" w:rsidRPr="00E16409" w:rsidRDefault="6318183B" w:rsidP="4645C810">
      <w:pPr>
        <w:rPr>
          <w:rFonts w:ascii="Arial" w:eastAsiaTheme="majorEastAsia" w:hAnsi="Arial"/>
          <w:sz w:val="22"/>
          <w:szCs w:val="22"/>
        </w:rPr>
      </w:pPr>
      <w:r w:rsidRPr="00E16409">
        <w:rPr>
          <w:rFonts w:ascii="Arial" w:eastAsiaTheme="majorEastAsia" w:hAnsi="Arial"/>
          <w:b/>
          <w:sz w:val="22"/>
          <w:szCs w:val="22"/>
        </w:rPr>
        <w:t>Medical condition</w:t>
      </w:r>
      <w:r w:rsidR="00BB09A6">
        <w:rPr>
          <w:rFonts w:ascii="Arial" w:eastAsiaTheme="majorEastAsia" w:hAnsi="Arial"/>
          <w:sz w:val="22"/>
          <w:szCs w:val="22"/>
        </w:rPr>
        <w:t xml:space="preserve"> means</w:t>
      </w:r>
      <w:r w:rsidRPr="00E16409">
        <w:rPr>
          <w:rFonts w:ascii="Arial" w:eastAsiaTheme="majorEastAsia" w:hAnsi="Arial"/>
          <w:sz w:val="22"/>
          <w:szCs w:val="22"/>
        </w:rPr>
        <w:t xml:space="preserve"> a mental or physical illness or disability referred to in section 174 of the PS Act. </w:t>
      </w:r>
    </w:p>
    <w:p w14:paraId="71A449A9" w14:textId="614FF98D" w:rsidR="00E13734" w:rsidRDefault="00E13734" w:rsidP="00E16409">
      <w:pPr>
        <w:pStyle w:val="Heading2"/>
        <w:numPr>
          <w:ilvl w:val="0"/>
          <w:numId w:val="6"/>
        </w:numPr>
        <w:ind w:left="426" w:hanging="426"/>
      </w:pPr>
      <w:bookmarkStart w:id="4" w:name="_Hlk48207102"/>
      <w:r>
        <w:t>Related resources and reference materials</w:t>
      </w:r>
    </w:p>
    <w:p w14:paraId="1B32F6C8" w14:textId="7634A709" w:rsidR="00E23EA9" w:rsidRPr="00BB09A6" w:rsidRDefault="00E13734" w:rsidP="00C515BD">
      <w:pPr>
        <w:rPr>
          <w:rFonts w:ascii="Arial" w:hAnsi="Arial" w:cs="Arial"/>
          <w:sz w:val="22"/>
          <w:szCs w:val="22"/>
        </w:rPr>
      </w:pPr>
      <w:r w:rsidRPr="00BB09A6">
        <w:rPr>
          <w:rFonts w:ascii="Arial" w:hAnsi="Arial" w:cs="Arial"/>
          <w:sz w:val="22"/>
          <w:szCs w:val="22"/>
        </w:rPr>
        <w:t>This material does not form part of the directive but may assist in the interpretation and application of the directive</w:t>
      </w:r>
      <w:r w:rsidR="00F533BF" w:rsidRPr="00BB09A6">
        <w:rPr>
          <w:rFonts w:ascii="Arial" w:hAnsi="Arial" w:cs="Arial"/>
          <w:sz w:val="22"/>
          <w:szCs w:val="22"/>
        </w:rPr>
        <w:t xml:space="preserve"> and should be considered by decision makers</w:t>
      </w:r>
      <w:r w:rsidRPr="00BB09A6">
        <w:rPr>
          <w:rFonts w:ascii="Arial" w:hAnsi="Arial" w:cs="Arial"/>
          <w:sz w:val="22"/>
          <w:szCs w:val="22"/>
        </w:rPr>
        <w:t>.</w:t>
      </w:r>
    </w:p>
    <w:p w14:paraId="227DA479" w14:textId="77777777" w:rsidR="00C458C9" w:rsidRPr="00BB09A6" w:rsidRDefault="00C458C9" w:rsidP="00C458C9">
      <w:pPr>
        <w:pStyle w:val="Bullets1"/>
        <w:numPr>
          <w:ilvl w:val="0"/>
          <w:numId w:val="0"/>
        </w:numPr>
        <w:rPr>
          <w:rFonts w:cs="Arial"/>
          <w:szCs w:val="22"/>
        </w:rPr>
      </w:pPr>
    </w:p>
    <w:p w14:paraId="16E5314C" w14:textId="6C704F27" w:rsidR="00032106" w:rsidRDefault="00032106" w:rsidP="00BB09A6">
      <w:pPr>
        <w:pStyle w:val="Bullets1"/>
        <w:rPr>
          <w:rFonts w:eastAsiaTheme="minorHAnsi" w:cs="Arial"/>
          <w:szCs w:val="22"/>
        </w:rPr>
      </w:pPr>
      <w:r w:rsidRPr="003671EE">
        <w:rPr>
          <w:rFonts w:eastAsiaTheme="minorHAnsi" w:cs="Arial"/>
          <w:szCs w:val="22"/>
        </w:rPr>
        <w:t>Sections 52, 174 to 179 PS Act</w:t>
      </w:r>
      <w:r w:rsidR="0052694E" w:rsidRPr="003671EE">
        <w:rPr>
          <w:rFonts w:eastAsiaTheme="minorHAnsi" w:cs="Arial"/>
          <w:szCs w:val="22"/>
        </w:rPr>
        <w:t xml:space="preserve"> are provisions relevant to an IME</w:t>
      </w:r>
      <w:r w:rsidRPr="003671EE">
        <w:rPr>
          <w:rFonts w:eastAsiaTheme="minorHAnsi" w:cs="Arial"/>
          <w:szCs w:val="22"/>
        </w:rPr>
        <w:t>.</w:t>
      </w:r>
    </w:p>
    <w:p w14:paraId="491B6B3B" w14:textId="06629699" w:rsidR="00C458C9" w:rsidRPr="003671EE" w:rsidRDefault="00C458C9" w:rsidP="00BB09A6">
      <w:pPr>
        <w:pStyle w:val="Bullets1"/>
        <w:rPr>
          <w:rStyle w:val="Hyperlink"/>
          <w:rFonts w:cs="Arial"/>
          <w:szCs w:val="22"/>
          <w:u w:val="single"/>
        </w:rPr>
      </w:pPr>
      <w:r w:rsidRPr="00C87ED0">
        <w:rPr>
          <w:szCs w:val="22"/>
          <w:u w:val="single"/>
          <w:lang w:val="en"/>
        </w:rPr>
        <w:fldChar w:fldCharType="begin"/>
      </w:r>
      <w:r w:rsidR="00AA480B">
        <w:rPr>
          <w:szCs w:val="22"/>
          <w:u w:val="single"/>
          <w:lang w:val="en"/>
        </w:rPr>
        <w:instrText>HYPERLINK "https://www.forgov.qld.gov.au/employment-policy-career-and-wellbeing/directives-policies-circulars-and-guidelines/managing-employee-health-safety-and-wellbeingindependent-medical-examinations-guideline"</w:instrText>
      </w:r>
      <w:r w:rsidR="00AA480B" w:rsidRPr="00C87ED0">
        <w:rPr>
          <w:szCs w:val="22"/>
          <w:u w:val="single"/>
          <w:lang w:val="en"/>
        </w:rPr>
      </w:r>
      <w:r w:rsidRPr="00C87ED0">
        <w:rPr>
          <w:szCs w:val="22"/>
          <w:u w:val="single"/>
          <w:lang w:val="en"/>
        </w:rPr>
        <w:fldChar w:fldCharType="separate"/>
      </w:r>
      <w:r w:rsidRPr="003574A5">
        <w:rPr>
          <w:rStyle w:val="Hyperlink"/>
          <w:rFonts w:eastAsiaTheme="minorHAnsi" w:cs="Arial"/>
          <w:color w:val="0563C1" w:themeColor="hyperlink"/>
          <w:szCs w:val="22"/>
          <w:u w:val="single"/>
        </w:rPr>
        <w:t xml:space="preserve">Managing employee health, </w:t>
      </w:r>
      <w:proofErr w:type="gramStart"/>
      <w:r w:rsidRPr="003574A5">
        <w:rPr>
          <w:rStyle w:val="Hyperlink"/>
          <w:rFonts w:eastAsiaTheme="minorHAnsi" w:cs="Arial"/>
          <w:color w:val="0563C1" w:themeColor="hyperlink"/>
          <w:szCs w:val="22"/>
          <w:u w:val="single"/>
        </w:rPr>
        <w:t>safety</w:t>
      </w:r>
      <w:proofErr w:type="gramEnd"/>
      <w:r w:rsidRPr="003574A5">
        <w:rPr>
          <w:rStyle w:val="Hyperlink"/>
          <w:rFonts w:eastAsiaTheme="minorHAnsi" w:cs="Arial"/>
          <w:color w:val="0563C1" w:themeColor="hyperlink"/>
          <w:szCs w:val="22"/>
          <w:u w:val="single"/>
        </w:rPr>
        <w:t xml:space="preserve"> and wellbeing–independent medical examinations guideline</w:t>
      </w:r>
    </w:p>
    <w:p w14:paraId="21FCB076" w14:textId="25CFF947" w:rsidR="00C458C9" w:rsidRPr="00AA480B" w:rsidRDefault="00C458C9" w:rsidP="00CC5300">
      <w:pPr>
        <w:pStyle w:val="Bullets1"/>
        <w:rPr>
          <w:rStyle w:val="Hyperlink"/>
          <w:rFonts w:eastAsiaTheme="minorHAnsi" w:cs="Arial"/>
        </w:rPr>
      </w:pPr>
      <w:r w:rsidRPr="00C87ED0">
        <w:rPr>
          <w:szCs w:val="22"/>
          <w:u w:val="single"/>
          <w:lang w:val="en"/>
        </w:rPr>
        <w:fldChar w:fldCharType="end"/>
      </w:r>
      <w:r w:rsidR="00AA480B">
        <w:rPr>
          <w:rFonts w:eastAsiaTheme="minorHAnsi" w:cs="Arial"/>
          <w:szCs w:val="22"/>
        </w:rPr>
        <w:fldChar w:fldCharType="begin"/>
      </w:r>
      <w:r w:rsidR="00AA480B">
        <w:rPr>
          <w:rFonts w:eastAsiaTheme="minorHAnsi" w:cs="Arial"/>
          <w:szCs w:val="22"/>
        </w:rPr>
        <w:instrText xml:space="preserve"> HYPERLINK "https://www.forgov.qld.gov.au/employment-policy-career-and-wellbeing/directives-policies-circulars-and-guidelines/managing-employee-health-safety-and-wellbeingindependent-medical-examinations-guideline" </w:instrText>
      </w:r>
      <w:r w:rsidR="00AA480B">
        <w:rPr>
          <w:rFonts w:eastAsiaTheme="minorHAnsi" w:cs="Arial"/>
          <w:szCs w:val="22"/>
        </w:rPr>
      </w:r>
      <w:r w:rsidR="00AA480B">
        <w:rPr>
          <w:rFonts w:eastAsiaTheme="minorHAnsi" w:cs="Arial"/>
          <w:szCs w:val="22"/>
        </w:rPr>
        <w:fldChar w:fldCharType="separate"/>
      </w:r>
      <w:r w:rsidRPr="00AA480B">
        <w:rPr>
          <w:rStyle w:val="Hyperlink"/>
          <w:rFonts w:eastAsiaTheme="minorHAnsi" w:cs="Arial"/>
          <w:szCs w:val="22"/>
        </w:rPr>
        <w:t>Template letters</w:t>
      </w:r>
    </w:p>
    <w:p w14:paraId="2EE31BF0" w14:textId="4BEB28DA" w:rsidR="00C458C9" w:rsidRPr="00AA480B" w:rsidRDefault="00AA480B" w:rsidP="00BB09A6">
      <w:pPr>
        <w:pStyle w:val="Bullets1"/>
        <w:rPr>
          <w:rStyle w:val="Hyperlink"/>
          <w:szCs w:val="22"/>
        </w:rPr>
      </w:pPr>
      <w:r>
        <w:rPr>
          <w:rFonts w:eastAsiaTheme="minorHAnsi" w:cs="Arial"/>
          <w:szCs w:val="22"/>
        </w:rPr>
        <w:fldChar w:fldCharType="end"/>
      </w:r>
      <w:r>
        <w:rPr>
          <w:rFonts w:eastAsiaTheme="minorHAnsi" w:cs="Arial"/>
          <w:szCs w:val="22"/>
        </w:rPr>
        <w:fldChar w:fldCharType="begin"/>
      </w:r>
      <w:r>
        <w:rPr>
          <w:rFonts w:eastAsiaTheme="minorHAnsi" w:cs="Arial"/>
          <w:szCs w:val="22"/>
        </w:rPr>
        <w:instrText xml:space="preserve"> HYPERLINK "https://www.forgov.qld.gov.au/employment-policy-career-and-wellbeing/directives-policies-circulars-and-guidelines/managing-employee-health-safety-and-wellbeingindependent-medical-examinations-guideline" </w:instrText>
      </w:r>
      <w:r>
        <w:rPr>
          <w:rFonts w:eastAsiaTheme="minorHAnsi" w:cs="Arial"/>
          <w:szCs w:val="22"/>
        </w:rPr>
      </w:r>
      <w:r>
        <w:rPr>
          <w:rFonts w:eastAsiaTheme="minorHAnsi" w:cs="Arial"/>
          <w:szCs w:val="22"/>
        </w:rPr>
        <w:fldChar w:fldCharType="separate"/>
      </w:r>
      <w:r w:rsidR="00C458C9" w:rsidRPr="00AA480B">
        <w:rPr>
          <w:rStyle w:val="Hyperlink"/>
          <w:rFonts w:eastAsiaTheme="minorHAnsi" w:cs="Arial"/>
          <w:szCs w:val="22"/>
        </w:rPr>
        <w:t>Decision making checklist</w:t>
      </w:r>
    </w:p>
    <w:p w14:paraId="72B59469" w14:textId="0C02914D" w:rsidR="005D61D4" w:rsidRPr="003671EE" w:rsidRDefault="00AA480B" w:rsidP="00BB09A6">
      <w:pPr>
        <w:pStyle w:val="Bullets1"/>
        <w:rPr>
          <w:szCs w:val="22"/>
        </w:rPr>
      </w:pPr>
      <w:r>
        <w:rPr>
          <w:rFonts w:eastAsiaTheme="minorHAnsi" w:cs="Arial"/>
          <w:szCs w:val="22"/>
        </w:rPr>
        <w:fldChar w:fldCharType="end"/>
      </w:r>
      <w:r w:rsidR="00C458C9" w:rsidRPr="003671EE">
        <w:rPr>
          <w:szCs w:val="22"/>
        </w:rPr>
        <w:t xml:space="preserve">Superseded version of the directive: </w:t>
      </w:r>
      <w:hyperlink r:id="rId12" w:history="1">
        <w:r w:rsidR="00C458C9" w:rsidRPr="003574A5">
          <w:rPr>
            <w:rStyle w:val="Hyperlink"/>
            <w:rFonts w:eastAsiaTheme="minorHAnsi" w:cs="Arial"/>
            <w:color w:val="0563C1" w:themeColor="hyperlink"/>
            <w:szCs w:val="22"/>
            <w:u w:val="single"/>
          </w:rPr>
          <w:t>01/18</w:t>
        </w:r>
      </w:hyperlink>
    </w:p>
    <w:p w14:paraId="596826C6" w14:textId="45FFBDD6" w:rsidR="00C458C9" w:rsidRPr="003671EE" w:rsidRDefault="00AA480B" w:rsidP="00BB09A6">
      <w:pPr>
        <w:pStyle w:val="Bullets1"/>
        <w:rPr>
          <w:szCs w:val="22"/>
        </w:rPr>
      </w:pPr>
      <w:hyperlink r:id="rId13" w:history="1">
        <w:r w:rsidR="005D61D4" w:rsidRPr="003574A5">
          <w:rPr>
            <w:rStyle w:val="Hyperlink"/>
            <w:rFonts w:eastAsiaTheme="minorHAnsi" w:cs="Arial"/>
            <w:color w:val="0563C1" w:themeColor="hyperlink"/>
            <w:szCs w:val="22"/>
            <w:u w:val="single"/>
          </w:rPr>
          <w:t xml:space="preserve">Find </w:t>
        </w:r>
        <w:r w:rsidR="009216F1" w:rsidRPr="003574A5">
          <w:rPr>
            <w:rStyle w:val="Hyperlink"/>
            <w:rFonts w:eastAsiaTheme="minorHAnsi" w:cs="Arial"/>
            <w:color w:val="0563C1" w:themeColor="hyperlink"/>
            <w:szCs w:val="22"/>
            <w:u w:val="single"/>
          </w:rPr>
          <w:t>r</w:t>
        </w:r>
        <w:r w:rsidR="005D61D4" w:rsidRPr="003574A5">
          <w:rPr>
            <w:rStyle w:val="Hyperlink"/>
            <w:rFonts w:eastAsiaTheme="minorHAnsi" w:cs="Arial"/>
            <w:color w:val="0563C1" w:themeColor="hyperlink"/>
            <w:szCs w:val="22"/>
            <w:u w:val="single"/>
          </w:rPr>
          <w:t xml:space="preserve">esources about </w:t>
        </w:r>
        <w:r w:rsidR="00BD2660" w:rsidRPr="003574A5">
          <w:rPr>
            <w:rStyle w:val="Hyperlink"/>
            <w:rFonts w:eastAsiaTheme="minorHAnsi" w:cs="Arial"/>
            <w:color w:val="0563C1" w:themeColor="hyperlink"/>
            <w:szCs w:val="22"/>
            <w:u w:val="single"/>
          </w:rPr>
          <w:t>managing employees</w:t>
        </w:r>
      </w:hyperlink>
      <w:r w:rsidR="00BD2660" w:rsidRPr="003671EE">
        <w:rPr>
          <w:szCs w:val="22"/>
        </w:rPr>
        <w:t xml:space="preserve"> </w:t>
      </w:r>
      <w:r w:rsidR="00994893" w:rsidRPr="003671EE">
        <w:rPr>
          <w:szCs w:val="22"/>
        </w:rPr>
        <w:t>in the Queensland Government</w:t>
      </w:r>
    </w:p>
    <w:p w14:paraId="72A23995" w14:textId="52A76C4F" w:rsidR="00BC7E1B" w:rsidRPr="003671EE" w:rsidRDefault="00AA480B" w:rsidP="00BB09A6">
      <w:pPr>
        <w:pStyle w:val="Bullets1"/>
        <w:rPr>
          <w:szCs w:val="22"/>
        </w:rPr>
      </w:pPr>
      <w:hyperlink r:id="rId14" w:history="1">
        <w:r w:rsidR="00BC7E1B" w:rsidRPr="003574A5">
          <w:rPr>
            <w:rStyle w:val="Hyperlink"/>
            <w:rFonts w:eastAsiaTheme="minorHAnsi" w:cs="Arial"/>
            <w:color w:val="0563C1" w:themeColor="hyperlink"/>
            <w:szCs w:val="22"/>
            <w:u w:val="single"/>
          </w:rPr>
          <w:t>Role of a support person</w:t>
        </w:r>
      </w:hyperlink>
      <w:r w:rsidR="00BC7E1B" w:rsidRPr="003671EE">
        <w:rPr>
          <w:szCs w:val="22"/>
        </w:rPr>
        <w:t xml:space="preserve"> </w:t>
      </w:r>
      <w:r w:rsidR="00994893" w:rsidRPr="003671EE">
        <w:rPr>
          <w:szCs w:val="22"/>
        </w:rPr>
        <w:t>in the Queensland Government</w:t>
      </w:r>
    </w:p>
    <w:p w14:paraId="4911CEDF" w14:textId="2A5AFC9D" w:rsidR="00A70B70" w:rsidRPr="003671EE" w:rsidRDefault="00AA480B" w:rsidP="00BB09A6">
      <w:pPr>
        <w:pStyle w:val="Bullets1"/>
        <w:rPr>
          <w:szCs w:val="22"/>
        </w:rPr>
      </w:pPr>
      <w:hyperlink r:id="rId15" w:history="1">
        <w:r w:rsidR="009216F1" w:rsidRPr="003574A5">
          <w:rPr>
            <w:rStyle w:val="Hyperlink"/>
            <w:rFonts w:eastAsiaTheme="minorHAnsi" w:cs="Arial"/>
            <w:color w:val="0563C1" w:themeColor="hyperlink"/>
            <w:szCs w:val="22"/>
            <w:u w:val="single"/>
          </w:rPr>
          <w:t>A</w:t>
        </w:r>
        <w:r w:rsidR="000D1BD3" w:rsidRPr="003574A5">
          <w:rPr>
            <w:rStyle w:val="Hyperlink"/>
            <w:rFonts w:eastAsiaTheme="minorHAnsi" w:cs="Arial"/>
            <w:color w:val="0563C1" w:themeColor="hyperlink"/>
            <w:szCs w:val="22"/>
            <w:u w:val="single"/>
          </w:rPr>
          <w:t>ppeals directive</w:t>
        </w:r>
      </w:hyperlink>
      <w:r w:rsidR="000D1BD3" w:rsidRPr="003671EE">
        <w:rPr>
          <w:szCs w:val="22"/>
        </w:rPr>
        <w:t xml:space="preserve"> and </w:t>
      </w:r>
      <w:r w:rsidR="00A70B70" w:rsidRPr="003671EE">
        <w:rPr>
          <w:szCs w:val="22"/>
        </w:rPr>
        <w:t xml:space="preserve">QIRC information about </w:t>
      </w:r>
      <w:hyperlink r:id="rId16" w:history="1">
        <w:r w:rsidR="00A70B70" w:rsidRPr="003574A5">
          <w:rPr>
            <w:rStyle w:val="Hyperlink"/>
            <w:rFonts w:eastAsiaTheme="minorHAnsi" w:cs="Arial"/>
            <w:color w:val="0563C1" w:themeColor="hyperlink"/>
            <w:szCs w:val="22"/>
            <w:u w:val="single"/>
          </w:rPr>
          <w:t>Public Service Appeals</w:t>
        </w:r>
      </w:hyperlink>
      <w:bookmarkEnd w:id="4"/>
    </w:p>
    <w:sectPr w:rsidR="00A70B70" w:rsidRPr="003671EE" w:rsidSect="003574A5">
      <w:headerReference w:type="default" r:id="rId17"/>
      <w:footerReference w:type="even" r:id="rId18"/>
      <w:footerReference w:type="default" r:id="rId19"/>
      <w:headerReference w:type="first" r:id="rId20"/>
      <w:footerReference w:type="first" r:id="rId21"/>
      <w:pgSz w:w="11900" w:h="16840"/>
      <w:pgMar w:top="1701" w:right="1268" w:bottom="170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492D" w14:textId="77777777" w:rsidR="00AC7989" w:rsidRDefault="00AC7989">
      <w:r>
        <w:separator/>
      </w:r>
    </w:p>
  </w:endnote>
  <w:endnote w:type="continuationSeparator" w:id="0">
    <w:p w14:paraId="7ED460A7" w14:textId="77777777" w:rsidR="00AC7989" w:rsidRDefault="00AC7989">
      <w:r>
        <w:continuationSeparator/>
      </w:r>
    </w:p>
  </w:endnote>
  <w:endnote w:type="continuationNotice" w:id="1">
    <w:p w14:paraId="1BE691BF" w14:textId="77777777" w:rsidR="00AC7989" w:rsidRDefault="00AC7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7898693"/>
      <w:docPartObj>
        <w:docPartGallery w:val="Page Numbers (Bottom of Page)"/>
        <w:docPartUnique/>
      </w:docPartObj>
    </w:sdtPr>
    <w:sdtEndPr>
      <w:rPr>
        <w:rStyle w:val="PageNumber"/>
      </w:rPr>
    </w:sdtEndPr>
    <w:sdtContent>
      <w:p w14:paraId="55CE5051" w14:textId="77777777" w:rsidR="00D11FC6" w:rsidRDefault="00D11FC6" w:rsidP="00495D1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39979728"/>
      <w:docPartObj>
        <w:docPartGallery w:val="Page Numbers (Bottom of Page)"/>
        <w:docPartUnique/>
      </w:docPartObj>
    </w:sdtPr>
    <w:sdtEndPr>
      <w:rPr>
        <w:rStyle w:val="PageNumber"/>
      </w:rPr>
    </w:sdtEndPr>
    <w:sdtContent>
      <w:p w14:paraId="66EC204B" w14:textId="77777777" w:rsidR="00D11FC6" w:rsidRDefault="00D11FC6" w:rsidP="00495D1B">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9FDA88" w14:textId="77777777" w:rsidR="00D11FC6" w:rsidRDefault="00D11FC6" w:rsidP="00495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07A6D"/>
        <w:sz w:val="22"/>
        <w:szCs w:val="22"/>
      </w:rPr>
      <w:id w:val="-1431586383"/>
      <w:docPartObj>
        <w:docPartGallery w:val="Page Numbers (Bottom of Page)"/>
        <w:docPartUnique/>
      </w:docPartObj>
    </w:sdtPr>
    <w:sdtEndPr>
      <w:rPr>
        <w:rStyle w:val="PageNumber"/>
      </w:rPr>
    </w:sdtEndPr>
    <w:sdtContent>
      <w:p w14:paraId="27EA316F" w14:textId="77777777" w:rsidR="00D11FC6" w:rsidRPr="00007EFA" w:rsidRDefault="00D11FC6" w:rsidP="00495D1B">
        <w:pPr>
          <w:pStyle w:val="Footer"/>
          <w:framePr w:wrap="none" w:vAnchor="text" w:hAnchor="page" w:x="1141" w:y="15"/>
          <w:rPr>
            <w:rStyle w:val="PageNumber"/>
            <w:rFonts w:ascii="Arial" w:hAnsi="Arial" w:cs="Arial"/>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2</w:t>
        </w:r>
        <w:r w:rsidRPr="00EC07EB">
          <w:rPr>
            <w:rStyle w:val="PageNumber"/>
            <w:rFonts w:ascii="Arial" w:hAnsi="Arial" w:cs="Arial"/>
            <w:b/>
            <w:bCs/>
            <w:color w:val="007A6D"/>
            <w:sz w:val="22"/>
            <w:szCs w:val="22"/>
          </w:rPr>
          <w:fldChar w:fldCharType="end"/>
        </w:r>
      </w:p>
    </w:sdtContent>
  </w:sdt>
  <w:p w14:paraId="5E772EF0" w14:textId="574B2D89" w:rsidR="00D11FC6" w:rsidRPr="00D3268C" w:rsidRDefault="009D1C9A" w:rsidP="00994893">
    <w:pPr>
      <w:pStyle w:val="Footer"/>
      <w:ind w:left="-284" w:right="360"/>
      <w:rPr>
        <w:rFonts w:ascii="Arial" w:hAnsi="Arial" w:cs="Arial"/>
        <w:color w:val="007A6D"/>
        <w:sz w:val="22"/>
        <w:szCs w:val="22"/>
      </w:rPr>
    </w:pPr>
    <w:r>
      <w:rPr>
        <w:rFonts w:ascii="Arial" w:hAnsi="Arial" w:cs="Arial"/>
        <w:color w:val="007A6D"/>
        <w:sz w:val="22"/>
        <w:szCs w:val="22"/>
      </w:rPr>
      <w:t xml:space="preserve">  </w:t>
    </w:r>
    <w:proofErr w:type="gramStart"/>
    <w:r w:rsidR="00D3268C" w:rsidRPr="00D3268C">
      <w:rPr>
        <w:rFonts w:ascii="Arial" w:hAnsi="Arial" w:cs="Arial"/>
        <w:color w:val="007A6D"/>
        <w:sz w:val="22"/>
        <w:szCs w:val="22"/>
      </w:rPr>
      <w:t>|  Directive</w:t>
    </w:r>
    <w:proofErr w:type="gramEnd"/>
    <w:r w:rsidR="00D3268C" w:rsidRPr="00D3268C">
      <w:rPr>
        <w:rFonts w:ascii="Arial" w:hAnsi="Arial" w:cs="Arial"/>
        <w:color w:val="007A6D"/>
        <w:sz w:val="22"/>
        <w:szCs w:val="22"/>
      </w:rPr>
      <w:t xml:space="preserve"> 10/20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7CD6" w14:textId="77777777" w:rsidR="00D11FC6" w:rsidRPr="00EC07EB" w:rsidRDefault="00D11FC6" w:rsidP="00495D1B">
    <w:pPr>
      <w:pStyle w:val="Footer"/>
      <w:framePr w:wrap="none" w:vAnchor="text" w:hAnchor="page" w:x="869" w:y="15"/>
      <w:rPr>
        <w:rStyle w:val="PageNumber"/>
        <w:rFonts w:ascii="Arial" w:hAnsi="Arial" w:cs="Arial"/>
        <w:b/>
        <w:bCs/>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1</w:t>
    </w:r>
    <w:r w:rsidRPr="00EC07EB">
      <w:rPr>
        <w:rStyle w:val="PageNumber"/>
        <w:rFonts w:ascii="Arial" w:hAnsi="Arial" w:cs="Arial"/>
        <w:b/>
        <w:bCs/>
        <w:color w:val="007A6D"/>
        <w:sz w:val="22"/>
        <w:szCs w:val="22"/>
      </w:rPr>
      <w:fldChar w:fldCharType="end"/>
    </w:r>
  </w:p>
  <w:p w14:paraId="54420FA2" w14:textId="64A204AC" w:rsidR="00D11FC6" w:rsidRPr="00007EFA" w:rsidRDefault="009D1C9A" w:rsidP="00495D1B">
    <w:pPr>
      <w:pStyle w:val="Footer"/>
      <w:ind w:left="-567"/>
      <w:rPr>
        <w:rFonts w:ascii="Arial" w:hAnsi="Arial" w:cs="Arial"/>
        <w:color w:val="007A6D"/>
        <w:sz w:val="22"/>
        <w:szCs w:val="22"/>
      </w:rPr>
    </w:pPr>
    <w:bookmarkStart w:id="5" w:name="_Hlk51665182"/>
    <w:bookmarkStart w:id="6" w:name="_Hlk51665183"/>
    <w:r>
      <w:rPr>
        <w:rFonts w:ascii="Arial" w:hAnsi="Arial" w:cs="Arial"/>
        <w:color w:val="007A6D"/>
        <w:sz w:val="22"/>
        <w:szCs w:val="22"/>
      </w:rPr>
      <w:t xml:space="preserve">  </w:t>
    </w:r>
    <w:r w:rsidR="00D11FC6" w:rsidRPr="003671EE">
      <w:rPr>
        <w:rFonts w:ascii="Arial" w:hAnsi="Arial" w:cs="Arial"/>
        <w:color w:val="007A6D"/>
        <w:sz w:val="22"/>
        <w:szCs w:val="22"/>
      </w:rPr>
      <w:t xml:space="preserve">|   </w:t>
    </w:r>
    <w:r w:rsidR="00DB3168" w:rsidRPr="003671EE">
      <w:rPr>
        <w:rFonts w:ascii="Arial" w:hAnsi="Arial" w:cs="Arial"/>
        <w:color w:val="007A6D"/>
        <w:sz w:val="22"/>
        <w:szCs w:val="22"/>
      </w:rPr>
      <w:t>Directive</w:t>
    </w:r>
    <w:r w:rsidR="00994893" w:rsidRPr="003671EE">
      <w:rPr>
        <w:rFonts w:ascii="Arial" w:hAnsi="Arial" w:cs="Arial"/>
        <w:color w:val="007A6D"/>
        <w:sz w:val="22"/>
        <w:szCs w:val="22"/>
      </w:rPr>
      <w:t xml:space="preserve"> </w:t>
    </w:r>
    <w:r w:rsidR="00D3268C">
      <w:rPr>
        <w:rFonts w:ascii="Arial" w:hAnsi="Arial" w:cs="Arial"/>
        <w:color w:val="007A6D"/>
        <w:sz w:val="22"/>
        <w:szCs w:val="22"/>
      </w:rPr>
      <w:t>10</w:t>
    </w:r>
    <w:r w:rsidR="00994893" w:rsidRPr="003671EE">
      <w:rPr>
        <w:rFonts w:ascii="Arial" w:hAnsi="Arial" w:cs="Arial"/>
        <w:color w:val="007A6D"/>
        <w:sz w:val="22"/>
        <w:szCs w:val="22"/>
      </w:rPr>
      <w:t>/20</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E09C" w14:textId="77777777" w:rsidR="00AC7989" w:rsidRDefault="00AC7989">
      <w:r>
        <w:separator/>
      </w:r>
    </w:p>
  </w:footnote>
  <w:footnote w:type="continuationSeparator" w:id="0">
    <w:p w14:paraId="387F6B78" w14:textId="77777777" w:rsidR="00AC7989" w:rsidRDefault="00AC7989">
      <w:r>
        <w:continuationSeparator/>
      </w:r>
    </w:p>
  </w:footnote>
  <w:footnote w:type="continuationNotice" w:id="1">
    <w:p w14:paraId="4CD34E2B" w14:textId="77777777" w:rsidR="00AC7989" w:rsidRDefault="00AC79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8E4F" w14:textId="44420E0B" w:rsidR="00D11FC6" w:rsidRDefault="009D1C9A">
    <w:pPr>
      <w:pStyle w:val="Header"/>
    </w:pPr>
    <w:r>
      <w:rPr>
        <w:noProof/>
      </w:rPr>
      <w:drawing>
        <wp:anchor distT="0" distB="0" distL="114300" distR="114300" simplePos="0" relativeHeight="251657215" behindDoc="1" locked="1" layoutInCell="1" allowOverlap="1" wp14:anchorId="125EB670" wp14:editId="6787151E">
          <wp:simplePos x="0" y="0"/>
          <wp:positionH relativeFrom="page">
            <wp:align>right</wp:align>
          </wp:positionH>
          <wp:positionV relativeFrom="page">
            <wp:align>top</wp:align>
          </wp:positionV>
          <wp:extent cx="7559675" cy="10695305"/>
          <wp:effectExtent l="0" t="0" r="0" b="0"/>
          <wp:wrapNone/>
          <wp:docPr id="11" name="Picture 1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PSC-Position-Description-Word-Template-Alteration---V0-05-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5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3B1F" w14:textId="355529D7" w:rsidR="00D11FC6" w:rsidRDefault="00D11FC6" w:rsidP="00495D1B">
    <w:pPr>
      <w:pStyle w:val="Header"/>
    </w:pPr>
    <w:r>
      <w:rPr>
        <w:noProof/>
      </w:rPr>
      <w:drawing>
        <wp:anchor distT="0" distB="0" distL="114300" distR="114300" simplePos="0" relativeHeight="251658241" behindDoc="1" locked="1" layoutInCell="1" allowOverlap="1" wp14:anchorId="34BF7AEA" wp14:editId="30DB3774">
          <wp:simplePos x="0" y="0"/>
          <wp:positionH relativeFrom="page">
            <wp:align>center</wp:align>
          </wp:positionH>
          <wp:positionV relativeFrom="page">
            <wp:align>top</wp:align>
          </wp:positionV>
          <wp:extent cx="7560000" cy="10695600"/>
          <wp:effectExtent l="0" t="0" r="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0---PSC-Position-Description-Word-Template-Alteration---V0-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E79"/>
    <w:multiLevelType w:val="hybridMultilevel"/>
    <w:tmpl w:val="ABE63CCE"/>
    <w:lvl w:ilvl="0" w:tplc="E8D86E5E">
      <w:start w:val="1"/>
      <w:numFmt w:val="bullet"/>
      <w:pStyle w:val="Bullets1"/>
      <w:lvlText w:val=""/>
      <w:lvlJc w:val="left"/>
      <w:pPr>
        <w:ind w:left="862" w:hanging="720"/>
      </w:pPr>
      <w:rPr>
        <w:rFonts w:ascii="Symbol" w:hAnsi="Symbol" w:hint="default"/>
        <w:color w:val="60C3AD"/>
      </w:rPr>
    </w:lvl>
    <w:lvl w:ilvl="1" w:tplc="19C2AA84">
      <w:start w:val="1"/>
      <w:numFmt w:val="bullet"/>
      <w:pStyle w:val="Bullets2"/>
      <w:lvlText w:val="―"/>
      <w:lvlJc w:val="left"/>
      <w:pPr>
        <w:ind w:left="1080" w:hanging="360"/>
      </w:pPr>
      <w:rPr>
        <w:rFonts w:ascii="Arial Black" w:hAnsi="Arial Black" w:hint="default"/>
        <w:color w:val="4472C4"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D9630E"/>
    <w:multiLevelType w:val="multilevel"/>
    <w:tmpl w:val="0BC49AC6"/>
    <w:lvl w:ilvl="0">
      <w:start w:val="1"/>
      <w:numFmt w:val="decimal"/>
      <w:pStyle w:val="PSC-Heading2"/>
      <w:lvlText w:val="%1."/>
      <w:lvlJc w:val="left"/>
      <w:pPr>
        <w:ind w:left="0" w:firstLine="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1AC125F2"/>
    <w:multiLevelType w:val="multilevel"/>
    <w:tmpl w:val="5A0E21F6"/>
    <w:lvl w:ilvl="0">
      <w:start w:val="1"/>
      <w:numFmt w:val="decimal"/>
      <w:pStyle w:val="PSCBodycopynumbered"/>
      <w:lvlText w:val="%1.1"/>
      <w:lvlJc w:val="left"/>
      <w:pPr>
        <w:ind w:left="1149" w:hanging="432"/>
      </w:pPr>
      <w:rPr>
        <w:rFonts w:hint="default"/>
      </w:rPr>
    </w:lvl>
    <w:lvl w:ilvl="1">
      <w:start w:val="1"/>
      <w:numFmt w:val="decimal"/>
      <w:lvlText w:val="%1.%2"/>
      <w:lvlJc w:val="left"/>
      <w:pPr>
        <w:ind w:left="1293" w:hanging="576"/>
      </w:pPr>
    </w:lvl>
    <w:lvl w:ilvl="2">
      <w:start w:val="1"/>
      <w:numFmt w:val="decimal"/>
      <w:pStyle w:val="Heading3"/>
      <w:lvlText w:val="%1.%2.%3"/>
      <w:lvlJc w:val="left"/>
      <w:pPr>
        <w:ind w:left="1437" w:hanging="720"/>
      </w:pPr>
      <w:rPr>
        <w:rFonts w:hint="default"/>
      </w:rPr>
    </w:lvl>
    <w:lvl w:ilvl="3">
      <w:start w:val="1"/>
      <w:numFmt w:val="decimal"/>
      <w:lvlText w:val="%1.%2.%3.%4"/>
      <w:lvlJc w:val="left"/>
      <w:pPr>
        <w:ind w:left="1581" w:hanging="864"/>
      </w:pPr>
      <w:rPr>
        <w:rFonts w:hint="default"/>
      </w:rPr>
    </w:lvl>
    <w:lvl w:ilvl="4">
      <w:start w:val="1"/>
      <w:numFmt w:val="decimal"/>
      <w:pStyle w:val="Heading5"/>
      <w:lvlText w:val="%1.%2.%3.%4.%5"/>
      <w:lvlJc w:val="left"/>
      <w:pPr>
        <w:ind w:left="1725" w:hanging="1008"/>
      </w:pPr>
      <w:rPr>
        <w:rFonts w:hint="default"/>
      </w:rPr>
    </w:lvl>
    <w:lvl w:ilvl="5">
      <w:start w:val="1"/>
      <w:numFmt w:val="decimal"/>
      <w:lvlText w:val="%1.%2.%3.%4.%5.%6"/>
      <w:lvlJc w:val="left"/>
      <w:pPr>
        <w:ind w:left="1869" w:hanging="1152"/>
      </w:pPr>
      <w:rPr>
        <w:rFonts w:hint="default"/>
      </w:rPr>
    </w:lvl>
    <w:lvl w:ilvl="6">
      <w:start w:val="1"/>
      <w:numFmt w:val="decimal"/>
      <w:pStyle w:val="Heading7"/>
      <w:lvlText w:val="%1.%2.%3.%4.%5.%6.%7"/>
      <w:lvlJc w:val="left"/>
      <w:pPr>
        <w:ind w:left="2013" w:hanging="1296"/>
      </w:pPr>
      <w:rPr>
        <w:rFonts w:hint="default"/>
      </w:rPr>
    </w:lvl>
    <w:lvl w:ilvl="7">
      <w:start w:val="1"/>
      <w:numFmt w:val="decimal"/>
      <w:pStyle w:val="Heading8"/>
      <w:lvlText w:val="%1.%2.%3.%4.%5.%6.%7.%8"/>
      <w:lvlJc w:val="left"/>
      <w:pPr>
        <w:ind w:left="2157" w:hanging="1440"/>
      </w:pPr>
      <w:rPr>
        <w:rFonts w:hint="default"/>
      </w:rPr>
    </w:lvl>
    <w:lvl w:ilvl="8">
      <w:start w:val="1"/>
      <w:numFmt w:val="decimal"/>
      <w:pStyle w:val="Heading9"/>
      <w:lvlText w:val="%1.%2.%3.%4.%5.%6.%7.%8.%9"/>
      <w:lvlJc w:val="left"/>
      <w:pPr>
        <w:ind w:left="2301" w:hanging="1584"/>
      </w:pPr>
      <w:rPr>
        <w:rFonts w:hint="default"/>
      </w:rPr>
    </w:lvl>
  </w:abstractNum>
  <w:abstractNum w:abstractNumId="3" w15:restartNumberingAfterBreak="0">
    <w:nsid w:val="1BF77C7A"/>
    <w:multiLevelType w:val="hybridMultilevel"/>
    <w:tmpl w:val="CEC291B0"/>
    <w:lvl w:ilvl="0" w:tplc="7518835C">
      <w:start w:val="1"/>
      <w:numFmt w:val="bullet"/>
      <w:pStyle w:val="PSC-Bullets2"/>
      <w:lvlText w:val="·"/>
      <w:lvlJc w:val="left"/>
      <w:pPr>
        <w:ind w:left="720" w:hanging="360"/>
      </w:pPr>
      <w:rPr>
        <w:rFonts w:ascii="Symbol" w:hAnsi="Symbol" w:cs="Symbol" w:hint="default"/>
        <w:b/>
        <w:i w:val="0"/>
        <w:color w:val="60C3A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DC55611"/>
    <w:multiLevelType w:val="hybridMultilevel"/>
    <w:tmpl w:val="4150F934"/>
    <w:lvl w:ilvl="0" w:tplc="EF043388">
      <w:start w:val="1"/>
      <w:numFmt w:val="bullet"/>
      <w:pStyle w:val="PSC-Bullets3"/>
      <w:lvlText w:val="–"/>
      <w:lvlJc w:val="left"/>
      <w:pPr>
        <w:tabs>
          <w:tab w:val="num" w:pos="1418"/>
        </w:tabs>
        <w:ind w:left="1077" w:hanging="357"/>
      </w:pPr>
      <w:rPr>
        <w:rFonts w:ascii="Arial Black" w:hAnsi="Arial Black" w:cs="Symbol" w:hint="default"/>
        <w:b/>
        <w:i w:val="0"/>
        <w:color w:val="60C3AD"/>
        <w:w w:val="100"/>
        <w:kern w:val="0"/>
        <w14:cntxtAlts w14: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cs="Wingdings" w:hint="default"/>
      </w:rPr>
    </w:lvl>
    <w:lvl w:ilvl="3" w:tplc="08090001" w:tentative="1">
      <w:start w:val="1"/>
      <w:numFmt w:val="bullet"/>
      <w:lvlText w:val=""/>
      <w:lvlJc w:val="left"/>
      <w:pPr>
        <w:ind w:left="3234" w:hanging="360"/>
      </w:pPr>
      <w:rPr>
        <w:rFonts w:ascii="Symbol" w:hAnsi="Symbol" w:cs="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cs="Wingdings" w:hint="default"/>
      </w:rPr>
    </w:lvl>
    <w:lvl w:ilvl="6" w:tplc="08090001" w:tentative="1">
      <w:start w:val="1"/>
      <w:numFmt w:val="bullet"/>
      <w:lvlText w:val=""/>
      <w:lvlJc w:val="left"/>
      <w:pPr>
        <w:ind w:left="5394" w:hanging="360"/>
      </w:pPr>
      <w:rPr>
        <w:rFonts w:ascii="Symbol" w:hAnsi="Symbol" w:cs="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cs="Wingdings" w:hint="default"/>
      </w:rPr>
    </w:lvl>
  </w:abstractNum>
  <w:abstractNum w:abstractNumId="5" w15:restartNumberingAfterBreak="0">
    <w:nsid w:val="2A98537D"/>
    <w:multiLevelType w:val="multilevel"/>
    <w:tmpl w:val="7E8059B0"/>
    <w:lvl w:ilvl="0">
      <w:start w:val="1"/>
      <w:numFmt w:val="decimal"/>
      <w:lvlText w:val="%1."/>
      <w:lvlJc w:val="left"/>
      <w:pPr>
        <w:ind w:left="720" w:hanging="360"/>
      </w:pPr>
      <w:rPr>
        <w:rFonts w:hint="default"/>
      </w:rPr>
    </w:lvl>
    <w:lvl w:ilvl="1">
      <w:start w:val="1"/>
      <w:numFmt w:val="decimal"/>
      <w:lvlText w:val="%1.%2"/>
      <w:lvlJc w:val="left"/>
      <w:pPr>
        <w:ind w:left="425" w:hanging="425"/>
      </w:pPr>
      <w:rPr>
        <w:rFonts w:ascii="Arial" w:hAnsi="Arial" w:cs="Arial" w:hint="default"/>
      </w:rPr>
    </w:lvl>
    <w:lvl w:ilvl="2">
      <w:start w:val="1"/>
      <w:numFmt w:val="lowerLetter"/>
      <w:lvlText w:val="(%3)"/>
      <w:lvlJc w:val="left"/>
      <w:pPr>
        <w:ind w:left="851" w:hanging="426"/>
      </w:pPr>
      <w:rPr>
        <w:rFonts w:hint="default"/>
      </w:rPr>
    </w:lvl>
    <w:lvl w:ilvl="3">
      <w:start w:val="1"/>
      <w:numFmt w:val="lowerRoman"/>
      <w:lvlText w:val="(%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6" w15:restartNumberingAfterBreak="0">
    <w:nsid w:val="2E3C7297"/>
    <w:multiLevelType w:val="hybridMultilevel"/>
    <w:tmpl w:val="7A8816EE"/>
    <w:lvl w:ilvl="0" w:tplc="145EDA54">
      <w:start w:val="1"/>
      <w:numFmt w:val="lowerLetter"/>
      <w:lvlText w:val="(%1)"/>
      <w:lvlJc w:val="left"/>
      <w:pPr>
        <w:ind w:left="720" w:hanging="360"/>
      </w:pPr>
      <w:rPr>
        <w:rFonts w:asciiTheme="minorHAnsi" w:eastAsia="Times New Roman"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3F171254"/>
    <w:multiLevelType w:val="hybridMultilevel"/>
    <w:tmpl w:val="BD702D1E"/>
    <w:lvl w:ilvl="0" w:tplc="21B2F95C">
      <w:start w:val="1"/>
      <w:numFmt w:val="decimal"/>
      <w:lvlText w:val="%1."/>
      <w:lvlJc w:val="left"/>
      <w:pPr>
        <w:ind w:left="720" w:hanging="360"/>
      </w:pPr>
    </w:lvl>
    <w:lvl w:ilvl="1" w:tplc="E20EDF30">
      <w:start w:val="1"/>
      <w:numFmt w:val="lowerLetter"/>
      <w:lvlText w:val="%2."/>
      <w:lvlJc w:val="left"/>
      <w:pPr>
        <w:ind w:left="1440" w:hanging="360"/>
      </w:pPr>
    </w:lvl>
    <w:lvl w:ilvl="2" w:tplc="ADF89268">
      <w:start w:val="1"/>
      <w:numFmt w:val="lowerRoman"/>
      <w:lvlText w:val="%3."/>
      <w:lvlJc w:val="right"/>
      <w:pPr>
        <w:ind w:left="2160" w:hanging="180"/>
      </w:pPr>
    </w:lvl>
    <w:lvl w:ilvl="3" w:tplc="4C14E968">
      <w:start w:val="1"/>
      <w:numFmt w:val="decimal"/>
      <w:lvlText w:val="%4."/>
      <w:lvlJc w:val="left"/>
      <w:pPr>
        <w:ind w:left="2880" w:hanging="360"/>
      </w:pPr>
    </w:lvl>
    <w:lvl w:ilvl="4" w:tplc="ECB0AD56">
      <w:start w:val="1"/>
      <w:numFmt w:val="lowerLetter"/>
      <w:lvlText w:val="%5."/>
      <w:lvlJc w:val="left"/>
      <w:pPr>
        <w:ind w:left="3600" w:hanging="360"/>
      </w:pPr>
    </w:lvl>
    <w:lvl w:ilvl="5" w:tplc="6C08E99E">
      <w:start w:val="1"/>
      <w:numFmt w:val="lowerRoman"/>
      <w:lvlText w:val="%6."/>
      <w:lvlJc w:val="right"/>
      <w:pPr>
        <w:ind w:left="4320" w:hanging="180"/>
      </w:pPr>
    </w:lvl>
    <w:lvl w:ilvl="6" w:tplc="F8FC85FC">
      <w:start w:val="1"/>
      <w:numFmt w:val="decimal"/>
      <w:lvlText w:val="%7."/>
      <w:lvlJc w:val="left"/>
      <w:pPr>
        <w:ind w:left="5040" w:hanging="360"/>
      </w:pPr>
    </w:lvl>
    <w:lvl w:ilvl="7" w:tplc="B366E302">
      <w:start w:val="1"/>
      <w:numFmt w:val="lowerLetter"/>
      <w:lvlText w:val="%8."/>
      <w:lvlJc w:val="left"/>
      <w:pPr>
        <w:ind w:left="5760" w:hanging="360"/>
      </w:pPr>
    </w:lvl>
    <w:lvl w:ilvl="8" w:tplc="76C86A8C">
      <w:start w:val="1"/>
      <w:numFmt w:val="lowerRoman"/>
      <w:lvlText w:val="%9."/>
      <w:lvlJc w:val="right"/>
      <w:pPr>
        <w:ind w:left="6480" w:hanging="180"/>
      </w:pPr>
    </w:lvl>
  </w:abstractNum>
  <w:abstractNum w:abstractNumId="9" w15:restartNumberingAfterBreak="0">
    <w:nsid w:val="41563C18"/>
    <w:multiLevelType w:val="multilevel"/>
    <w:tmpl w:val="0809001D"/>
    <w:styleLink w:val="Heading2Ind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E91CC4"/>
    <w:multiLevelType w:val="hybridMultilevel"/>
    <w:tmpl w:val="3A02AF5C"/>
    <w:lvl w:ilvl="0" w:tplc="D66C7820">
      <w:start w:val="1"/>
      <w:numFmt w:val="decimal"/>
      <w:pStyle w:val="PSC-Bullet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AC02CE"/>
    <w:multiLevelType w:val="hybridMultilevel"/>
    <w:tmpl w:val="FFFFFFFF"/>
    <w:lvl w:ilvl="0" w:tplc="B52AA3F0">
      <w:start w:val="1"/>
      <w:numFmt w:val="decimal"/>
      <w:lvlText w:val="%1."/>
      <w:lvlJc w:val="left"/>
      <w:pPr>
        <w:ind w:left="720" w:hanging="360"/>
      </w:pPr>
    </w:lvl>
    <w:lvl w:ilvl="1" w:tplc="D4262F68">
      <w:start w:val="1"/>
      <w:numFmt w:val="lowerLetter"/>
      <w:lvlText w:val="%2."/>
      <w:lvlJc w:val="left"/>
      <w:pPr>
        <w:ind w:left="1440" w:hanging="360"/>
      </w:pPr>
    </w:lvl>
    <w:lvl w:ilvl="2" w:tplc="FEFA692A">
      <w:start w:val="1"/>
      <w:numFmt w:val="lowerRoman"/>
      <w:lvlText w:val="%3."/>
      <w:lvlJc w:val="right"/>
      <w:pPr>
        <w:ind w:left="2160" w:hanging="180"/>
      </w:pPr>
    </w:lvl>
    <w:lvl w:ilvl="3" w:tplc="C80CF0BE">
      <w:start w:val="1"/>
      <w:numFmt w:val="decimal"/>
      <w:lvlText w:val="%4."/>
      <w:lvlJc w:val="left"/>
      <w:pPr>
        <w:ind w:left="2880" w:hanging="360"/>
      </w:pPr>
    </w:lvl>
    <w:lvl w:ilvl="4" w:tplc="2EE8F498">
      <w:start w:val="1"/>
      <w:numFmt w:val="lowerLetter"/>
      <w:lvlText w:val="%5."/>
      <w:lvlJc w:val="left"/>
      <w:pPr>
        <w:ind w:left="3600" w:hanging="360"/>
      </w:pPr>
    </w:lvl>
    <w:lvl w:ilvl="5" w:tplc="11AC36A6">
      <w:start w:val="1"/>
      <w:numFmt w:val="lowerRoman"/>
      <w:lvlText w:val="%6."/>
      <w:lvlJc w:val="right"/>
      <w:pPr>
        <w:ind w:left="4320" w:hanging="180"/>
      </w:pPr>
    </w:lvl>
    <w:lvl w:ilvl="6" w:tplc="0D0A8248">
      <w:start w:val="1"/>
      <w:numFmt w:val="decimal"/>
      <w:lvlText w:val="%7."/>
      <w:lvlJc w:val="left"/>
      <w:pPr>
        <w:ind w:left="5040" w:hanging="360"/>
      </w:pPr>
    </w:lvl>
    <w:lvl w:ilvl="7" w:tplc="7DDCDC34">
      <w:start w:val="1"/>
      <w:numFmt w:val="lowerLetter"/>
      <w:lvlText w:val="%8."/>
      <w:lvlJc w:val="left"/>
      <w:pPr>
        <w:ind w:left="5760" w:hanging="360"/>
      </w:pPr>
    </w:lvl>
    <w:lvl w:ilvl="8" w:tplc="31969AD6">
      <w:start w:val="1"/>
      <w:numFmt w:val="lowerRoman"/>
      <w:lvlText w:val="%9."/>
      <w:lvlJc w:val="right"/>
      <w:pPr>
        <w:ind w:left="6480" w:hanging="180"/>
      </w:pPr>
    </w:lvl>
  </w:abstractNum>
  <w:abstractNum w:abstractNumId="13" w15:restartNumberingAfterBreak="0">
    <w:nsid w:val="79225D6F"/>
    <w:multiLevelType w:val="multilevel"/>
    <w:tmpl w:val="34EA852C"/>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rPr>
    </w:lvl>
    <w:lvl w:ilvl="2">
      <w:start w:val="1"/>
      <w:numFmt w:val="lowerLetter"/>
      <w:lvlText w:val="(%3)"/>
      <w:lvlJc w:val="left"/>
      <w:pPr>
        <w:ind w:left="1080" w:hanging="720"/>
      </w:pPr>
      <w:rPr>
        <w:rFonts w:hint="default"/>
      </w:rPr>
    </w:lvl>
    <w:lvl w:ilvl="3">
      <w:start w:val="1"/>
      <w:numFmt w:val="lowerRoman"/>
      <w:lvlText w:val="(%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num w:numId="1" w16cid:durableId="1399130437">
    <w:abstractNumId w:val="8"/>
  </w:num>
  <w:num w:numId="2" w16cid:durableId="2009015931">
    <w:abstractNumId w:val="11"/>
  </w:num>
  <w:num w:numId="3" w16cid:durableId="1847204794">
    <w:abstractNumId w:val="3"/>
  </w:num>
  <w:num w:numId="4" w16cid:durableId="120002327">
    <w:abstractNumId w:val="4"/>
  </w:num>
  <w:num w:numId="5" w16cid:durableId="1082530751">
    <w:abstractNumId w:val="0"/>
  </w:num>
  <w:num w:numId="6" w16cid:durableId="1014652453">
    <w:abstractNumId w:val="13"/>
  </w:num>
  <w:num w:numId="7" w16cid:durableId="895119176">
    <w:abstractNumId w:val="2"/>
  </w:num>
  <w:num w:numId="8" w16cid:durableId="1050422584">
    <w:abstractNumId w:val="9"/>
  </w:num>
  <w:num w:numId="9" w16cid:durableId="807404644">
    <w:abstractNumId w:val="10"/>
  </w:num>
  <w:num w:numId="10" w16cid:durableId="756170645">
    <w:abstractNumId w:val="1"/>
  </w:num>
  <w:num w:numId="11" w16cid:durableId="199631088">
    <w:abstractNumId w:val="7"/>
  </w:num>
  <w:num w:numId="12" w16cid:durableId="1495610218">
    <w:abstractNumId w:val="7"/>
  </w:num>
  <w:num w:numId="13" w16cid:durableId="1860200418">
    <w:abstractNumId w:val="7"/>
  </w:num>
  <w:num w:numId="14" w16cid:durableId="745149698">
    <w:abstractNumId w:val="12"/>
  </w:num>
  <w:num w:numId="15" w16cid:durableId="895047976">
    <w:abstractNumId w:val="10"/>
  </w:num>
  <w:num w:numId="16" w16cid:durableId="302347582">
    <w:abstractNumId w:val="10"/>
  </w:num>
  <w:num w:numId="17" w16cid:durableId="1525482949">
    <w:abstractNumId w:val="10"/>
  </w:num>
  <w:num w:numId="18" w16cid:durableId="116337716">
    <w:abstractNumId w:val="10"/>
  </w:num>
  <w:num w:numId="19" w16cid:durableId="964460446">
    <w:abstractNumId w:val="10"/>
  </w:num>
  <w:num w:numId="20" w16cid:durableId="962535877">
    <w:abstractNumId w:val="10"/>
  </w:num>
  <w:num w:numId="21" w16cid:durableId="875509965">
    <w:abstractNumId w:val="5"/>
  </w:num>
  <w:num w:numId="22" w16cid:durableId="157964283">
    <w:abstractNumId w:val="10"/>
  </w:num>
  <w:num w:numId="23" w16cid:durableId="1044333792">
    <w:abstractNumId w:val="10"/>
  </w:num>
  <w:num w:numId="24" w16cid:durableId="100304486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47"/>
    <w:rsid w:val="000148DE"/>
    <w:rsid w:val="00025F46"/>
    <w:rsid w:val="00027E95"/>
    <w:rsid w:val="00032106"/>
    <w:rsid w:val="000417AC"/>
    <w:rsid w:val="000537BC"/>
    <w:rsid w:val="00074F80"/>
    <w:rsid w:val="00091BCF"/>
    <w:rsid w:val="000933EA"/>
    <w:rsid w:val="000A0CE2"/>
    <w:rsid w:val="000A7F97"/>
    <w:rsid w:val="000B37B6"/>
    <w:rsid w:val="000D1BD3"/>
    <w:rsid w:val="000D4456"/>
    <w:rsid w:val="000E1F60"/>
    <w:rsid w:val="000E674B"/>
    <w:rsid w:val="000F694F"/>
    <w:rsid w:val="00100FA6"/>
    <w:rsid w:val="00103F7B"/>
    <w:rsid w:val="00104112"/>
    <w:rsid w:val="00130CF7"/>
    <w:rsid w:val="00144A89"/>
    <w:rsid w:val="00145882"/>
    <w:rsid w:val="001500E4"/>
    <w:rsid w:val="0015032C"/>
    <w:rsid w:val="0015587D"/>
    <w:rsid w:val="00161B40"/>
    <w:rsid w:val="00166CCC"/>
    <w:rsid w:val="001778D8"/>
    <w:rsid w:val="00185117"/>
    <w:rsid w:val="00187BDF"/>
    <w:rsid w:val="00192B52"/>
    <w:rsid w:val="001A5A3F"/>
    <w:rsid w:val="001B465F"/>
    <w:rsid w:val="001D45C0"/>
    <w:rsid w:val="001D665C"/>
    <w:rsid w:val="001E130A"/>
    <w:rsid w:val="001E1664"/>
    <w:rsid w:val="001E5EC6"/>
    <w:rsid w:val="001F1201"/>
    <w:rsid w:val="001F6C40"/>
    <w:rsid w:val="00200984"/>
    <w:rsid w:val="002049B0"/>
    <w:rsid w:val="00226CFE"/>
    <w:rsid w:val="00242D1C"/>
    <w:rsid w:val="00261269"/>
    <w:rsid w:val="0026551D"/>
    <w:rsid w:val="00270B10"/>
    <w:rsid w:val="00282488"/>
    <w:rsid w:val="00287886"/>
    <w:rsid w:val="00293805"/>
    <w:rsid w:val="0029485F"/>
    <w:rsid w:val="002C059D"/>
    <w:rsid w:val="002C4B94"/>
    <w:rsid w:val="002C5A1D"/>
    <w:rsid w:val="002D0AAF"/>
    <w:rsid w:val="002E00A9"/>
    <w:rsid w:val="002E0984"/>
    <w:rsid w:val="003009D1"/>
    <w:rsid w:val="00302B71"/>
    <w:rsid w:val="00310564"/>
    <w:rsid w:val="003227D2"/>
    <w:rsid w:val="00325474"/>
    <w:rsid w:val="003273AA"/>
    <w:rsid w:val="003356D1"/>
    <w:rsid w:val="00346DF8"/>
    <w:rsid w:val="00351EB8"/>
    <w:rsid w:val="00356935"/>
    <w:rsid w:val="003574A5"/>
    <w:rsid w:val="00361AB2"/>
    <w:rsid w:val="003671EE"/>
    <w:rsid w:val="00371B98"/>
    <w:rsid w:val="0037658C"/>
    <w:rsid w:val="00377C74"/>
    <w:rsid w:val="00380341"/>
    <w:rsid w:val="0038432F"/>
    <w:rsid w:val="003A57E8"/>
    <w:rsid w:val="003B1DEE"/>
    <w:rsid w:val="003C1B51"/>
    <w:rsid w:val="003C36C2"/>
    <w:rsid w:val="003C4629"/>
    <w:rsid w:val="003D05B0"/>
    <w:rsid w:val="003D4CB4"/>
    <w:rsid w:val="003E4E10"/>
    <w:rsid w:val="003F0C67"/>
    <w:rsid w:val="0041394D"/>
    <w:rsid w:val="00414E5F"/>
    <w:rsid w:val="0042006E"/>
    <w:rsid w:val="00422592"/>
    <w:rsid w:val="00447121"/>
    <w:rsid w:val="00453491"/>
    <w:rsid w:val="00460E74"/>
    <w:rsid w:val="00484601"/>
    <w:rsid w:val="00495D1B"/>
    <w:rsid w:val="004A6ABC"/>
    <w:rsid w:val="004A7228"/>
    <w:rsid w:val="004A7D13"/>
    <w:rsid w:val="004C5B2E"/>
    <w:rsid w:val="005175B9"/>
    <w:rsid w:val="00517AA4"/>
    <w:rsid w:val="005260BF"/>
    <w:rsid w:val="00526746"/>
    <w:rsid w:val="0052694E"/>
    <w:rsid w:val="00526B6B"/>
    <w:rsid w:val="00540A6D"/>
    <w:rsid w:val="00552023"/>
    <w:rsid w:val="00553096"/>
    <w:rsid w:val="00573784"/>
    <w:rsid w:val="00586166"/>
    <w:rsid w:val="00592E52"/>
    <w:rsid w:val="00594414"/>
    <w:rsid w:val="00596964"/>
    <w:rsid w:val="005A0331"/>
    <w:rsid w:val="005B47C1"/>
    <w:rsid w:val="005D47E0"/>
    <w:rsid w:val="005D61D4"/>
    <w:rsid w:val="005E1B84"/>
    <w:rsid w:val="005E6D2A"/>
    <w:rsid w:val="005F0320"/>
    <w:rsid w:val="005F04A9"/>
    <w:rsid w:val="00602043"/>
    <w:rsid w:val="006023B6"/>
    <w:rsid w:val="006059ED"/>
    <w:rsid w:val="00637C9F"/>
    <w:rsid w:val="006570E6"/>
    <w:rsid w:val="00666F73"/>
    <w:rsid w:val="006760F4"/>
    <w:rsid w:val="00697D2C"/>
    <w:rsid w:val="006B10F0"/>
    <w:rsid w:val="006C2B78"/>
    <w:rsid w:val="006C398A"/>
    <w:rsid w:val="006E0183"/>
    <w:rsid w:val="006E1364"/>
    <w:rsid w:val="006F16A3"/>
    <w:rsid w:val="006F19D0"/>
    <w:rsid w:val="007037E2"/>
    <w:rsid w:val="00725999"/>
    <w:rsid w:val="00733E8D"/>
    <w:rsid w:val="007360FD"/>
    <w:rsid w:val="007462F3"/>
    <w:rsid w:val="00761289"/>
    <w:rsid w:val="0076158C"/>
    <w:rsid w:val="00770F8A"/>
    <w:rsid w:val="00777BFF"/>
    <w:rsid w:val="0079033C"/>
    <w:rsid w:val="00795625"/>
    <w:rsid w:val="00796BE2"/>
    <w:rsid w:val="007A328D"/>
    <w:rsid w:val="007A42A6"/>
    <w:rsid w:val="007A5055"/>
    <w:rsid w:val="007C5CC9"/>
    <w:rsid w:val="007D0750"/>
    <w:rsid w:val="007D0E34"/>
    <w:rsid w:val="007D2352"/>
    <w:rsid w:val="007D46A8"/>
    <w:rsid w:val="007E593A"/>
    <w:rsid w:val="007E7CA1"/>
    <w:rsid w:val="007F398E"/>
    <w:rsid w:val="007F63CA"/>
    <w:rsid w:val="008050B5"/>
    <w:rsid w:val="00805A14"/>
    <w:rsid w:val="00814281"/>
    <w:rsid w:val="00823BDF"/>
    <w:rsid w:val="00833685"/>
    <w:rsid w:val="00834704"/>
    <w:rsid w:val="0083644F"/>
    <w:rsid w:val="0084055C"/>
    <w:rsid w:val="0084775E"/>
    <w:rsid w:val="0085351E"/>
    <w:rsid w:val="00863A8B"/>
    <w:rsid w:val="00864701"/>
    <w:rsid w:val="00865E5F"/>
    <w:rsid w:val="00870466"/>
    <w:rsid w:val="00875901"/>
    <w:rsid w:val="0087DC23"/>
    <w:rsid w:val="00884119"/>
    <w:rsid w:val="008A1516"/>
    <w:rsid w:val="008A245E"/>
    <w:rsid w:val="008B1D88"/>
    <w:rsid w:val="008C1925"/>
    <w:rsid w:val="008C1FBD"/>
    <w:rsid w:val="008D1D54"/>
    <w:rsid w:val="008E2524"/>
    <w:rsid w:val="008F0492"/>
    <w:rsid w:val="008F2A7F"/>
    <w:rsid w:val="00900EA0"/>
    <w:rsid w:val="00914019"/>
    <w:rsid w:val="00915A37"/>
    <w:rsid w:val="009216F1"/>
    <w:rsid w:val="00921704"/>
    <w:rsid w:val="00933352"/>
    <w:rsid w:val="00933B1E"/>
    <w:rsid w:val="009419F4"/>
    <w:rsid w:val="00942EFD"/>
    <w:rsid w:val="009720EC"/>
    <w:rsid w:val="00977835"/>
    <w:rsid w:val="00994893"/>
    <w:rsid w:val="009A2002"/>
    <w:rsid w:val="009A4C53"/>
    <w:rsid w:val="009B396E"/>
    <w:rsid w:val="009C37C7"/>
    <w:rsid w:val="009C4BD9"/>
    <w:rsid w:val="009D1C9A"/>
    <w:rsid w:val="009D2480"/>
    <w:rsid w:val="009E5ED3"/>
    <w:rsid w:val="009F27AD"/>
    <w:rsid w:val="00A028E7"/>
    <w:rsid w:val="00A02C0C"/>
    <w:rsid w:val="00A11A4A"/>
    <w:rsid w:val="00A44590"/>
    <w:rsid w:val="00A46CE6"/>
    <w:rsid w:val="00A478C3"/>
    <w:rsid w:val="00A511DD"/>
    <w:rsid w:val="00A6327E"/>
    <w:rsid w:val="00A70B70"/>
    <w:rsid w:val="00A83A8C"/>
    <w:rsid w:val="00A923C3"/>
    <w:rsid w:val="00AA04C2"/>
    <w:rsid w:val="00AA14B3"/>
    <w:rsid w:val="00AA480B"/>
    <w:rsid w:val="00AC452C"/>
    <w:rsid w:val="00AC7989"/>
    <w:rsid w:val="00AD203D"/>
    <w:rsid w:val="00AD6AC4"/>
    <w:rsid w:val="00AD6F0C"/>
    <w:rsid w:val="00AE3ECC"/>
    <w:rsid w:val="00B165B6"/>
    <w:rsid w:val="00B179FB"/>
    <w:rsid w:val="00B205C8"/>
    <w:rsid w:val="00B25F04"/>
    <w:rsid w:val="00B26BC0"/>
    <w:rsid w:val="00B3057A"/>
    <w:rsid w:val="00B30D33"/>
    <w:rsid w:val="00B32FF8"/>
    <w:rsid w:val="00B33CFC"/>
    <w:rsid w:val="00B3570E"/>
    <w:rsid w:val="00B35F39"/>
    <w:rsid w:val="00B423E6"/>
    <w:rsid w:val="00B43511"/>
    <w:rsid w:val="00B513C2"/>
    <w:rsid w:val="00B718DF"/>
    <w:rsid w:val="00B7411F"/>
    <w:rsid w:val="00B7431F"/>
    <w:rsid w:val="00B95608"/>
    <w:rsid w:val="00B95E47"/>
    <w:rsid w:val="00BA0A41"/>
    <w:rsid w:val="00BA5EC9"/>
    <w:rsid w:val="00BB09A6"/>
    <w:rsid w:val="00BB289D"/>
    <w:rsid w:val="00BB5F93"/>
    <w:rsid w:val="00BC4877"/>
    <w:rsid w:val="00BC6B7C"/>
    <w:rsid w:val="00BC7E1B"/>
    <w:rsid w:val="00BD1ED2"/>
    <w:rsid w:val="00BD2660"/>
    <w:rsid w:val="00BD4574"/>
    <w:rsid w:val="00BD4A42"/>
    <w:rsid w:val="00BE1AA7"/>
    <w:rsid w:val="00BF4017"/>
    <w:rsid w:val="00C0088C"/>
    <w:rsid w:val="00C01169"/>
    <w:rsid w:val="00C0249E"/>
    <w:rsid w:val="00C05EA0"/>
    <w:rsid w:val="00C21DD8"/>
    <w:rsid w:val="00C34B79"/>
    <w:rsid w:val="00C458C9"/>
    <w:rsid w:val="00C46910"/>
    <w:rsid w:val="00C50394"/>
    <w:rsid w:val="00C515BD"/>
    <w:rsid w:val="00C70162"/>
    <w:rsid w:val="00C71C56"/>
    <w:rsid w:val="00C722D1"/>
    <w:rsid w:val="00C77471"/>
    <w:rsid w:val="00C81E6E"/>
    <w:rsid w:val="00C87534"/>
    <w:rsid w:val="00C87ED0"/>
    <w:rsid w:val="00C95331"/>
    <w:rsid w:val="00C97000"/>
    <w:rsid w:val="00CA666E"/>
    <w:rsid w:val="00CB466D"/>
    <w:rsid w:val="00CC3467"/>
    <w:rsid w:val="00CC3809"/>
    <w:rsid w:val="00CC493E"/>
    <w:rsid w:val="00CC6FC3"/>
    <w:rsid w:val="00CD1B73"/>
    <w:rsid w:val="00CD4993"/>
    <w:rsid w:val="00D11FC6"/>
    <w:rsid w:val="00D31E0B"/>
    <w:rsid w:val="00D3268C"/>
    <w:rsid w:val="00D66215"/>
    <w:rsid w:val="00D67627"/>
    <w:rsid w:val="00D7418C"/>
    <w:rsid w:val="00D75369"/>
    <w:rsid w:val="00D77A16"/>
    <w:rsid w:val="00D87F99"/>
    <w:rsid w:val="00DA2789"/>
    <w:rsid w:val="00DB3168"/>
    <w:rsid w:val="00DC08DC"/>
    <w:rsid w:val="00DC358B"/>
    <w:rsid w:val="00DD5A13"/>
    <w:rsid w:val="00DD7077"/>
    <w:rsid w:val="00DD7F42"/>
    <w:rsid w:val="00DE3477"/>
    <w:rsid w:val="00E07530"/>
    <w:rsid w:val="00E13734"/>
    <w:rsid w:val="00E15A97"/>
    <w:rsid w:val="00E16409"/>
    <w:rsid w:val="00E16FFD"/>
    <w:rsid w:val="00E21832"/>
    <w:rsid w:val="00E23EA9"/>
    <w:rsid w:val="00E40510"/>
    <w:rsid w:val="00E433AF"/>
    <w:rsid w:val="00E44D3A"/>
    <w:rsid w:val="00E459B0"/>
    <w:rsid w:val="00E55199"/>
    <w:rsid w:val="00E61DAF"/>
    <w:rsid w:val="00E67D84"/>
    <w:rsid w:val="00E8430D"/>
    <w:rsid w:val="00E87B87"/>
    <w:rsid w:val="00E9639E"/>
    <w:rsid w:val="00EB3748"/>
    <w:rsid w:val="00ED1DB1"/>
    <w:rsid w:val="00EE6731"/>
    <w:rsid w:val="00EF1706"/>
    <w:rsid w:val="00F07F52"/>
    <w:rsid w:val="00F10BB8"/>
    <w:rsid w:val="00F10D99"/>
    <w:rsid w:val="00F176E6"/>
    <w:rsid w:val="00F27A9A"/>
    <w:rsid w:val="00F31716"/>
    <w:rsid w:val="00F36370"/>
    <w:rsid w:val="00F405DC"/>
    <w:rsid w:val="00F42D09"/>
    <w:rsid w:val="00F533BF"/>
    <w:rsid w:val="00F703FF"/>
    <w:rsid w:val="00F70952"/>
    <w:rsid w:val="00F71B8B"/>
    <w:rsid w:val="00F728EC"/>
    <w:rsid w:val="00F7318F"/>
    <w:rsid w:val="00F90EE6"/>
    <w:rsid w:val="00FA118E"/>
    <w:rsid w:val="00FB3919"/>
    <w:rsid w:val="00FB6151"/>
    <w:rsid w:val="00FC5072"/>
    <w:rsid w:val="00FC59DD"/>
    <w:rsid w:val="00FC5DD9"/>
    <w:rsid w:val="00FC7BF1"/>
    <w:rsid w:val="00FF07C8"/>
    <w:rsid w:val="00FF3259"/>
    <w:rsid w:val="01140B22"/>
    <w:rsid w:val="01434464"/>
    <w:rsid w:val="02D24A3E"/>
    <w:rsid w:val="03477884"/>
    <w:rsid w:val="039CBA44"/>
    <w:rsid w:val="0502AE16"/>
    <w:rsid w:val="069CA6FC"/>
    <w:rsid w:val="06E836BF"/>
    <w:rsid w:val="07100DD4"/>
    <w:rsid w:val="07512825"/>
    <w:rsid w:val="07A8CE14"/>
    <w:rsid w:val="086B6A27"/>
    <w:rsid w:val="08A2F200"/>
    <w:rsid w:val="09987106"/>
    <w:rsid w:val="09CD61ED"/>
    <w:rsid w:val="0A588EF5"/>
    <w:rsid w:val="0B3C2080"/>
    <w:rsid w:val="0B6D2E5A"/>
    <w:rsid w:val="0BBCC804"/>
    <w:rsid w:val="0DAA5A2E"/>
    <w:rsid w:val="0E45AA41"/>
    <w:rsid w:val="0F794B82"/>
    <w:rsid w:val="0F807A3D"/>
    <w:rsid w:val="10C62FBE"/>
    <w:rsid w:val="120FD707"/>
    <w:rsid w:val="13E60D27"/>
    <w:rsid w:val="14703375"/>
    <w:rsid w:val="14FA5682"/>
    <w:rsid w:val="15CCD195"/>
    <w:rsid w:val="162A1B88"/>
    <w:rsid w:val="181ECED9"/>
    <w:rsid w:val="196CFBFD"/>
    <w:rsid w:val="196FF155"/>
    <w:rsid w:val="1A4CC4FF"/>
    <w:rsid w:val="1A5A8B7B"/>
    <w:rsid w:val="1AC601D0"/>
    <w:rsid w:val="1AFEF433"/>
    <w:rsid w:val="1B7CCB1B"/>
    <w:rsid w:val="1C1A78C2"/>
    <w:rsid w:val="1D852D2E"/>
    <w:rsid w:val="1EB6DAD0"/>
    <w:rsid w:val="1F226A4A"/>
    <w:rsid w:val="1FEF2590"/>
    <w:rsid w:val="20C0E519"/>
    <w:rsid w:val="21432594"/>
    <w:rsid w:val="23490B70"/>
    <w:rsid w:val="23A9A3A8"/>
    <w:rsid w:val="247C08B7"/>
    <w:rsid w:val="25E83447"/>
    <w:rsid w:val="26CFDA9C"/>
    <w:rsid w:val="26F8431A"/>
    <w:rsid w:val="27A008E4"/>
    <w:rsid w:val="27CCF23D"/>
    <w:rsid w:val="28AD8694"/>
    <w:rsid w:val="29BADA4C"/>
    <w:rsid w:val="2B6FEA98"/>
    <w:rsid w:val="2B7EF9AD"/>
    <w:rsid w:val="2CA06360"/>
    <w:rsid w:val="2CD6557B"/>
    <w:rsid w:val="2D0B9F49"/>
    <w:rsid w:val="2DA98731"/>
    <w:rsid w:val="2DF62A28"/>
    <w:rsid w:val="2EB47C6F"/>
    <w:rsid w:val="2F36319F"/>
    <w:rsid w:val="303292DD"/>
    <w:rsid w:val="31206021"/>
    <w:rsid w:val="321DD092"/>
    <w:rsid w:val="32D689F5"/>
    <w:rsid w:val="3422618D"/>
    <w:rsid w:val="345C5672"/>
    <w:rsid w:val="345FC01C"/>
    <w:rsid w:val="35CFF000"/>
    <w:rsid w:val="36AB72E8"/>
    <w:rsid w:val="37C4090D"/>
    <w:rsid w:val="38499027"/>
    <w:rsid w:val="3A32606C"/>
    <w:rsid w:val="3ACFD264"/>
    <w:rsid w:val="3B20B60A"/>
    <w:rsid w:val="3BB31D7A"/>
    <w:rsid w:val="3CD7B3CE"/>
    <w:rsid w:val="3D60CA9B"/>
    <w:rsid w:val="3D79BF87"/>
    <w:rsid w:val="3DC84047"/>
    <w:rsid w:val="3ED0B222"/>
    <w:rsid w:val="3EF51830"/>
    <w:rsid w:val="3F0E0BFC"/>
    <w:rsid w:val="3F741F13"/>
    <w:rsid w:val="3FBF5983"/>
    <w:rsid w:val="3FFDC021"/>
    <w:rsid w:val="40FC977F"/>
    <w:rsid w:val="427827D9"/>
    <w:rsid w:val="42A7EBFF"/>
    <w:rsid w:val="42CFF98D"/>
    <w:rsid w:val="43D32657"/>
    <w:rsid w:val="44BDAF35"/>
    <w:rsid w:val="462E77D7"/>
    <w:rsid w:val="463107DF"/>
    <w:rsid w:val="4645C810"/>
    <w:rsid w:val="46FE07DF"/>
    <w:rsid w:val="46FEB4A5"/>
    <w:rsid w:val="47D7175B"/>
    <w:rsid w:val="481A8C92"/>
    <w:rsid w:val="485BC46C"/>
    <w:rsid w:val="4864E5AD"/>
    <w:rsid w:val="48F6B68E"/>
    <w:rsid w:val="4B6980EB"/>
    <w:rsid w:val="4BB15B89"/>
    <w:rsid w:val="4C7F90B7"/>
    <w:rsid w:val="4C85C621"/>
    <w:rsid w:val="4E2255E8"/>
    <w:rsid w:val="4E27C713"/>
    <w:rsid w:val="4F65D643"/>
    <w:rsid w:val="500985C6"/>
    <w:rsid w:val="51176D35"/>
    <w:rsid w:val="515D12C8"/>
    <w:rsid w:val="52F4BC21"/>
    <w:rsid w:val="537FBE08"/>
    <w:rsid w:val="55B9096B"/>
    <w:rsid w:val="57398243"/>
    <w:rsid w:val="5782F72D"/>
    <w:rsid w:val="57A18658"/>
    <w:rsid w:val="59525F8A"/>
    <w:rsid w:val="5AC2C144"/>
    <w:rsid w:val="5B5C9629"/>
    <w:rsid w:val="5B5F0CD0"/>
    <w:rsid w:val="5CA5F5AF"/>
    <w:rsid w:val="5FE61C4C"/>
    <w:rsid w:val="61364E2A"/>
    <w:rsid w:val="613D9F44"/>
    <w:rsid w:val="6188EA55"/>
    <w:rsid w:val="6230F8DB"/>
    <w:rsid w:val="6262F0E2"/>
    <w:rsid w:val="62639ABB"/>
    <w:rsid w:val="6318183B"/>
    <w:rsid w:val="641D3817"/>
    <w:rsid w:val="64313169"/>
    <w:rsid w:val="64565373"/>
    <w:rsid w:val="6500C7F6"/>
    <w:rsid w:val="65B1ACFB"/>
    <w:rsid w:val="681CED75"/>
    <w:rsid w:val="6919EF7F"/>
    <w:rsid w:val="69D1FB33"/>
    <w:rsid w:val="69FEF97E"/>
    <w:rsid w:val="6A21DF66"/>
    <w:rsid w:val="6A706468"/>
    <w:rsid w:val="6CF1035C"/>
    <w:rsid w:val="6D34C2C5"/>
    <w:rsid w:val="6E2B44E6"/>
    <w:rsid w:val="6E53EA77"/>
    <w:rsid w:val="6F2C8F9D"/>
    <w:rsid w:val="6F34375D"/>
    <w:rsid w:val="70880593"/>
    <w:rsid w:val="70FC49CF"/>
    <w:rsid w:val="71FCBE56"/>
    <w:rsid w:val="72586888"/>
    <w:rsid w:val="728921EA"/>
    <w:rsid w:val="72B0345F"/>
    <w:rsid w:val="73332A13"/>
    <w:rsid w:val="7442FAF8"/>
    <w:rsid w:val="74433B1B"/>
    <w:rsid w:val="753D173B"/>
    <w:rsid w:val="757A4EF7"/>
    <w:rsid w:val="76C4387E"/>
    <w:rsid w:val="7A43E6FA"/>
    <w:rsid w:val="7A970870"/>
    <w:rsid w:val="7AEDCD6D"/>
    <w:rsid w:val="7BCF3EA7"/>
    <w:rsid w:val="7D85E4E8"/>
    <w:rsid w:val="7E13DD8A"/>
    <w:rsid w:val="7E7621B4"/>
    <w:rsid w:val="7EAEC4CD"/>
    <w:rsid w:val="7EED5FE4"/>
    <w:rsid w:val="7F880D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CC0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01"/>
  </w:style>
  <w:style w:type="paragraph" w:styleId="Heading1">
    <w:name w:val="heading 1"/>
    <w:basedOn w:val="Normal"/>
    <w:next w:val="Normal"/>
    <w:link w:val="Heading1Char"/>
    <w:uiPriority w:val="9"/>
    <w:qFormat/>
    <w:rsid w:val="00B435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1B40"/>
    <w:pPr>
      <w:keepNext/>
      <w:keepLines/>
      <w:spacing w:before="280" w:after="120"/>
      <w:outlineLvl w:val="1"/>
    </w:pPr>
    <w:rPr>
      <w:rFonts w:ascii="Arial" w:eastAsiaTheme="majorEastAsia" w:hAnsi="Arial" w:cstheme="majorBidi"/>
      <w:color w:val="037A6C"/>
      <w:sz w:val="28"/>
      <w:szCs w:val="28"/>
    </w:rPr>
  </w:style>
  <w:style w:type="paragraph" w:styleId="Heading3">
    <w:name w:val="heading 3"/>
    <w:basedOn w:val="Normal"/>
    <w:next w:val="Normal"/>
    <w:link w:val="Heading3Char"/>
    <w:uiPriority w:val="9"/>
    <w:semiHidden/>
    <w:unhideWhenUsed/>
    <w:qFormat/>
    <w:rsid w:val="00586166"/>
    <w:pPr>
      <w:keepNext/>
      <w:keepLines/>
      <w:numPr>
        <w:ilvl w:val="2"/>
        <w:numId w:val="7"/>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8616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86166"/>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616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86166"/>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86166"/>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6166"/>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01"/>
    <w:pPr>
      <w:tabs>
        <w:tab w:val="center" w:pos="4513"/>
        <w:tab w:val="right" w:pos="9026"/>
      </w:tabs>
    </w:pPr>
  </w:style>
  <w:style w:type="character" w:customStyle="1" w:styleId="HeaderChar">
    <w:name w:val="Header Char"/>
    <w:basedOn w:val="DefaultParagraphFont"/>
    <w:link w:val="Header"/>
    <w:uiPriority w:val="99"/>
    <w:rsid w:val="00875901"/>
  </w:style>
  <w:style w:type="paragraph" w:styleId="Footer">
    <w:name w:val="footer"/>
    <w:basedOn w:val="Normal"/>
    <w:link w:val="FooterChar"/>
    <w:uiPriority w:val="99"/>
    <w:unhideWhenUsed/>
    <w:rsid w:val="00875901"/>
    <w:pPr>
      <w:tabs>
        <w:tab w:val="center" w:pos="4513"/>
        <w:tab w:val="right" w:pos="9026"/>
      </w:tabs>
    </w:pPr>
  </w:style>
  <w:style w:type="character" w:customStyle="1" w:styleId="FooterChar">
    <w:name w:val="Footer Char"/>
    <w:basedOn w:val="DefaultParagraphFont"/>
    <w:link w:val="Footer"/>
    <w:uiPriority w:val="99"/>
    <w:rsid w:val="00875901"/>
  </w:style>
  <w:style w:type="paragraph" w:customStyle="1" w:styleId="PSC-Titleofdocument">
    <w:name w:val="PSC - Title of document"/>
    <w:basedOn w:val="Normal"/>
    <w:qFormat/>
    <w:rsid w:val="00C515BD"/>
    <w:pPr>
      <w:pBdr>
        <w:bottom w:val="single" w:sz="36" w:space="6" w:color="60C3AD"/>
      </w:pBdr>
    </w:pPr>
    <w:rPr>
      <w:rFonts w:ascii="Arial" w:hAnsi="Arial" w:cs="Arial"/>
      <w:b/>
      <w:bCs/>
      <w:sz w:val="64"/>
      <w:szCs w:val="64"/>
    </w:rPr>
  </w:style>
  <w:style w:type="character" w:styleId="PageNumber">
    <w:name w:val="page number"/>
    <w:basedOn w:val="DefaultParagraphFont"/>
    <w:uiPriority w:val="99"/>
    <w:semiHidden/>
    <w:unhideWhenUsed/>
    <w:rsid w:val="00875901"/>
  </w:style>
  <w:style w:type="paragraph" w:customStyle="1" w:styleId="PSCSubtitle">
    <w:name w:val="PSC Subtitle"/>
    <w:basedOn w:val="Normal"/>
    <w:qFormat/>
    <w:rsid w:val="00161B40"/>
    <w:pPr>
      <w:spacing w:before="240"/>
    </w:pPr>
    <w:rPr>
      <w:rFonts w:ascii="Arial" w:hAnsi="Arial" w:cs="Arial"/>
      <w:sz w:val="36"/>
      <w:szCs w:val="32"/>
    </w:rPr>
  </w:style>
  <w:style w:type="paragraph" w:customStyle="1" w:styleId="PSC-Heading1">
    <w:name w:val="PSC - Heading 1"/>
    <w:basedOn w:val="Normal"/>
    <w:qFormat/>
    <w:rsid w:val="00875901"/>
    <w:rPr>
      <w:rFonts w:ascii="Arial" w:hAnsi="Arial" w:cs="Arial"/>
      <w:color w:val="007A6D"/>
      <w:sz w:val="36"/>
      <w:szCs w:val="32"/>
    </w:rPr>
  </w:style>
  <w:style w:type="paragraph" w:customStyle="1" w:styleId="PSC-Heading2">
    <w:name w:val="PSC - Heading 2"/>
    <w:basedOn w:val="Normal"/>
    <w:qFormat/>
    <w:rsid w:val="00DC08DC"/>
    <w:pPr>
      <w:numPr>
        <w:numId w:val="10"/>
      </w:numPr>
      <w:spacing w:after="120"/>
    </w:pPr>
    <w:rPr>
      <w:rFonts w:ascii="Arial" w:hAnsi="Arial" w:cs="Arial"/>
      <w:color w:val="037A6C"/>
      <w:sz w:val="32"/>
      <w:szCs w:val="28"/>
    </w:rPr>
  </w:style>
  <w:style w:type="paragraph" w:customStyle="1" w:styleId="PSC-bodycopy">
    <w:name w:val="PSC - body copy"/>
    <w:basedOn w:val="Normal"/>
    <w:qFormat/>
    <w:rsid w:val="00875901"/>
    <w:rPr>
      <w:rFonts w:ascii="Arial" w:hAnsi="Arial" w:cs="Arial"/>
      <w:sz w:val="22"/>
    </w:rPr>
  </w:style>
  <w:style w:type="paragraph" w:customStyle="1" w:styleId="PSC-Heading3">
    <w:name w:val="PSC - Heading 3"/>
    <w:basedOn w:val="Normal"/>
    <w:qFormat/>
    <w:rsid w:val="00875901"/>
    <w:rPr>
      <w:rFonts w:ascii="Arial" w:hAnsi="Arial" w:cs="Arial"/>
      <w:sz w:val="28"/>
    </w:rPr>
  </w:style>
  <w:style w:type="paragraph" w:customStyle="1" w:styleId="PSC-Bullets1">
    <w:name w:val="PSC - Bullets #1"/>
    <w:basedOn w:val="ListParagraph"/>
    <w:qFormat/>
    <w:rsid w:val="004C5B2E"/>
    <w:pPr>
      <w:numPr>
        <w:numId w:val="2"/>
      </w:numPr>
      <w:tabs>
        <w:tab w:val="num" w:pos="360"/>
      </w:tabs>
      <w:spacing w:before="120" w:after="120"/>
      <w:ind w:left="714" w:hanging="357"/>
    </w:pPr>
    <w:rPr>
      <w:rFonts w:ascii="Arial" w:hAnsi="Arial" w:cs="Arial"/>
      <w:sz w:val="22"/>
    </w:rPr>
  </w:style>
  <w:style w:type="paragraph" w:customStyle="1" w:styleId="PSC-Bullets2">
    <w:name w:val="PSC - Bullets #2"/>
    <w:basedOn w:val="ListParagraph"/>
    <w:qFormat/>
    <w:rsid w:val="004C5B2E"/>
    <w:pPr>
      <w:numPr>
        <w:numId w:val="3"/>
      </w:numPr>
      <w:tabs>
        <w:tab w:val="num" w:pos="360"/>
      </w:tabs>
      <w:spacing w:before="120" w:after="120"/>
      <w:ind w:left="714" w:hanging="357"/>
    </w:pPr>
    <w:rPr>
      <w:rFonts w:ascii="Arial" w:hAnsi="Arial" w:cs="Arial"/>
      <w:sz w:val="22"/>
    </w:rPr>
  </w:style>
  <w:style w:type="paragraph" w:customStyle="1" w:styleId="PSC-Bullets3">
    <w:name w:val="PSC - Bullets #3"/>
    <w:basedOn w:val="ListParagraph"/>
    <w:qFormat/>
    <w:rsid w:val="004C5B2E"/>
    <w:pPr>
      <w:numPr>
        <w:numId w:val="4"/>
      </w:numPr>
    </w:pPr>
    <w:rPr>
      <w:rFonts w:ascii="Arial" w:hAnsi="Arial" w:cs="Arial"/>
      <w:sz w:val="22"/>
    </w:rPr>
  </w:style>
  <w:style w:type="paragraph" w:customStyle="1" w:styleId="PSC-Primaryquote">
    <w:name w:val="PSC - Primary quote"/>
    <w:basedOn w:val="Normal"/>
    <w:qFormat/>
    <w:rsid w:val="00875901"/>
    <w:pPr>
      <w:pBdr>
        <w:top w:val="single" w:sz="12" w:space="5" w:color="007A6D"/>
        <w:bottom w:val="single" w:sz="12" w:space="5" w:color="007A6D"/>
      </w:pBdr>
      <w:spacing w:before="120" w:after="120"/>
    </w:pPr>
    <w:rPr>
      <w:rFonts w:ascii="Times New Roman" w:hAnsi="Times New Roman" w:cs="Arial"/>
      <w:b/>
      <w:bCs/>
      <w:i/>
      <w:iCs/>
      <w:color w:val="007A6D"/>
      <w:sz w:val="28"/>
      <w:szCs w:val="32"/>
    </w:rPr>
  </w:style>
  <w:style w:type="table" w:styleId="GridTable4-Accent1">
    <w:name w:val="Grid Table 4 Accent 1"/>
    <w:aliases w:val="PSC Table Template V0-02"/>
    <w:basedOn w:val="TableNormal"/>
    <w:uiPriority w:val="49"/>
    <w:rsid w:val="00226CFE"/>
    <w:pPr>
      <w:jc w:val="center"/>
    </w:pPr>
    <w:rPr>
      <w:rFonts w:ascii="Arial" w:eastAsiaTheme="minorEastAsia" w:hAnsi="Arial"/>
      <w:sz w:val="22"/>
      <w:szCs w:val="21"/>
    </w:rPr>
    <w:tblPr>
      <w:tblStyleRowBandSize w:val="1"/>
      <w:tblStyleColBandSize w:val="1"/>
      <w:tblBorders>
        <w:top w:val="single" w:sz="4" w:space="0" w:color="CBE8E2"/>
        <w:bottom w:val="single" w:sz="4" w:space="0" w:color="CBE8E2"/>
        <w:insideH w:val="single" w:sz="4" w:space="0" w:color="CBE8E2"/>
        <w:insideV w:val="single" w:sz="4" w:space="0" w:color="CBE8E2"/>
      </w:tblBorders>
      <w:tblCellMar>
        <w:top w:w="113" w:type="dxa"/>
        <w:bottom w:w="113" w:type="dxa"/>
      </w:tblCellMar>
    </w:tblPr>
    <w:tcPr>
      <w:shd w:val="clear" w:color="auto" w:fill="auto"/>
    </w:tcPr>
    <w:tblStylePr w:type="firstRow">
      <w:rPr>
        <w:b/>
        <w:bCs/>
        <w:color w:val="000000" w:themeColor="text1"/>
      </w:rPr>
      <w:tblPr/>
      <w:tcPr>
        <w:shd w:val="clear" w:color="auto" w:fill="60C3AD"/>
      </w:tcPr>
    </w:tblStylePr>
    <w:tblStylePr w:type="lastRow">
      <w:rPr>
        <w:rFonts w:ascii="Arial" w:hAnsi="Arial"/>
        <w:b w:val="0"/>
        <w:bCs/>
        <w:color w:val="000000" w:themeColor="text1"/>
        <w:sz w:val="22"/>
      </w:rPr>
    </w:tblStylePr>
    <w:tblStylePr w:type="firstCol">
      <w:rPr>
        <w:rFonts w:ascii="Arial" w:hAnsi="Arial"/>
        <w:b w:val="0"/>
        <w:bCs/>
        <w:sz w:val="22"/>
      </w:rPr>
      <w:tblPr/>
      <w:tcPr>
        <w:tcBorders>
          <w:bottom w:val="nil"/>
        </w:tcBorders>
        <w:shd w:val="clear" w:color="auto" w:fill="auto"/>
      </w:tcPr>
    </w:tblStylePr>
    <w:tblStylePr w:type="lastCol">
      <w:rPr>
        <w:b/>
        <w:bCs/>
      </w:rPr>
    </w:tblStylePr>
    <w:tblStylePr w:type="band1Horz">
      <w:rPr>
        <w:rFonts w:ascii="Arial" w:hAnsi="Arial"/>
        <w:sz w:val="22"/>
      </w:rPr>
      <w:tblPr/>
      <w:tcPr>
        <w:shd w:val="clear" w:color="auto" w:fill="FFFFFF" w:themeFill="background1"/>
      </w:tcPr>
    </w:tblStylePr>
    <w:tblStylePr w:type="band2Horz">
      <w:rPr>
        <w:rFonts w:ascii="Arial" w:hAnsi="Arial"/>
        <w:sz w:val="22"/>
      </w:rPr>
    </w:tblStylePr>
  </w:style>
  <w:style w:type="paragraph" w:styleId="ListParagraph">
    <w:name w:val="List Paragraph"/>
    <w:basedOn w:val="Normal"/>
    <w:uiPriority w:val="34"/>
    <w:qFormat/>
    <w:rsid w:val="00875901"/>
    <w:pPr>
      <w:ind w:left="720"/>
      <w:contextualSpacing/>
    </w:pPr>
  </w:style>
  <w:style w:type="table" w:styleId="TableGrid">
    <w:name w:val="Table Grid"/>
    <w:basedOn w:val="TableNormal"/>
    <w:uiPriority w:val="39"/>
    <w:rsid w:val="0022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C-Secondaryquote">
    <w:name w:val="PSC - Secondary quote"/>
    <w:basedOn w:val="Normal"/>
    <w:qFormat/>
    <w:rsid w:val="002E0984"/>
    <w:pPr>
      <w:ind w:left="720"/>
    </w:pPr>
    <w:rPr>
      <w:rFonts w:ascii="Arial" w:hAnsi="Arial" w:cs="Arial"/>
      <w:i/>
      <w:iCs/>
      <w:color w:val="007A6D"/>
    </w:rPr>
  </w:style>
  <w:style w:type="table" w:customStyle="1" w:styleId="GridTable6ColourfulAccent21">
    <w:name w:val="Grid Table 6 Colourful – Accent 21"/>
    <w:basedOn w:val="TableNormal"/>
    <w:next w:val="GridTable6Colorful-Accent2"/>
    <w:uiPriority w:val="51"/>
    <w:rsid w:val="00C722D1"/>
    <w:rPr>
      <w:rFonts w:ascii="Arial" w:eastAsia="Times New Roman" w:hAnsi="Arial"/>
      <w:sz w:val="22"/>
      <w:szCs w:val="21"/>
    </w:rPr>
    <w:tblPr>
      <w:tblStyleRowBandSize w:val="1"/>
      <w:tblStyleColBandSize w:val="1"/>
      <w:tblBorders>
        <w:top w:val="single" w:sz="4" w:space="0" w:color="C0E5DE"/>
        <w:left w:val="single" w:sz="4" w:space="0" w:color="C0E5DE"/>
        <w:bottom w:val="single" w:sz="4" w:space="0" w:color="C0E5DE"/>
        <w:right w:val="single" w:sz="4" w:space="0" w:color="C0E5DE"/>
        <w:insideH w:val="single" w:sz="4" w:space="0" w:color="C0E5DE"/>
        <w:insideV w:val="single" w:sz="4" w:space="0" w:color="C0E5DE"/>
      </w:tblBorders>
    </w:tblPr>
    <w:tcPr>
      <w:tcMar>
        <w:top w:w="57" w:type="dxa"/>
        <w:bottom w:w="57" w:type="dxa"/>
      </w:tcMar>
      <w:vAlign w:val="center"/>
    </w:tcPr>
    <w:tblStylePr w:type="firstRow">
      <w:rPr>
        <w:b/>
        <w:bCs/>
      </w:rPr>
      <w:tblPr/>
      <w:tcPr>
        <w:tcBorders>
          <w:bottom w:val="single" w:sz="12" w:space="0" w:color="C0E5DE"/>
        </w:tcBorders>
      </w:tcPr>
    </w:tblStylePr>
    <w:tblStylePr w:type="lastRow">
      <w:rPr>
        <w:rFonts w:ascii="Arial" w:hAnsi="Arial"/>
        <w:b w:val="0"/>
        <w:bCs/>
        <w:sz w:val="22"/>
      </w:rPr>
      <w:tblPr/>
      <w:tcPr>
        <w:tcBorders>
          <w:top w:val="double" w:sz="4" w:space="0" w:color="C0E5DE"/>
        </w:tcBorders>
      </w:tcPr>
    </w:tblStylePr>
    <w:tblStylePr w:type="firstCol">
      <w:rPr>
        <w:b w:val="0"/>
        <w:bCs/>
      </w:rPr>
    </w:tblStylePr>
    <w:tblStylePr w:type="lastCol">
      <w:rPr>
        <w:b w:val="0"/>
        <w:bCs/>
      </w:rPr>
    </w:tblStylePr>
    <w:tblStylePr w:type="band1Vert">
      <w:tblPr/>
      <w:tcPr>
        <w:shd w:val="clear" w:color="auto" w:fill="EAF6F4"/>
      </w:tcPr>
    </w:tblStylePr>
    <w:tblStylePr w:type="band1Horz">
      <w:tblPr/>
      <w:tcPr>
        <w:shd w:val="clear" w:color="auto" w:fill="EAF6F4"/>
      </w:tcPr>
    </w:tblStylePr>
  </w:style>
  <w:style w:type="table" w:styleId="GridTable6Colorful-Accent2">
    <w:name w:val="Grid Table 6 Colorful Accent 2"/>
    <w:basedOn w:val="TableNormal"/>
    <w:uiPriority w:val="51"/>
    <w:rsid w:val="00942EF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SCTable">
    <w:name w:val="PSC Table"/>
    <w:basedOn w:val="TableNormal"/>
    <w:uiPriority w:val="99"/>
    <w:rsid w:val="00942EFD"/>
    <w:tblPr/>
  </w:style>
  <w:style w:type="paragraph" w:customStyle="1" w:styleId="PSC-bodycopyheavy">
    <w:name w:val="PSC - body copy heavy"/>
    <w:basedOn w:val="PSC-bodycopy"/>
    <w:qFormat/>
    <w:rsid w:val="00914019"/>
    <w:rPr>
      <w:b/>
    </w:rPr>
  </w:style>
  <w:style w:type="paragraph" w:customStyle="1" w:styleId="Bodystrong">
    <w:name w:val="Body strong"/>
    <w:basedOn w:val="Normal"/>
    <w:next w:val="Normal"/>
    <w:link w:val="BodystrongChar"/>
    <w:qFormat/>
    <w:rsid w:val="00161B40"/>
    <w:pPr>
      <w:spacing w:after="120" w:line="264" w:lineRule="auto"/>
    </w:pPr>
    <w:rPr>
      <w:rFonts w:ascii="Arial" w:eastAsiaTheme="minorEastAsia" w:hAnsi="Arial"/>
      <w:b/>
      <w:sz w:val="22"/>
      <w:szCs w:val="21"/>
    </w:rPr>
  </w:style>
  <w:style w:type="character" w:customStyle="1" w:styleId="BodystrongChar">
    <w:name w:val="Body strong Char"/>
    <w:basedOn w:val="DefaultParagraphFont"/>
    <w:link w:val="Bodystrong"/>
    <w:rsid w:val="00161B40"/>
    <w:rPr>
      <w:rFonts w:ascii="Arial" w:eastAsiaTheme="minorEastAsia" w:hAnsi="Arial"/>
      <w:b/>
      <w:sz w:val="22"/>
      <w:szCs w:val="21"/>
    </w:rPr>
  </w:style>
  <w:style w:type="paragraph" w:customStyle="1" w:styleId="Bullets1">
    <w:name w:val="Bullets 1"/>
    <w:basedOn w:val="ListParagraph"/>
    <w:link w:val="Bullets1Char"/>
    <w:qFormat/>
    <w:rsid w:val="00161B40"/>
    <w:pPr>
      <w:numPr>
        <w:numId w:val="5"/>
      </w:numPr>
      <w:spacing w:after="120" w:line="264" w:lineRule="auto"/>
      <w:ind w:left="397" w:hanging="397"/>
    </w:pPr>
    <w:rPr>
      <w:rFonts w:ascii="Arial" w:eastAsiaTheme="majorEastAsia" w:hAnsi="Arial"/>
      <w:sz w:val="22"/>
      <w:szCs w:val="21"/>
    </w:rPr>
  </w:style>
  <w:style w:type="character" w:customStyle="1" w:styleId="Bullets1Char">
    <w:name w:val="Bullets 1 Char"/>
    <w:basedOn w:val="DefaultParagraphFont"/>
    <w:link w:val="Bullets1"/>
    <w:rsid w:val="00161B40"/>
    <w:rPr>
      <w:rFonts w:ascii="Arial" w:eastAsiaTheme="majorEastAsia" w:hAnsi="Arial"/>
      <w:sz w:val="22"/>
      <w:szCs w:val="21"/>
    </w:rPr>
  </w:style>
  <w:style w:type="paragraph" w:customStyle="1" w:styleId="Bullets2">
    <w:name w:val="Bullets 2"/>
    <w:basedOn w:val="Bullets1"/>
    <w:qFormat/>
    <w:rsid w:val="00914019"/>
    <w:pPr>
      <w:numPr>
        <w:ilvl w:val="1"/>
      </w:numPr>
      <w:tabs>
        <w:tab w:val="num" w:pos="360"/>
      </w:tabs>
      <w:ind w:left="1440"/>
    </w:pPr>
  </w:style>
  <w:style w:type="character" w:customStyle="1" w:styleId="Heading2Char">
    <w:name w:val="Heading 2 Char"/>
    <w:basedOn w:val="DefaultParagraphFont"/>
    <w:link w:val="Heading2"/>
    <w:uiPriority w:val="9"/>
    <w:rsid w:val="00161B40"/>
    <w:rPr>
      <w:rFonts w:ascii="Arial" w:eastAsiaTheme="majorEastAsia" w:hAnsi="Arial" w:cstheme="majorBidi"/>
      <w:color w:val="037A6C"/>
      <w:sz w:val="28"/>
      <w:szCs w:val="28"/>
    </w:rPr>
  </w:style>
  <w:style w:type="paragraph" w:customStyle="1" w:styleId="Numberedlist2">
    <w:name w:val="Numbered list 2"/>
    <w:basedOn w:val="Numberedlist"/>
    <w:link w:val="Numberedlist2Char"/>
    <w:qFormat/>
    <w:rsid w:val="00914019"/>
    <w:pPr>
      <w:keepNext/>
      <w:keepLines/>
      <w:spacing w:before="80"/>
      <w:ind w:left="720" w:hanging="360"/>
      <w:outlineLvl w:val="2"/>
    </w:pPr>
  </w:style>
  <w:style w:type="paragraph" w:customStyle="1" w:styleId="Strongbody">
    <w:name w:val="Strong body"/>
    <w:basedOn w:val="Normal"/>
    <w:next w:val="Normal"/>
    <w:link w:val="StrongbodyChar"/>
    <w:rsid w:val="00914019"/>
    <w:pPr>
      <w:spacing w:after="120" w:line="264" w:lineRule="auto"/>
    </w:pPr>
    <w:rPr>
      <w:rFonts w:ascii="Arial" w:eastAsiaTheme="minorEastAsia" w:hAnsi="Arial"/>
      <w:b/>
      <w:sz w:val="20"/>
      <w:szCs w:val="21"/>
    </w:rPr>
  </w:style>
  <w:style w:type="character" w:customStyle="1" w:styleId="StrongbodyChar">
    <w:name w:val="Strong body Char"/>
    <w:basedOn w:val="DefaultParagraphFont"/>
    <w:link w:val="Strongbody"/>
    <w:rsid w:val="00914019"/>
    <w:rPr>
      <w:rFonts w:ascii="Arial" w:eastAsiaTheme="minorEastAsia" w:hAnsi="Arial"/>
      <w:b/>
      <w:sz w:val="20"/>
      <w:szCs w:val="21"/>
    </w:rPr>
  </w:style>
  <w:style w:type="paragraph" w:customStyle="1" w:styleId="PSC-Title1">
    <w:name w:val="PSC - Title #1"/>
    <w:basedOn w:val="PSC-Titleofdocument"/>
    <w:qFormat/>
    <w:rsid w:val="00914019"/>
    <w:rPr>
      <w:sz w:val="40"/>
    </w:rPr>
  </w:style>
  <w:style w:type="character" w:customStyle="1" w:styleId="Numberedlist2Char">
    <w:name w:val="Numbered list 2 Char"/>
    <w:basedOn w:val="DefaultParagraphFont"/>
    <w:link w:val="Numberedlist2"/>
    <w:rsid w:val="007A328D"/>
    <w:rPr>
      <w:rFonts w:ascii="Arial" w:eastAsiaTheme="majorEastAsia" w:hAnsi="Arial"/>
      <w:sz w:val="20"/>
      <w:szCs w:val="21"/>
    </w:rPr>
  </w:style>
  <w:style w:type="paragraph" w:customStyle="1" w:styleId="PSCBodycopynumbered">
    <w:name w:val="PSC Body copy numbered"/>
    <w:basedOn w:val="PSC-bodycopy"/>
    <w:qFormat/>
    <w:rsid w:val="00586166"/>
    <w:pPr>
      <w:numPr>
        <w:numId w:val="7"/>
      </w:numPr>
    </w:pPr>
  </w:style>
  <w:style w:type="numbering" w:customStyle="1" w:styleId="Heading2Indent">
    <w:name w:val="Heading 2 Indent"/>
    <w:uiPriority w:val="99"/>
    <w:rsid w:val="00DC08DC"/>
    <w:pPr>
      <w:numPr>
        <w:numId w:val="8"/>
      </w:numPr>
    </w:pPr>
  </w:style>
  <w:style w:type="character" w:customStyle="1" w:styleId="Heading3Char">
    <w:name w:val="Heading 3 Char"/>
    <w:basedOn w:val="DefaultParagraphFont"/>
    <w:link w:val="Heading3"/>
    <w:uiPriority w:val="9"/>
    <w:semiHidden/>
    <w:rsid w:val="00C515B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515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515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515B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515B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515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15BD"/>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ListParagraph"/>
    <w:link w:val="NumberedlistChar"/>
    <w:qFormat/>
    <w:rsid w:val="007A328D"/>
    <w:pPr>
      <w:numPr>
        <w:numId w:val="9"/>
      </w:numPr>
      <w:spacing w:after="120" w:line="264" w:lineRule="auto"/>
      <w:ind w:left="284" w:hanging="284"/>
    </w:pPr>
    <w:rPr>
      <w:rFonts w:ascii="Arial" w:eastAsiaTheme="majorEastAsia" w:hAnsi="Arial"/>
      <w:sz w:val="20"/>
      <w:szCs w:val="21"/>
    </w:rPr>
  </w:style>
  <w:style w:type="character" w:customStyle="1" w:styleId="NumberedlistChar">
    <w:name w:val="Numbered list Char"/>
    <w:basedOn w:val="DefaultParagraphFont"/>
    <w:link w:val="Numberedlist"/>
    <w:rsid w:val="007A328D"/>
    <w:rPr>
      <w:rFonts w:ascii="Arial" w:eastAsiaTheme="majorEastAsia" w:hAnsi="Arial"/>
      <w:sz w:val="20"/>
      <w:szCs w:val="21"/>
    </w:rPr>
  </w:style>
  <w:style w:type="character" w:customStyle="1" w:styleId="Heading1Char">
    <w:name w:val="Heading 1 Char"/>
    <w:basedOn w:val="DefaultParagraphFont"/>
    <w:link w:val="Heading1"/>
    <w:uiPriority w:val="9"/>
    <w:rsid w:val="00B4351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autoRedefine/>
    <w:uiPriority w:val="10"/>
    <w:qFormat/>
    <w:rsid w:val="00B43511"/>
    <w:pPr>
      <w:pBdr>
        <w:bottom w:val="single" w:sz="36" w:space="8" w:color="4472C4" w:themeColor="accent1"/>
      </w:pBdr>
      <w:contextualSpacing/>
    </w:pPr>
    <w:rPr>
      <w:rFonts w:ascii="Arial" w:eastAsiaTheme="majorEastAsia" w:hAnsi="Arial" w:cstheme="majorBidi"/>
      <w:b/>
      <w:spacing w:val="-7"/>
      <w:sz w:val="64"/>
      <w:szCs w:val="80"/>
    </w:rPr>
  </w:style>
  <w:style w:type="character" w:customStyle="1" w:styleId="TitleChar">
    <w:name w:val="Title Char"/>
    <w:basedOn w:val="DefaultParagraphFont"/>
    <w:link w:val="Title"/>
    <w:uiPriority w:val="10"/>
    <w:rsid w:val="00B43511"/>
    <w:rPr>
      <w:rFonts w:ascii="Arial" w:eastAsiaTheme="majorEastAsia" w:hAnsi="Arial" w:cstheme="majorBidi"/>
      <w:b/>
      <w:spacing w:val="-7"/>
      <w:sz w:val="64"/>
      <w:szCs w:val="80"/>
    </w:rPr>
  </w:style>
  <w:style w:type="paragraph" w:styleId="Subtitle">
    <w:name w:val="Subtitle"/>
    <w:basedOn w:val="Normal"/>
    <w:next w:val="Normal"/>
    <w:link w:val="SubtitleChar"/>
    <w:uiPriority w:val="11"/>
    <w:qFormat/>
    <w:rsid w:val="00B43511"/>
    <w:pPr>
      <w:numPr>
        <w:ilvl w:val="1"/>
      </w:numPr>
      <w:spacing w:before="240" w:after="480"/>
    </w:pPr>
    <w:rPr>
      <w:rFonts w:ascii="Arial" w:eastAsiaTheme="majorEastAsia" w:hAnsi="Arial" w:cstheme="majorBidi"/>
      <w:sz w:val="30"/>
      <w:szCs w:val="30"/>
    </w:rPr>
  </w:style>
  <w:style w:type="character" w:customStyle="1" w:styleId="SubtitleChar">
    <w:name w:val="Subtitle Char"/>
    <w:basedOn w:val="DefaultParagraphFont"/>
    <w:link w:val="Subtitle"/>
    <w:uiPriority w:val="11"/>
    <w:rsid w:val="00B43511"/>
    <w:rPr>
      <w:rFonts w:ascii="Arial" w:eastAsiaTheme="majorEastAsia" w:hAnsi="Arial" w:cstheme="majorBidi"/>
      <w:sz w:val="30"/>
      <w:szCs w:val="30"/>
    </w:rPr>
  </w:style>
  <w:style w:type="character" w:customStyle="1" w:styleId="DocTitle">
    <w:name w:val="DocTitle"/>
    <w:basedOn w:val="DefaultParagraphFont"/>
    <w:rsid w:val="00B43511"/>
  </w:style>
  <w:style w:type="character" w:styleId="CommentReference">
    <w:name w:val="annotation reference"/>
    <w:basedOn w:val="DefaultParagraphFont"/>
    <w:uiPriority w:val="99"/>
    <w:semiHidden/>
    <w:unhideWhenUsed/>
    <w:rsid w:val="009C37C7"/>
    <w:rPr>
      <w:sz w:val="16"/>
      <w:szCs w:val="16"/>
    </w:rPr>
  </w:style>
  <w:style w:type="paragraph" w:styleId="CommentText">
    <w:name w:val="annotation text"/>
    <w:basedOn w:val="Normal"/>
    <w:link w:val="CommentTextChar"/>
    <w:uiPriority w:val="99"/>
    <w:semiHidden/>
    <w:unhideWhenUsed/>
    <w:rsid w:val="009C37C7"/>
    <w:rPr>
      <w:sz w:val="20"/>
      <w:szCs w:val="20"/>
    </w:rPr>
  </w:style>
  <w:style w:type="character" w:customStyle="1" w:styleId="CommentTextChar">
    <w:name w:val="Comment Text Char"/>
    <w:basedOn w:val="DefaultParagraphFont"/>
    <w:link w:val="CommentText"/>
    <w:uiPriority w:val="99"/>
    <w:semiHidden/>
    <w:rsid w:val="009C37C7"/>
    <w:rPr>
      <w:sz w:val="20"/>
      <w:szCs w:val="20"/>
    </w:rPr>
  </w:style>
  <w:style w:type="paragraph" w:styleId="CommentSubject">
    <w:name w:val="annotation subject"/>
    <w:basedOn w:val="CommentText"/>
    <w:next w:val="CommentText"/>
    <w:link w:val="CommentSubjectChar"/>
    <w:uiPriority w:val="99"/>
    <w:semiHidden/>
    <w:unhideWhenUsed/>
    <w:rsid w:val="009C37C7"/>
    <w:rPr>
      <w:b/>
      <w:bCs/>
    </w:rPr>
  </w:style>
  <w:style w:type="character" w:customStyle="1" w:styleId="CommentSubjectChar">
    <w:name w:val="Comment Subject Char"/>
    <w:basedOn w:val="CommentTextChar"/>
    <w:link w:val="CommentSubject"/>
    <w:uiPriority w:val="99"/>
    <w:semiHidden/>
    <w:rsid w:val="009C37C7"/>
    <w:rPr>
      <w:b/>
      <w:bCs/>
      <w:sz w:val="20"/>
      <w:szCs w:val="20"/>
    </w:rPr>
  </w:style>
  <w:style w:type="paragraph" w:styleId="BalloonText">
    <w:name w:val="Balloon Text"/>
    <w:basedOn w:val="Normal"/>
    <w:link w:val="BalloonTextChar"/>
    <w:uiPriority w:val="99"/>
    <w:semiHidden/>
    <w:unhideWhenUsed/>
    <w:rsid w:val="009C3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C7"/>
    <w:rPr>
      <w:rFonts w:ascii="Segoe UI" w:hAnsi="Segoe UI" w:cs="Segoe UI"/>
      <w:sz w:val="18"/>
      <w:szCs w:val="18"/>
    </w:rPr>
  </w:style>
  <w:style w:type="character" w:styleId="Hyperlink">
    <w:name w:val="Hyperlink"/>
    <w:basedOn w:val="DefaultParagraphFont"/>
    <w:uiPriority w:val="99"/>
    <w:unhideWhenUsed/>
    <w:rsid w:val="001E1664"/>
    <w:rPr>
      <w:strike w:val="0"/>
      <w:dstrike w:val="0"/>
      <w:color w:val="13578B"/>
      <w:u w:val="none"/>
      <w:effect w:val="none"/>
      <w:shd w:val="clear" w:color="auto" w:fill="auto"/>
    </w:rPr>
  </w:style>
  <w:style w:type="character" w:styleId="FollowedHyperlink">
    <w:name w:val="FollowedHyperlink"/>
    <w:basedOn w:val="DefaultParagraphFont"/>
    <w:uiPriority w:val="99"/>
    <w:semiHidden/>
    <w:unhideWhenUsed/>
    <w:rsid w:val="001E1664"/>
    <w:rPr>
      <w:color w:val="954F72" w:themeColor="followedHyperlink"/>
      <w:u w:val="single"/>
    </w:rPr>
  </w:style>
  <w:style w:type="character" w:styleId="UnresolvedMention">
    <w:name w:val="Unresolved Mention"/>
    <w:basedOn w:val="DefaultParagraphFont"/>
    <w:uiPriority w:val="99"/>
    <w:semiHidden/>
    <w:unhideWhenUsed/>
    <w:rsid w:val="00C45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42636">
      <w:bodyDiv w:val="1"/>
      <w:marLeft w:val="0"/>
      <w:marRight w:val="0"/>
      <w:marTop w:val="0"/>
      <w:marBottom w:val="0"/>
      <w:divBdr>
        <w:top w:val="none" w:sz="0" w:space="0" w:color="auto"/>
        <w:left w:val="none" w:sz="0" w:space="0" w:color="auto"/>
        <w:bottom w:val="none" w:sz="0" w:space="0" w:color="auto"/>
        <w:right w:val="none" w:sz="0" w:space="0" w:color="auto"/>
      </w:divBdr>
    </w:div>
    <w:div w:id="19715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human-resources/employee-management-conduct-and-performance/conduct-and-performance/performance-manag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orgov.qld.gov.au/employment-policy-career-and-wellbeing/directives-policies-circulars-and-guidelines/managing-employee-health-safety-and-wellbeing-independent-medical-examinations-under-the-public-service-act-2008-directive-011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irc.qld.gov.au/public-service-appea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irc.qld.gov.au/public-service-appeals" TargetMode="External"/><Relationship Id="rId5" Type="http://schemas.openxmlformats.org/officeDocument/2006/relationships/numbering" Target="numbering.xml"/><Relationship Id="rId15" Type="http://schemas.openxmlformats.org/officeDocument/2006/relationships/hyperlink" Target="https://www.forgov.qld.gov.au/employment-policy-career-and-wellbeing/directives-policies-circulars-and-guidelines/appeals-directive-07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human-resources/employee-management-conduct-and-performance/conduct-and-performance/employee-support-pers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7" ma:contentTypeDescription="Create a new document." ma:contentTypeScope="" ma:versionID="b7ecff7cf493e382f896a5e863ba9270">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2af9cd73cd6e538e756ca4954bc67931"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ubjectmatterexpert xmlns="42f71f86-2bc3-4eda-a5e7-ed52d7073a80" xsi:nil="true"/>
    <Link xmlns="42f71f86-2bc3-4eda-a5e7-ed52d7073a80">
      <Url xsi:nil="true"/>
      <Description xsi:nil="true"/>
    </Link>
    <lcf76f155ced4ddcb4097134ff3c332f xmlns="42f71f86-2bc3-4eda-a5e7-ed52d7073a80">
      <Terms xmlns="http://schemas.microsoft.com/office/infopath/2007/PartnerControls"/>
    </lcf76f155ced4ddcb4097134ff3c332f>
    <TaxCatchAll xmlns="fd5a31b8-7943-496c-9bf2-dda18d38b62a" xsi:nil="true"/>
  </documentManagement>
</p:properties>
</file>

<file path=customXml/itemProps1.xml><?xml version="1.0" encoding="utf-8"?>
<ds:datastoreItem xmlns:ds="http://schemas.openxmlformats.org/officeDocument/2006/customXml" ds:itemID="{406A4F75-EA79-4164-AC09-437EEB914520}"/>
</file>

<file path=customXml/itemProps2.xml><?xml version="1.0" encoding="utf-8"?>
<ds:datastoreItem xmlns:ds="http://schemas.openxmlformats.org/officeDocument/2006/customXml" ds:itemID="{D8127CBE-5047-44CF-ACCD-F6D04CCEE769}">
  <ds:schemaRefs>
    <ds:schemaRef ds:uri="http://schemas.microsoft.com/sharepoint/v3/contenttype/forms"/>
  </ds:schemaRefs>
</ds:datastoreItem>
</file>

<file path=customXml/itemProps3.xml><?xml version="1.0" encoding="utf-8"?>
<ds:datastoreItem xmlns:ds="http://schemas.openxmlformats.org/officeDocument/2006/customXml" ds:itemID="{4FCA2D49-C96A-4B82-997B-F7BFA5594AF5}">
  <ds:schemaRefs>
    <ds:schemaRef ds:uri="http://schemas.openxmlformats.org/officeDocument/2006/bibliography"/>
  </ds:schemaRefs>
</ds:datastoreItem>
</file>

<file path=customXml/itemProps4.xml><?xml version="1.0" encoding="utf-8"?>
<ds:datastoreItem xmlns:ds="http://schemas.openxmlformats.org/officeDocument/2006/customXml" ds:itemID="{31B3CB1A-12EB-4615-AFC8-80ADB911CE2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14fcae8-6854-4148-bd97-399d24c25923"/>
    <ds:schemaRef ds:uri="http://purl.org/dc/elements/1.1/"/>
    <ds:schemaRef ds:uri="http://schemas.microsoft.com/office/2006/metadata/properties"/>
    <ds:schemaRef ds:uri="6570ed56-daa9-4352-bbf2-1de35582a9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10/20: Independent medical examinations</dc:title>
  <dc:subject>Directive 10/20: Independent medical examinations</dc:subject>
  <dc:creator/>
  <cp:keywords>Directive 10/20: Independent medical examinations</cp:keywords>
  <dc:description/>
  <cp:lastModifiedBy/>
  <cp:revision>1</cp:revision>
  <dcterms:created xsi:type="dcterms:W3CDTF">2022-11-16T04:54:00Z</dcterms:created>
  <dcterms:modified xsi:type="dcterms:W3CDTF">2022-11-16T04:54:00Z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ies>
</file>