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1284" w14:textId="7D366BA7" w:rsidR="00F752DB" w:rsidRDefault="00F752DB">
      <w:bookmarkStart w:id="0" w:name="_GoBack"/>
      <w:bookmarkEnd w:id="0"/>
    </w:p>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15AEA116" w:rsidR="00701011" w:rsidRPr="00701011" w:rsidRDefault="00490248" w:rsidP="00F905BC">
      <w:pPr>
        <w:pStyle w:val="Title"/>
        <w:ind w:left="851"/>
      </w:pPr>
      <w:r>
        <w:t>Conflict of interest register</w:t>
      </w:r>
    </w:p>
    <w:p w14:paraId="17F263DD" w14:textId="77777777" w:rsidR="00B255EA" w:rsidRDefault="00B255EA" w:rsidP="00B255EA">
      <w:pPr>
        <w:pStyle w:val="Subtitle"/>
        <w:spacing w:line="360" w:lineRule="auto"/>
        <w:ind w:left="851"/>
      </w:pPr>
      <w:bookmarkStart w:id="1" w:name="_Hlk27743617"/>
      <w:r>
        <w:t>Template</w:t>
      </w:r>
    </w:p>
    <w:p w14:paraId="48EDD1C1" w14:textId="77777777" w:rsidR="00B255EA" w:rsidRDefault="00B255EA" w:rsidP="00B255EA">
      <w:pPr>
        <w:pStyle w:val="Subtitle"/>
        <w:numPr>
          <w:ilvl w:val="0"/>
          <w:numId w:val="0"/>
        </w:numPr>
        <w:ind w:left="851"/>
        <w:rPr>
          <w:sz w:val="28"/>
          <w:szCs w:val="28"/>
        </w:rPr>
      </w:pPr>
      <w:r w:rsidRPr="00982DE5">
        <w:rPr>
          <w:sz w:val="28"/>
          <w:szCs w:val="28"/>
          <w:highlight w:val="yellow"/>
        </w:rPr>
        <w:t>(Insert procurement activity and reference number)</w:t>
      </w:r>
    </w:p>
    <w:bookmarkEnd w:id="1"/>
    <w:p w14:paraId="087AE5F4" w14:textId="6DD47C3B" w:rsidR="001B4C89" w:rsidRDefault="001B4C89" w:rsidP="001B4C89"/>
    <w:p w14:paraId="6514993F" w14:textId="77777777" w:rsidR="00B255EA" w:rsidRPr="00435C9E" w:rsidRDefault="00B255EA" w:rsidP="00B255EA"/>
    <w:tbl>
      <w:tblPr>
        <w:tblStyle w:val="TableGrid"/>
        <w:tblW w:w="8930" w:type="dxa"/>
        <w:tblInd w:w="279" w:type="dxa"/>
        <w:tblLook w:val="04A0" w:firstRow="1" w:lastRow="0" w:firstColumn="1" w:lastColumn="0" w:noHBand="0" w:noVBand="1"/>
      </w:tblPr>
      <w:tblGrid>
        <w:gridCol w:w="8930"/>
      </w:tblGrid>
      <w:tr w:rsidR="00B255EA" w14:paraId="326DF11E" w14:textId="77777777" w:rsidTr="00054354">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7FD50" w14:textId="77777777" w:rsidR="00B255EA" w:rsidRPr="00435C9E" w:rsidRDefault="00B255EA" w:rsidP="00054354">
            <w:pPr>
              <w:spacing w:after="160"/>
              <w:rPr>
                <w:b/>
                <w:szCs w:val="20"/>
              </w:rPr>
            </w:pPr>
            <w:bookmarkStart w:id="2" w:name="_Hlk27743637"/>
            <w:r w:rsidRPr="00435C9E">
              <w:rPr>
                <w:b/>
                <w:szCs w:val="20"/>
              </w:rPr>
              <w:t>When to use this template</w:t>
            </w:r>
          </w:p>
          <w:p w14:paraId="7ECDC525" w14:textId="5C95BF91" w:rsidR="00B255EA" w:rsidRPr="00435C9E" w:rsidRDefault="00B255EA" w:rsidP="00054354">
            <w:pPr>
              <w:spacing w:after="160" w:line="276" w:lineRule="auto"/>
              <w:rPr>
                <w:rFonts w:cs="Arial"/>
                <w:szCs w:val="20"/>
              </w:rPr>
            </w:pPr>
            <w:r w:rsidRPr="00435C9E">
              <w:rPr>
                <w:rFonts w:cs="Arial"/>
                <w:szCs w:val="20"/>
              </w:rPr>
              <w:t xml:space="preserve">This template can be used to document </w:t>
            </w:r>
            <w:r>
              <w:rPr>
                <w:rFonts w:cs="Arial"/>
                <w:szCs w:val="20"/>
              </w:rPr>
              <w:t>and register conflict of interest declarations provided by officers involved in a procurement activity</w:t>
            </w:r>
            <w:r w:rsidRPr="00435C9E">
              <w:rPr>
                <w:rFonts w:cs="Arial"/>
                <w:szCs w:val="20"/>
              </w:rPr>
              <w:t>.</w:t>
            </w:r>
          </w:p>
          <w:p w14:paraId="3711098A" w14:textId="77777777" w:rsidR="00B255EA" w:rsidRPr="00435C9E" w:rsidRDefault="00B255EA" w:rsidP="00054354">
            <w:pPr>
              <w:spacing w:after="160" w:line="360" w:lineRule="auto"/>
              <w:rPr>
                <w:rFonts w:cs="Arial"/>
                <w:b/>
                <w:szCs w:val="20"/>
              </w:rPr>
            </w:pPr>
            <w:r w:rsidRPr="00435C9E">
              <w:rPr>
                <w:rFonts w:cs="Arial"/>
                <w:b/>
                <w:szCs w:val="20"/>
              </w:rPr>
              <w:t>Please delete this text box and remove any user notes before use.</w:t>
            </w:r>
          </w:p>
          <w:p w14:paraId="23A7B898" w14:textId="77777777" w:rsidR="00B255EA" w:rsidRPr="00435C9E" w:rsidRDefault="00B255EA" w:rsidP="00054354">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7461614D" w14:textId="77777777" w:rsidR="00B255EA" w:rsidRPr="00435C9E" w:rsidRDefault="00B255EA" w:rsidP="00054354">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56DECF1E" w14:textId="77777777" w:rsidR="00B255EA" w:rsidRDefault="00B255EA" w:rsidP="00054354">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3CBC8D63" w14:textId="77777777" w:rsidR="00B255EA" w:rsidRDefault="00B255EA" w:rsidP="00054354">
            <w:pPr>
              <w:spacing w:after="160" w:line="240" w:lineRule="auto"/>
              <w:rPr>
                <w:rFonts w:cs="Arial"/>
                <w:b/>
                <w:szCs w:val="20"/>
              </w:rPr>
            </w:pPr>
          </w:p>
          <w:p w14:paraId="2888E07D" w14:textId="77777777" w:rsidR="00B255EA" w:rsidRPr="00CA0DD7" w:rsidRDefault="00B255EA" w:rsidP="00054354">
            <w:pPr>
              <w:spacing w:after="160" w:line="240" w:lineRule="auto"/>
              <w:rPr>
                <w:rFonts w:cs="Arial"/>
                <w:b/>
                <w:sz w:val="18"/>
                <w:szCs w:val="20"/>
              </w:rPr>
            </w:pPr>
            <w:r w:rsidRPr="00CA0DD7">
              <w:rPr>
                <w:rFonts w:cs="Arial"/>
                <w:b/>
                <w:sz w:val="18"/>
                <w:szCs w:val="20"/>
              </w:rPr>
              <w:t>Disclaimer</w:t>
            </w:r>
          </w:p>
          <w:p w14:paraId="2618E6DD" w14:textId="77777777" w:rsidR="00B255EA" w:rsidRPr="00CA0DD7" w:rsidRDefault="00B255EA" w:rsidP="00054354">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245D82C1" w14:textId="77777777" w:rsidR="00B255EA" w:rsidRPr="00CA0DD7" w:rsidRDefault="00B255EA" w:rsidP="00054354">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bookmarkEnd w:id="2"/>
    </w:tbl>
    <w:p w14:paraId="5D9B50F1" w14:textId="77777777" w:rsidR="001B4C89" w:rsidRDefault="001B4C89" w:rsidP="001B4C89">
      <w:pPr>
        <w:spacing w:after="0" w:line="240" w:lineRule="auto"/>
        <w:rPr>
          <w:rFonts w:cs="Arial"/>
        </w:rPr>
      </w:pPr>
    </w:p>
    <w:p w14:paraId="2A7D037F" w14:textId="77E2F976" w:rsidR="00490248" w:rsidRDefault="00490248">
      <w:pPr>
        <w:spacing w:line="259" w:lineRule="auto"/>
        <w:rPr>
          <w:rFonts w:cs="Arial"/>
        </w:rPr>
      </w:pPr>
      <w:r>
        <w:rPr>
          <w:rFonts w:cs="Arial"/>
        </w:rPr>
        <w:br w:type="page"/>
      </w:r>
    </w:p>
    <w:p w14:paraId="59891143" w14:textId="3A313D81" w:rsidR="00B255EA" w:rsidRPr="00B255EA" w:rsidRDefault="00B255EA" w:rsidP="00B255EA">
      <w:pPr>
        <w:pStyle w:val="Heading1"/>
        <w:rPr>
          <w:b w:val="0"/>
          <w:szCs w:val="24"/>
        </w:rPr>
      </w:pPr>
      <w:r w:rsidRPr="00B255EA">
        <w:rPr>
          <w:b w:val="0"/>
          <w:szCs w:val="24"/>
        </w:rPr>
        <w:lastRenderedPageBreak/>
        <w:t>Conflict of interest register</w:t>
      </w:r>
    </w:p>
    <w:p w14:paraId="56F98151" w14:textId="724E7FF4" w:rsidR="00B255EA" w:rsidRDefault="00B255EA" w:rsidP="00B255EA">
      <w:pPr>
        <w:rPr>
          <w:color w:val="0070C0"/>
          <w:szCs w:val="24"/>
        </w:rPr>
      </w:pPr>
      <w:r w:rsidRPr="008C61D4">
        <w:rPr>
          <w:color w:val="0070C0"/>
          <w:szCs w:val="24"/>
        </w:rPr>
        <w:t xml:space="preserve">[User note: </w:t>
      </w:r>
      <w:r>
        <w:rPr>
          <w:color w:val="0070C0"/>
          <w:szCs w:val="24"/>
        </w:rPr>
        <w:t>conflict of interest declarations should be obtained as soon as possible from any person involved in the procurement activity</w:t>
      </w:r>
      <w:r w:rsidRPr="008C61D4">
        <w:rPr>
          <w:color w:val="0070C0"/>
          <w:szCs w:val="24"/>
        </w:rPr>
        <w:t>.</w:t>
      </w:r>
      <w:r>
        <w:rPr>
          <w:color w:val="0070C0"/>
          <w:szCs w:val="24"/>
        </w:rPr>
        <w:t xml:space="preserve"> Any declared conflicts of interest, along with the determination of any resolution strategies, needs to occur in accordance with agency requirements and delegations.</w:t>
      </w:r>
      <w:r w:rsidRPr="008C61D4">
        <w:rPr>
          <w:color w:val="0070C0"/>
          <w:szCs w:val="24"/>
        </w:rPr>
        <w:t>]</w:t>
      </w:r>
    </w:p>
    <w:tbl>
      <w:tblPr>
        <w:tblStyle w:val="TableGrid"/>
        <w:tblW w:w="0" w:type="auto"/>
        <w:tblLayout w:type="fixed"/>
        <w:tblLook w:val="04A0" w:firstRow="1" w:lastRow="0" w:firstColumn="1" w:lastColumn="0" w:noHBand="0" w:noVBand="1"/>
      </w:tblPr>
      <w:tblGrid>
        <w:gridCol w:w="1502"/>
        <w:gridCol w:w="1503"/>
        <w:gridCol w:w="1503"/>
        <w:gridCol w:w="1502"/>
        <w:gridCol w:w="1503"/>
        <w:gridCol w:w="1503"/>
      </w:tblGrid>
      <w:tr w:rsidR="00B255EA" w:rsidRPr="001943A6" w14:paraId="248DC53C" w14:textId="46AAF3F9" w:rsidTr="008A017D">
        <w:trPr>
          <w:trHeight w:val="552"/>
        </w:trPr>
        <w:tc>
          <w:tcPr>
            <w:tcW w:w="1502" w:type="dxa"/>
            <w:shd w:val="clear" w:color="auto" w:fill="74808C"/>
            <w:noWrap/>
            <w:hideMark/>
          </w:tcPr>
          <w:p w14:paraId="1536E685" w14:textId="2C6A15F4" w:rsidR="00B255EA" w:rsidRPr="00B255EA" w:rsidRDefault="00B255EA" w:rsidP="00B255EA">
            <w:pPr>
              <w:spacing w:before="40"/>
              <w:rPr>
                <w:b/>
                <w:color w:val="FFFFFF" w:themeColor="background1"/>
                <w:szCs w:val="20"/>
              </w:rPr>
            </w:pPr>
            <w:r w:rsidRPr="00B255EA">
              <w:rPr>
                <w:b/>
                <w:color w:val="FFFFFF" w:themeColor="background1"/>
                <w:szCs w:val="20"/>
              </w:rPr>
              <w:t>Date of conflict of interest declaration</w:t>
            </w:r>
          </w:p>
        </w:tc>
        <w:tc>
          <w:tcPr>
            <w:tcW w:w="1503" w:type="dxa"/>
            <w:shd w:val="clear" w:color="auto" w:fill="74808C"/>
            <w:hideMark/>
          </w:tcPr>
          <w:p w14:paraId="7636357C" w14:textId="403F3F51" w:rsidR="00B255EA" w:rsidRPr="00B255EA" w:rsidRDefault="00B255EA" w:rsidP="00B255EA">
            <w:pPr>
              <w:spacing w:before="40"/>
              <w:rPr>
                <w:b/>
                <w:color w:val="FFFFFF" w:themeColor="background1"/>
                <w:szCs w:val="20"/>
              </w:rPr>
            </w:pPr>
            <w:r w:rsidRPr="00B255EA">
              <w:rPr>
                <w:b/>
                <w:color w:val="FFFFFF" w:themeColor="background1"/>
                <w:szCs w:val="20"/>
              </w:rPr>
              <w:t>Name of officer</w:t>
            </w:r>
          </w:p>
        </w:tc>
        <w:tc>
          <w:tcPr>
            <w:tcW w:w="1503" w:type="dxa"/>
            <w:shd w:val="clear" w:color="auto" w:fill="74808C"/>
            <w:hideMark/>
          </w:tcPr>
          <w:p w14:paraId="18AEC698" w14:textId="2036000E" w:rsidR="00B255EA" w:rsidRPr="00B255EA" w:rsidRDefault="00B255EA" w:rsidP="00B255EA">
            <w:pPr>
              <w:spacing w:before="40"/>
              <w:rPr>
                <w:b/>
                <w:color w:val="FFFFFF" w:themeColor="background1"/>
                <w:szCs w:val="20"/>
              </w:rPr>
            </w:pPr>
            <w:r w:rsidRPr="00B255EA">
              <w:rPr>
                <w:b/>
                <w:color w:val="FFFFFF" w:themeColor="background1"/>
                <w:szCs w:val="20"/>
              </w:rPr>
              <w:t>Declared conflicts (Y/N)</w:t>
            </w:r>
          </w:p>
        </w:tc>
        <w:tc>
          <w:tcPr>
            <w:tcW w:w="1502" w:type="dxa"/>
            <w:shd w:val="clear" w:color="auto" w:fill="74808C"/>
          </w:tcPr>
          <w:p w14:paraId="21CFDE49" w14:textId="2B80A73B" w:rsidR="00B255EA" w:rsidRPr="00B255EA" w:rsidRDefault="00B255EA" w:rsidP="00B255EA">
            <w:pPr>
              <w:spacing w:before="40"/>
              <w:rPr>
                <w:b/>
                <w:color w:val="FFFFFF" w:themeColor="background1"/>
                <w:szCs w:val="20"/>
              </w:rPr>
            </w:pPr>
            <w:r w:rsidRPr="00B255EA">
              <w:rPr>
                <w:b/>
                <w:color w:val="FFFFFF" w:themeColor="background1"/>
                <w:szCs w:val="20"/>
              </w:rPr>
              <w:t>Summary of declared conflict (if applicable)</w:t>
            </w:r>
          </w:p>
        </w:tc>
        <w:tc>
          <w:tcPr>
            <w:tcW w:w="1503" w:type="dxa"/>
            <w:shd w:val="clear" w:color="auto" w:fill="74808C"/>
            <w:hideMark/>
          </w:tcPr>
          <w:p w14:paraId="2AF8C441" w14:textId="6A29953C" w:rsidR="00B255EA" w:rsidRPr="00B255EA" w:rsidRDefault="00B255EA" w:rsidP="00B255EA">
            <w:pPr>
              <w:spacing w:before="40"/>
              <w:rPr>
                <w:b/>
                <w:color w:val="FFFFFF" w:themeColor="background1"/>
                <w:szCs w:val="20"/>
              </w:rPr>
            </w:pPr>
            <w:r w:rsidRPr="00B255EA">
              <w:rPr>
                <w:b/>
                <w:color w:val="FFFFFF" w:themeColor="background1"/>
                <w:szCs w:val="20"/>
              </w:rPr>
              <w:t>Approved resolution strategy</w:t>
            </w:r>
            <w:r>
              <w:rPr>
                <w:b/>
                <w:color w:val="FFFFFF" w:themeColor="background1"/>
                <w:szCs w:val="20"/>
              </w:rPr>
              <w:t xml:space="preserve"> (if applicable)</w:t>
            </w:r>
          </w:p>
        </w:tc>
        <w:tc>
          <w:tcPr>
            <w:tcW w:w="1503" w:type="dxa"/>
            <w:shd w:val="clear" w:color="auto" w:fill="74808C"/>
          </w:tcPr>
          <w:p w14:paraId="275E780B" w14:textId="1204E434" w:rsidR="00B255EA" w:rsidRPr="00B255EA" w:rsidRDefault="00B255EA" w:rsidP="00B255EA">
            <w:pPr>
              <w:spacing w:before="40"/>
              <w:rPr>
                <w:b/>
                <w:color w:val="FFFFFF" w:themeColor="background1"/>
                <w:szCs w:val="20"/>
              </w:rPr>
            </w:pPr>
            <w:r w:rsidRPr="00B255EA">
              <w:rPr>
                <w:b/>
                <w:color w:val="FFFFFF" w:themeColor="background1"/>
                <w:szCs w:val="20"/>
              </w:rPr>
              <w:t>Probity advisor notified (if applicable)</w:t>
            </w:r>
          </w:p>
        </w:tc>
      </w:tr>
      <w:tr w:rsidR="00B255EA" w:rsidRPr="001943A6" w14:paraId="2087480B" w14:textId="6E2FF6A4" w:rsidTr="008A017D">
        <w:trPr>
          <w:trHeight w:val="495"/>
        </w:trPr>
        <w:tc>
          <w:tcPr>
            <w:tcW w:w="1502" w:type="dxa"/>
            <w:hideMark/>
          </w:tcPr>
          <w:p w14:paraId="6DD45D8B" w14:textId="47AD3855" w:rsidR="00B255EA" w:rsidRPr="008A017D" w:rsidRDefault="00B255EA" w:rsidP="00B255EA">
            <w:pPr>
              <w:spacing w:before="40"/>
              <w:rPr>
                <w:szCs w:val="20"/>
                <w:highlight w:val="yellow"/>
              </w:rPr>
            </w:pPr>
            <w:r w:rsidRPr="008A017D">
              <w:rPr>
                <w:szCs w:val="20"/>
                <w:highlight w:val="yellow"/>
              </w:rPr>
              <w:t>(Insert date)</w:t>
            </w:r>
          </w:p>
        </w:tc>
        <w:tc>
          <w:tcPr>
            <w:tcW w:w="1503" w:type="dxa"/>
            <w:hideMark/>
          </w:tcPr>
          <w:p w14:paraId="07159A08" w14:textId="134432B8" w:rsidR="00B255EA" w:rsidRPr="008A017D" w:rsidRDefault="00B255EA" w:rsidP="00B255EA">
            <w:pPr>
              <w:spacing w:before="40"/>
              <w:rPr>
                <w:szCs w:val="20"/>
                <w:highlight w:val="yellow"/>
              </w:rPr>
            </w:pPr>
            <w:r w:rsidRPr="008A017D">
              <w:rPr>
                <w:szCs w:val="20"/>
                <w:highlight w:val="yellow"/>
              </w:rPr>
              <w:t>(Insert name) </w:t>
            </w:r>
          </w:p>
        </w:tc>
        <w:tc>
          <w:tcPr>
            <w:tcW w:w="1503" w:type="dxa"/>
            <w:hideMark/>
          </w:tcPr>
          <w:p w14:paraId="62C2D42F" w14:textId="444B59B0" w:rsidR="00B255EA" w:rsidRPr="008A017D" w:rsidRDefault="00B255EA" w:rsidP="00B255EA">
            <w:pPr>
              <w:spacing w:before="40"/>
              <w:rPr>
                <w:szCs w:val="20"/>
                <w:highlight w:val="yellow"/>
              </w:rPr>
            </w:pPr>
            <w:r w:rsidRPr="008A017D">
              <w:rPr>
                <w:szCs w:val="20"/>
                <w:highlight w:val="yellow"/>
              </w:rPr>
              <w:t>(Y</w:t>
            </w:r>
            <w:r w:rsidR="0033705E">
              <w:rPr>
                <w:szCs w:val="20"/>
                <w:highlight w:val="yellow"/>
              </w:rPr>
              <w:t>/</w:t>
            </w:r>
            <w:r w:rsidRPr="008A017D">
              <w:rPr>
                <w:szCs w:val="20"/>
                <w:highlight w:val="yellow"/>
              </w:rPr>
              <w:t xml:space="preserve"> N)</w:t>
            </w:r>
          </w:p>
        </w:tc>
        <w:tc>
          <w:tcPr>
            <w:tcW w:w="1502" w:type="dxa"/>
          </w:tcPr>
          <w:p w14:paraId="1C66B2AC" w14:textId="7B544675" w:rsidR="00B255EA" w:rsidRPr="008A017D" w:rsidRDefault="00B255EA" w:rsidP="00B255EA">
            <w:pPr>
              <w:spacing w:before="40"/>
              <w:rPr>
                <w:szCs w:val="20"/>
                <w:highlight w:val="yellow"/>
              </w:rPr>
            </w:pPr>
            <w:r w:rsidRPr="008A017D">
              <w:rPr>
                <w:szCs w:val="20"/>
                <w:highlight w:val="yellow"/>
              </w:rPr>
              <w:t>(Insert summary, if applicable)</w:t>
            </w:r>
          </w:p>
        </w:tc>
        <w:tc>
          <w:tcPr>
            <w:tcW w:w="1503" w:type="dxa"/>
            <w:hideMark/>
          </w:tcPr>
          <w:p w14:paraId="351C7A29" w14:textId="47A86929" w:rsidR="00B255EA" w:rsidRPr="008A017D" w:rsidRDefault="00B255EA" w:rsidP="00B255EA">
            <w:pPr>
              <w:spacing w:before="40"/>
              <w:rPr>
                <w:szCs w:val="20"/>
                <w:highlight w:val="yellow"/>
              </w:rPr>
            </w:pPr>
            <w:r w:rsidRPr="008A017D">
              <w:rPr>
                <w:szCs w:val="20"/>
                <w:highlight w:val="yellow"/>
              </w:rPr>
              <w:t>(Insert approved resolution strategy, if applicable)</w:t>
            </w:r>
          </w:p>
        </w:tc>
        <w:tc>
          <w:tcPr>
            <w:tcW w:w="1503" w:type="dxa"/>
          </w:tcPr>
          <w:p w14:paraId="4115D7B5" w14:textId="30812DA8" w:rsidR="00B255EA" w:rsidRPr="008A017D" w:rsidRDefault="008A017D" w:rsidP="00B255EA">
            <w:pPr>
              <w:spacing w:before="40"/>
              <w:rPr>
                <w:szCs w:val="20"/>
                <w:highlight w:val="yellow"/>
              </w:rPr>
            </w:pPr>
            <w:r w:rsidRPr="008A017D">
              <w:rPr>
                <w:szCs w:val="20"/>
                <w:highlight w:val="yellow"/>
              </w:rPr>
              <w:t>(Insert once the probity advisor has been notified)</w:t>
            </w:r>
          </w:p>
        </w:tc>
      </w:tr>
      <w:tr w:rsidR="008A017D" w:rsidRPr="001943A6" w14:paraId="367564C6" w14:textId="7E010468" w:rsidTr="008A017D">
        <w:trPr>
          <w:trHeight w:val="495"/>
        </w:trPr>
        <w:tc>
          <w:tcPr>
            <w:tcW w:w="1502" w:type="dxa"/>
            <w:hideMark/>
          </w:tcPr>
          <w:p w14:paraId="00E39CFA" w14:textId="12CA9E36" w:rsidR="008A017D" w:rsidRPr="00B255EA" w:rsidRDefault="008A017D" w:rsidP="008A017D">
            <w:pPr>
              <w:spacing w:before="40"/>
              <w:rPr>
                <w:szCs w:val="20"/>
              </w:rPr>
            </w:pPr>
            <w:r w:rsidRPr="008A017D">
              <w:rPr>
                <w:szCs w:val="20"/>
                <w:highlight w:val="yellow"/>
              </w:rPr>
              <w:t>(Insert date)</w:t>
            </w:r>
          </w:p>
        </w:tc>
        <w:tc>
          <w:tcPr>
            <w:tcW w:w="1503" w:type="dxa"/>
            <w:hideMark/>
          </w:tcPr>
          <w:p w14:paraId="3709C12B" w14:textId="403A45E0" w:rsidR="008A017D" w:rsidRPr="00B255EA" w:rsidRDefault="008A017D" w:rsidP="008A017D">
            <w:pPr>
              <w:spacing w:before="40"/>
              <w:rPr>
                <w:szCs w:val="20"/>
              </w:rPr>
            </w:pPr>
            <w:r w:rsidRPr="008A017D">
              <w:rPr>
                <w:szCs w:val="20"/>
                <w:highlight w:val="yellow"/>
              </w:rPr>
              <w:t>(Insert name) </w:t>
            </w:r>
          </w:p>
        </w:tc>
        <w:tc>
          <w:tcPr>
            <w:tcW w:w="1503" w:type="dxa"/>
            <w:hideMark/>
          </w:tcPr>
          <w:p w14:paraId="0C4457C1" w14:textId="23F53AC2" w:rsidR="008A017D" w:rsidRPr="00B255EA" w:rsidRDefault="008A017D" w:rsidP="008A017D">
            <w:pPr>
              <w:spacing w:before="40"/>
              <w:rPr>
                <w:szCs w:val="20"/>
              </w:rPr>
            </w:pPr>
            <w:r w:rsidRPr="008A017D">
              <w:rPr>
                <w:szCs w:val="20"/>
                <w:highlight w:val="yellow"/>
              </w:rPr>
              <w:t>(Y</w:t>
            </w:r>
            <w:r w:rsidR="0033705E">
              <w:rPr>
                <w:szCs w:val="20"/>
                <w:highlight w:val="yellow"/>
              </w:rPr>
              <w:t>/</w:t>
            </w:r>
            <w:r w:rsidRPr="008A017D">
              <w:rPr>
                <w:szCs w:val="20"/>
                <w:highlight w:val="yellow"/>
              </w:rPr>
              <w:t>N)</w:t>
            </w:r>
          </w:p>
        </w:tc>
        <w:tc>
          <w:tcPr>
            <w:tcW w:w="1502" w:type="dxa"/>
          </w:tcPr>
          <w:p w14:paraId="195E6F5A" w14:textId="7BB54A42" w:rsidR="008A017D" w:rsidRPr="00B255EA" w:rsidRDefault="008A017D" w:rsidP="008A017D">
            <w:pPr>
              <w:spacing w:before="40"/>
              <w:rPr>
                <w:szCs w:val="20"/>
              </w:rPr>
            </w:pPr>
            <w:r w:rsidRPr="008A017D">
              <w:rPr>
                <w:szCs w:val="20"/>
                <w:highlight w:val="yellow"/>
              </w:rPr>
              <w:t>(Insert summary, if applicable)</w:t>
            </w:r>
          </w:p>
        </w:tc>
        <w:tc>
          <w:tcPr>
            <w:tcW w:w="1503" w:type="dxa"/>
            <w:hideMark/>
          </w:tcPr>
          <w:p w14:paraId="2EFCE1F6" w14:textId="0627709E" w:rsidR="008A017D" w:rsidRPr="00B255EA" w:rsidRDefault="008A017D" w:rsidP="008A017D">
            <w:pPr>
              <w:spacing w:before="40"/>
              <w:rPr>
                <w:szCs w:val="20"/>
              </w:rPr>
            </w:pPr>
            <w:r w:rsidRPr="008A017D">
              <w:rPr>
                <w:szCs w:val="20"/>
                <w:highlight w:val="yellow"/>
              </w:rPr>
              <w:t>(Insert approved resolution strategy, if applicable)</w:t>
            </w:r>
          </w:p>
        </w:tc>
        <w:tc>
          <w:tcPr>
            <w:tcW w:w="1503" w:type="dxa"/>
          </w:tcPr>
          <w:p w14:paraId="0812F8D4" w14:textId="61D8E133" w:rsidR="008A017D" w:rsidRPr="00B255EA" w:rsidRDefault="008A017D" w:rsidP="008A017D">
            <w:pPr>
              <w:spacing w:before="40"/>
              <w:rPr>
                <w:szCs w:val="20"/>
              </w:rPr>
            </w:pPr>
            <w:r w:rsidRPr="008A017D">
              <w:rPr>
                <w:szCs w:val="20"/>
                <w:highlight w:val="yellow"/>
              </w:rPr>
              <w:t>(Insert once the probity advisor has been notified)</w:t>
            </w:r>
          </w:p>
        </w:tc>
      </w:tr>
      <w:tr w:rsidR="008A017D" w:rsidRPr="001943A6" w14:paraId="4151EA98" w14:textId="5AE097FC" w:rsidTr="008A017D">
        <w:trPr>
          <w:trHeight w:val="495"/>
        </w:trPr>
        <w:tc>
          <w:tcPr>
            <w:tcW w:w="1502" w:type="dxa"/>
            <w:hideMark/>
          </w:tcPr>
          <w:p w14:paraId="50A7C191" w14:textId="4D97CBF5" w:rsidR="008A017D" w:rsidRPr="00B255EA" w:rsidRDefault="008A017D" w:rsidP="008A017D">
            <w:pPr>
              <w:spacing w:before="40"/>
              <w:rPr>
                <w:szCs w:val="20"/>
              </w:rPr>
            </w:pPr>
            <w:r w:rsidRPr="008A017D">
              <w:rPr>
                <w:szCs w:val="20"/>
                <w:highlight w:val="yellow"/>
              </w:rPr>
              <w:t>(Insert date)</w:t>
            </w:r>
          </w:p>
        </w:tc>
        <w:tc>
          <w:tcPr>
            <w:tcW w:w="1503" w:type="dxa"/>
            <w:hideMark/>
          </w:tcPr>
          <w:p w14:paraId="4EB9B603" w14:textId="49682578" w:rsidR="008A017D" w:rsidRPr="00B255EA" w:rsidRDefault="008A017D" w:rsidP="008A017D">
            <w:pPr>
              <w:spacing w:before="40"/>
              <w:rPr>
                <w:szCs w:val="20"/>
              </w:rPr>
            </w:pPr>
            <w:r w:rsidRPr="008A017D">
              <w:rPr>
                <w:szCs w:val="20"/>
                <w:highlight w:val="yellow"/>
              </w:rPr>
              <w:t>(Insert name) </w:t>
            </w:r>
          </w:p>
        </w:tc>
        <w:tc>
          <w:tcPr>
            <w:tcW w:w="1503" w:type="dxa"/>
            <w:hideMark/>
          </w:tcPr>
          <w:p w14:paraId="45885EDE" w14:textId="18D0EF8A" w:rsidR="008A017D" w:rsidRPr="00B255EA" w:rsidRDefault="008A017D" w:rsidP="008A017D">
            <w:pPr>
              <w:spacing w:before="40"/>
              <w:rPr>
                <w:szCs w:val="20"/>
              </w:rPr>
            </w:pPr>
            <w:r w:rsidRPr="008A017D">
              <w:rPr>
                <w:szCs w:val="20"/>
                <w:highlight w:val="yellow"/>
              </w:rPr>
              <w:t>(Y</w:t>
            </w:r>
            <w:r w:rsidR="0033705E">
              <w:rPr>
                <w:szCs w:val="20"/>
                <w:highlight w:val="yellow"/>
              </w:rPr>
              <w:t>/</w:t>
            </w:r>
            <w:r w:rsidRPr="008A017D">
              <w:rPr>
                <w:szCs w:val="20"/>
                <w:highlight w:val="yellow"/>
              </w:rPr>
              <w:t>N)</w:t>
            </w:r>
          </w:p>
        </w:tc>
        <w:tc>
          <w:tcPr>
            <w:tcW w:w="1502" w:type="dxa"/>
          </w:tcPr>
          <w:p w14:paraId="4EF690CE" w14:textId="5D5E4166" w:rsidR="008A017D" w:rsidRPr="00B255EA" w:rsidRDefault="008A017D" w:rsidP="008A017D">
            <w:pPr>
              <w:spacing w:before="40"/>
              <w:rPr>
                <w:szCs w:val="20"/>
              </w:rPr>
            </w:pPr>
            <w:r w:rsidRPr="008A017D">
              <w:rPr>
                <w:szCs w:val="20"/>
                <w:highlight w:val="yellow"/>
              </w:rPr>
              <w:t>(Insert summary, if applicable)</w:t>
            </w:r>
          </w:p>
        </w:tc>
        <w:tc>
          <w:tcPr>
            <w:tcW w:w="1503" w:type="dxa"/>
            <w:hideMark/>
          </w:tcPr>
          <w:p w14:paraId="7C8CD19A" w14:textId="0734D190" w:rsidR="008A017D" w:rsidRPr="00B255EA" w:rsidRDefault="008A017D" w:rsidP="008A017D">
            <w:pPr>
              <w:spacing w:before="40"/>
              <w:rPr>
                <w:szCs w:val="20"/>
              </w:rPr>
            </w:pPr>
            <w:r w:rsidRPr="008A017D">
              <w:rPr>
                <w:szCs w:val="20"/>
                <w:highlight w:val="yellow"/>
              </w:rPr>
              <w:t>(Insert approved resolution strategy, if applicable)</w:t>
            </w:r>
          </w:p>
        </w:tc>
        <w:tc>
          <w:tcPr>
            <w:tcW w:w="1503" w:type="dxa"/>
          </w:tcPr>
          <w:p w14:paraId="75337683" w14:textId="23A312E9" w:rsidR="008A017D" w:rsidRPr="00B255EA" w:rsidRDefault="008A017D" w:rsidP="008A017D">
            <w:pPr>
              <w:spacing w:before="40"/>
              <w:rPr>
                <w:szCs w:val="20"/>
              </w:rPr>
            </w:pPr>
            <w:r w:rsidRPr="008A017D">
              <w:rPr>
                <w:szCs w:val="20"/>
                <w:highlight w:val="yellow"/>
              </w:rPr>
              <w:t>(Insert once the probity advisor has been notified)</w:t>
            </w:r>
          </w:p>
        </w:tc>
      </w:tr>
    </w:tbl>
    <w:p w14:paraId="378A9CAA" w14:textId="77777777" w:rsidR="001B4C89" w:rsidRDefault="001B4C89" w:rsidP="00B255EA">
      <w:pPr>
        <w:pStyle w:val="Heading1"/>
        <w:rPr>
          <w:rFonts w:cs="Arial"/>
        </w:rPr>
      </w:pPr>
    </w:p>
    <w:sectPr w:rsidR="001B4C89" w:rsidSect="003A1CD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26CD9A3F"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490248">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490248">
      <w:rPr>
        <w:noProof/>
        <w:color w:val="404040" w:themeColor="text1" w:themeTint="BF"/>
      </w:rPr>
      <w:t xml:space="preserve"> of </w:t>
    </w:r>
    <w:r w:rsidR="005E4494">
      <w:rPr>
        <w:noProof/>
        <w:color w:val="404040" w:themeColor="text1" w:themeTint="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0F129C1B" w:rsidR="00F752DB" w:rsidRPr="00AB0F2F" w:rsidRDefault="00956FB5"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B255EA">
          <w:rPr>
            <w:color w:val="404040" w:themeColor="text1" w:themeTint="BF"/>
            <w:sz w:val="16"/>
            <w:szCs w:val="16"/>
          </w:rPr>
          <w:t>Conflict of interest register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FD0079"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9"/>
  </w:num>
  <w:num w:numId="4">
    <w:abstractNumId w:val="12"/>
  </w:num>
  <w:num w:numId="5">
    <w:abstractNumId w:val="2"/>
  </w:num>
  <w:num w:numId="6">
    <w:abstractNumId w:val="3"/>
  </w:num>
  <w:num w:numId="7">
    <w:abstractNumId w:val="5"/>
  </w:num>
  <w:num w:numId="8">
    <w:abstractNumId w:val="7"/>
  </w:num>
  <w:num w:numId="9">
    <w:abstractNumId w:val="6"/>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55A1F"/>
    <w:rsid w:val="00071234"/>
    <w:rsid w:val="00074338"/>
    <w:rsid w:val="000B7E82"/>
    <w:rsid w:val="000F4BE1"/>
    <w:rsid w:val="00105D9D"/>
    <w:rsid w:val="00142FC9"/>
    <w:rsid w:val="00172C66"/>
    <w:rsid w:val="001B4C89"/>
    <w:rsid w:val="001B5456"/>
    <w:rsid w:val="00211A7F"/>
    <w:rsid w:val="002B7855"/>
    <w:rsid w:val="0033705E"/>
    <w:rsid w:val="00381F07"/>
    <w:rsid w:val="003A1CD0"/>
    <w:rsid w:val="004751E9"/>
    <w:rsid w:val="00490248"/>
    <w:rsid w:val="004A0CF6"/>
    <w:rsid w:val="004B1190"/>
    <w:rsid w:val="004E25E5"/>
    <w:rsid w:val="00511F56"/>
    <w:rsid w:val="00527D36"/>
    <w:rsid w:val="005A7EB2"/>
    <w:rsid w:val="005E4494"/>
    <w:rsid w:val="005F19F1"/>
    <w:rsid w:val="00611AD1"/>
    <w:rsid w:val="00673C5E"/>
    <w:rsid w:val="006762F3"/>
    <w:rsid w:val="00701011"/>
    <w:rsid w:val="00743C3C"/>
    <w:rsid w:val="007A4B81"/>
    <w:rsid w:val="007A7AD0"/>
    <w:rsid w:val="00847102"/>
    <w:rsid w:val="008A017D"/>
    <w:rsid w:val="00956FB5"/>
    <w:rsid w:val="009908A1"/>
    <w:rsid w:val="00AB0F2F"/>
    <w:rsid w:val="00B255EA"/>
    <w:rsid w:val="00B33273"/>
    <w:rsid w:val="00B846B4"/>
    <w:rsid w:val="00C54CF3"/>
    <w:rsid w:val="00D567A5"/>
    <w:rsid w:val="00F502A1"/>
    <w:rsid w:val="00F752DB"/>
    <w:rsid w:val="00F81DE9"/>
    <w:rsid w:val="00F905BC"/>
    <w:rsid w:val="00FD0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527D36"/>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527D36"/>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527D36"/>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527D36"/>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ld.gov.au/buy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78B4E-6640-46A5-84FF-F7C89D92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1258E-7A72-41CC-A44D-DC314B02E7D2}">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microsoft.com/sharepoint/v3"/>
    <ds:schemaRef ds:uri="0ad183ca-8683-44c7-ab86-4db51d3609ae"/>
    <ds:schemaRef ds:uri="7e3aca9d-d4eb-4254-a437-6bb7f1b28d83"/>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91941D0-8C94-4FDB-A340-41870FCD8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Conflict of interest register</vt:lpstr>
    </vt:vector>
  </TitlesOfParts>
  <Company>Department of Housing and Public Works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register</dc:title>
  <dc:subject/>
  <dc:creator>Department of Housing and Public Works</dc:creator>
  <cp:keywords>Queensland Procurement Policy, QPP, Conflict of interest, conflicting priorities, maintaining probity, third party conflict</cp:keywords>
  <dc:description>This template can be used to record conflicts of interest for procurement officers involved in the tender process</dc:description>
  <cp:lastModifiedBy>COOK Erin</cp:lastModifiedBy>
  <cp:revision>3</cp:revision>
  <cp:lastPrinted>2018-11-01T02:25:00Z</cp:lastPrinted>
  <dcterms:created xsi:type="dcterms:W3CDTF">2020-02-11T07:19:00Z</dcterms:created>
  <dcterms:modified xsi:type="dcterms:W3CDTF">2020-02-11T07:37:00Z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