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6660" w14:textId="77777777" w:rsidR="00644558" w:rsidRDefault="00644558" w:rsidP="00644558">
      <w:pPr>
        <w:pStyle w:val="Title"/>
      </w:pPr>
    </w:p>
    <w:p w14:paraId="6D7F2360" w14:textId="77777777" w:rsidR="00644558" w:rsidRDefault="00644558" w:rsidP="00644558">
      <w:pPr>
        <w:pStyle w:val="Title"/>
      </w:pPr>
    </w:p>
    <w:p w14:paraId="417D040C" w14:textId="77777777" w:rsidR="00644558" w:rsidRDefault="00644558" w:rsidP="00644558">
      <w:pPr>
        <w:pStyle w:val="Title"/>
      </w:pPr>
    </w:p>
    <w:p w14:paraId="74112908" w14:textId="77777777" w:rsidR="00644558" w:rsidRDefault="00644558" w:rsidP="00644558">
      <w:pPr>
        <w:pStyle w:val="Title"/>
      </w:pPr>
      <w:r>
        <w:t>Conflict of interest register template</w:t>
      </w:r>
      <w:bookmarkStart w:id="0" w:name="_Hlk27743617"/>
    </w:p>
    <w:p w14:paraId="51600E98" w14:textId="77777777" w:rsidR="00644558" w:rsidRDefault="00644558" w:rsidP="00644558">
      <w:pPr>
        <w:pStyle w:val="Subtitle"/>
        <w:numPr>
          <w:ilvl w:val="0"/>
          <w:numId w:val="0"/>
        </w:numPr>
        <w:rPr>
          <w:sz w:val="28"/>
          <w:szCs w:val="28"/>
        </w:rPr>
      </w:pPr>
      <w:r w:rsidRPr="00644558">
        <w:rPr>
          <w:sz w:val="28"/>
          <w:szCs w:val="28"/>
          <w:highlight w:val="lightGray"/>
        </w:rPr>
        <w:t>[Insert procurement activity and reference number]</w:t>
      </w:r>
    </w:p>
    <w:bookmarkEnd w:id="0"/>
    <w:p w14:paraId="6D1CAC44" w14:textId="77777777" w:rsidR="00644558" w:rsidRDefault="00644558" w:rsidP="00644558"/>
    <w:p w14:paraId="00099EC0" w14:textId="77777777" w:rsidR="00644558" w:rsidRPr="00435C9E" w:rsidRDefault="00644558" w:rsidP="00644558"/>
    <w:tbl>
      <w:tblPr>
        <w:tblStyle w:val="TableGrid"/>
        <w:tblW w:w="8917" w:type="dxa"/>
        <w:tblInd w:w="279" w:type="dxa"/>
        <w:shd w:val="clear" w:color="auto" w:fill="F2F2F2" w:themeFill="background1" w:themeFillShade="F2"/>
        <w:tblLook w:val="04A0" w:firstRow="1" w:lastRow="0" w:firstColumn="1" w:lastColumn="0" w:noHBand="0" w:noVBand="1"/>
      </w:tblPr>
      <w:tblGrid>
        <w:gridCol w:w="8917"/>
      </w:tblGrid>
      <w:tr w:rsidR="00644558" w14:paraId="0A5DDBD1" w14:textId="77777777" w:rsidTr="00644558">
        <w:trPr>
          <w:trHeight w:val="300"/>
        </w:trPr>
        <w:tc>
          <w:tcPr>
            <w:tcW w:w="8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BCA8D" w14:textId="77777777" w:rsidR="00644558" w:rsidRPr="00435C9E" w:rsidRDefault="00644558" w:rsidP="00C94700">
            <w:pPr>
              <w:spacing w:after="160"/>
              <w:rPr>
                <w:b/>
                <w:szCs w:val="20"/>
              </w:rPr>
            </w:pPr>
            <w:bookmarkStart w:id="1" w:name="_Hlk27743637"/>
            <w:r w:rsidRPr="00435C9E">
              <w:rPr>
                <w:b/>
                <w:szCs w:val="20"/>
              </w:rPr>
              <w:t>When to use this template</w:t>
            </w:r>
          </w:p>
          <w:p w14:paraId="21362971" w14:textId="77777777" w:rsidR="00644558" w:rsidRPr="00435C9E" w:rsidRDefault="00644558" w:rsidP="00C94700">
            <w:pPr>
              <w:spacing w:after="160" w:line="276" w:lineRule="auto"/>
              <w:rPr>
                <w:rFonts w:cs="Arial"/>
                <w:szCs w:val="20"/>
              </w:rPr>
            </w:pPr>
            <w:r w:rsidRPr="00435C9E">
              <w:rPr>
                <w:rFonts w:cs="Arial"/>
                <w:szCs w:val="20"/>
              </w:rPr>
              <w:t xml:space="preserve">This template can be used to document </w:t>
            </w:r>
            <w:r>
              <w:rPr>
                <w:rFonts w:cs="Arial"/>
                <w:szCs w:val="20"/>
              </w:rPr>
              <w:t>and register conflict of interest declarations provided by officers involved in a procurement activity</w:t>
            </w:r>
            <w:r w:rsidRPr="00435C9E">
              <w:rPr>
                <w:rFonts w:cs="Arial"/>
                <w:szCs w:val="20"/>
              </w:rPr>
              <w:t>.</w:t>
            </w:r>
          </w:p>
          <w:p w14:paraId="35E0873F" w14:textId="77777777" w:rsidR="00644558" w:rsidRDefault="00644558" w:rsidP="00C94700">
            <w:pPr>
              <w:spacing w:after="160" w:line="360" w:lineRule="auto"/>
              <w:rPr>
                <w:rFonts w:cs="Arial"/>
              </w:rPr>
            </w:pPr>
            <w:r w:rsidRPr="406B7CF7">
              <w:rPr>
                <w:rFonts w:cs="Arial"/>
                <w:b/>
                <w:bCs/>
              </w:rPr>
              <w:t>Use of this template is optional</w:t>
            </w:r>
            <w:r w:rsidRPr="406B7CF7">
              <w:rPr>
                <w:rFonts w:cs="Arial"/>
              </w:rPr>
              <w:t xml:space="preserve"> – remember to check your agency’s policies and procedures to see if your agency has a standard template available that you are required to use.</w:t>
            </w:r>
          </w:p>
          <w:p w14:paraId="515BE5A8" w14:textId="77777777" w:rsidR="00644558" w:rsidRDefault="00644558" w:rsidP="00C94700">
            <w:pPr>
              <w:spacing w:after="160" w:line="360" w:lineRule="auto"/>
              <w:rPr>
                <w:rFonts w:cs="Arial"/>
                <w:b/>
                <w:bCs/>
              </w:rPr>
            </w:pPr>
            <w:r w:rsidRPr="406B7CF7">
              <w:rPr>
                <w:rFonts w:cs="Arial"/>
                <w:b/>
                <w:bCs/>
              </w:rPr>
              <w:t xml:space="preserve">Please delete this text box and remove any </w:t>
            </w:r>
            <w:r w:rsidRPr="406B7CF7">
              <w:rPr>
                <w:rFonts w:cs="Arial"/>
                <w:b/>
                <w:bCs/>
                <w:color w:val="00B0F0"/>
              </w:rPr>
              <w:t xml:space="preserve">user notes </w:t>
            </w:r>
            <w:r w:rsidRPr="406B7CF7">
              <w:rPr>
                <w:rFonts w:cs="Arial"/>
                <w:b/>
                <w:bCs/>
              </w:rPr>
              <w:t>before use.</w:t>
            </w:r>
          </w:p>
          <w:p w14:paraId="01B1502F" w14:textId="451ADFAA" w:rsidR="00644558" w:rsidRPr="00CA0DD7" w:rsidRDefault="00644558" w:rsidP="00C94700">
            <w:pPr>
              <w:spacing w:after="160" w:line="360" w:lineRule="auto"/>
              <w:rPr>
                <w:rFonts w:cs="Arial"/>
                <w:b/>
                <w:bCs/>
              </w:rPr>
            </w:pPr>
            <w:r w:rsidRPr="00644558">
              <w:rPr>
                <w:rFonts w:cs="Arial"/>
                <w:b/>
                <w:bCs/>
              </w:rPr>
              <w:t xml:space="preserve">All items in </w:t>
            </w:r>
            <w:r w:rsidRPr="00644558">
              <w:rPr>
                <w:rFonts w:cs="Arial"/>
                <w:b/>
                <w:bCs/>
                <w:highlight w:val="lightGray"/>
              </w:rPr>
              <w:t>grey</w:t>
            </w:r>
            <w:r w:rsidRPr="00644558">
              <w:rPr>
                <w:rFonts w:cs="Arial"/>
                <w:b/>
                <w:bCs/>
              </w:rPr>
              <w:t xml:space="preserve"> are to be updated as appropriate.</w:t>
            </w:r>
          </w:p>
        </w:tc>
      </w:tr>
      <w:bookmarkEnd w:id="1"/>
    </w:tbl>
    <w:p w14:paraId="4DC69201" w14:textId="77777777" w:rsidR="00644558" w:rsidRDefault="00644558" w:rsidP="00644558">
      <w:pPr>
        <w:spacing w:after="0"/>
        <w:rPr>
          <w:rFonts w:cs="Arial"/>
        </w:rPr>
      </w:pPr>
    </w:p>
    <w:p w14:paraId="55DC2039" w14:textId="77777777" w:rsidR="00644558" w:rsidRDefault="00644558" w:rsidP="00644558">
      <w:pPr>
        <w:spacing w:line="259" w:lineRule="auto"/>
        <w:rPr>
          <w:rFonts w:cs="Arial"/>
        </w:rPr>
      </w:pPr>
      <w:r>
        <w:rPr>
          <w:rFonts w:cs="Arial"/>
        </w:rPr>
        <w:br w:type="page"/>
      </w:r>
    </w:p>
    <w:p w14:paraId="78CCFC87" w14:textId="77777777" w:rsidR="00644558" w:rsidRPr="00B255EA" w:rsidRDefault="00644558" w:rsidP="00644558">
      <w:pPr>
        <w:pStyle w:val="Heading1"/>
        <w:rPr>
          <w:b/>
          <w:szCs w:val="24"/>
        </w:rPr>
      </w:pPr>
      <w:r w:rsidRPr="00B255EA">
        <w:rPr>
          <w:szCs w:val="24"/>
        </w:rPr>
        <w:lastRenderedPageBreak/>
        <w:t>Conflict of interest register</w:t>
      </w:r>
    </w:p>
    <w:p w14:paraId="6B00AE5E" w14:textId="77777777" w:rsidR="00644558" w:rsidRDefault="00644558" w:rsidP="00644558">
      <w:pPr>
        <w:rPr>
          <w:color w:val="0070C0"/>
        </w:rPr>
      </w:pPr>
      <w:r w:rsidRPr="406B7CF7">
        <w:rPr>
          <w:color w:val="0070C0"/>
        </w:rPr>
        <w:t>User note: Conflict of interest declarations should be obtained as soon as possible from any person involved in the procurement activity. Any declared conflicts of interest, along with the determination of any resolution strategies, needs to occur in accordance with agency requirements and delegations.</w:t>
      </w:r>
    </w:p>
    <w:tbl>
      <w:tblPr>
        <w:tblStyle w:val="TableGrid"/>
        <w:tblW w:w="0" w:type="auto"/>
        <w:tblLayout w:type="fixed"/>
        <w:tblLook w:val="04A0" w:firstRow="1" w:lastRow="0" w:firstColumn="1" w:lastColumn="0" w:noHBand="0" w:noVBand="1"/>
      </w:tblPr>
      <w:tblGrid>
        <w:gridCol w:w="1502"/>
        <w:gridCol w:w="1503"/>
        <w:gridCol w:w="1503"/>
        <w:gridCol w:w="1502"/>
        <w:gridCol w:w="1503"/>
        <w:gridCol w:w="1503"/>
      </w:tblGrid>
      <w:tr w:rsidR="00644558" w:rsidRPr="001943A6" w14:paraId="0023B72B" w14:textId="77777777" w:rsidTr="00C94700">
        <w:trPr>
          <w:trHeight w:val="552"/>
        </w:trPr>
        <w:tc>
          <w:tcPr>
            <w:tcW w:w="1502" w:type="dxa"/>
            <w:shd w:val="clear" w:color="auto" w:fill="0070C0"/>
            <w:noWrap/>
            <w:hideMark/>
          </w:tcPr>
          <w:p w14:paraId="142E3893" w14:textId="77777777" w:rsidR="00644558" w:rsidRPr="00B255EA" w:rsidRDefault="00644558" w:rsidP="00C94700">
            <w:pPr>
              <w:spacing w:before="40"/>
              <w:rPr>
                <w:b/>
                <w:color w:val="FFFFFF" w:themeColor="background1"/>
                <w:szCs w:val="20"/>
              </w:rPr>
            </w:pPr>
            <w:r w:rsidRPr="00B255EA">
              <w:rPr>
                <w:b/>
                <w:color w:val="FFFFFF" w:themeColor="background1"/>
                <w:szCs w:val="20"/>
              </w:rPr>
              <w:t xml:space="preserve">Date of </w:t>
            </w:r>
            <w:proofErr w:type="gramStart"/>
            <w:r w:rsidRPr="00B255EA">
              <w:rPr>
                <w:b/>
                <w:color w:val="FFFFFF" w:themeColor="background1"/>
                <w:szCs w:val="20"/>
              </w:rPr>
              <w:t>conflict</w:t>
            </w:r>
            <w:r>
              <w:rPr>
                <w:b/>
                <w:color w:val="FFFFFF" w:themeColor="background1"/>
                <w:szCs w:val="20"/>
              </w:rPr>
              <w:t xml:space="preserve"> </w:t>
            </w:r>
            <w:r w:rsidRPr="00B255EA">
              <w:rPr>
                <w:b/>
                <w:color w:val="FFFFFF" w:themeColor="background1"/>
                <w:szCs w:val="20"/>
              </w:rPr>
              <w:t>of</w:t>
            </w:r>
            <w:r>
              <w:rPr>
                <w:b/>
                <w:color w:val="FFFFFF" w:themeColor="background1"/>
                <w:szCs w:val="20"/>
              </w:rPr>
              <w:t xml:space="preserve"> </w:t>
            </w:r>
            <w:r w:rsidRPr="00B255EA">
              <w:rPr>
                <w:b/>
                <w:color w:val="FFFFFF" w:themeColor="background1"/>
                <w:szCs w:val="20"/>
              </w:rPr>
              <w:t>interest</w:t>
            </w:r>
            <w:proofErr w:type="gramEnd"/>
            <w:r w:rsidRPr="00B255EA">
              <w:rPr>
                <w:b/>
                <w:color w:val="FFFFFF" w:themeColor="background1"/>
                <w:szCs w:val="20"/>
              </w:rPr>
              <w:t xml:space="preserve"> declaration</w:t>
            </w:r>
          </w:p>
        </w:tc>
        <w:tc>
          <w:tcPr>
            <w:tcW w:w="1503" w:type="dxa"/>
            <w:shd w:val="clear" w:color="auto" w:fill="0070C0"/>
            <w:hideMark/>
          </w:tcPr>
          <w:p w14:paraId="4C3D0C95" w14:textId="77777777" w:rsidR="00644558" w:rsidRPr="00B255EA" w:rsidRDefault="00644558" w:rsidP="00C94700">
            <w:pPr>
              <w:spacing w:before="40"/>
              <w:rPr>
                <w:b/>
                <w:color w:val="FFFFFF" w:themeColor="background1"/>
                <w:szCs w:val="20"/>
              </w:rPr>
            </w:pPr>
            <w:r w:rsidRPr="00B255EA">
              <w:rPr>
                <w:b/>
                <w:color w:val="FFFFFF" w:themeColor="background1"/>
                <w:szCs w:val="20"/>
              </w:rPr>
              <w:t>Name of officer</w:t>
            </w:r>
          </w:p>
        </w:tc>
        <w:tc>
          <w:tcPr>
            <w:tcW w:w="1503" w:type="dxa"/>
            <w:shd w:val="clear" w:color="auto" w:fill="0070C0"/>
            <w:hideMark/>
          </w:tcPr>
          <w:p w14:paraId="5D189E46" w14:textId="77777777" w:rsidR="00644558" w:rsidRPr="00B255EA" w:rsidRDefault="00644558" w:rsidP="00C94700">
            <w:pPr>
              <w:spacing w:before="40"/>
              <w:rPr>
                <w:b/>
                <w:color w:val="FFFFFF" w:themeColor="background1"/>
                <w:szCs w:val="20"/>
              </w:rPr>
            </w:pPr>
            <w:r w:rsidRPr="00B255EA">
              <w:rPr>
                <w:b/>
                <w:color w:val="FFFFFF" w:themeColor="background1"/>
                <w:szCs w:val="20"/>
              </w:rPr>
              <w:t>Declared conflicts (Y/N)</w:t>
            </w:r>
          </w:p>
        </w:tc>
        <w:tc>
          <w:tcPr>
            <w:tcW w:w="1502" w:type="dxa"/>
            <w:shd w:val="clear" w:color="auto" w:fill="0070C0"/>
          </w:tcPr>
          <w:p w14:paraId="147CBDB9" w14:textId="77777777" w:rsidR="00644558" w:rsidRPr="00B255EA" w:rsidRDefault="00644558" w:rsidP="00C94700">
            <w:pPr>
              <w:spacing w:before="40"/>
              <w:rPr>
                <w:b/>
                <w:color w:val="FFFFFF" w:themeColor="background1"/>
                <w:szCs w:val="20"/>
              </w:rPr>
            </w:pPr>
            <w:r w:rsidRPr="00B255EA">
              <w:rPr>
                <w:b/>
                <w:color w:val="FFFFFF" w:themeColor="background1"/>
                <w:szCs w:val="20"/>
              </w:rPr>
              <w:t>Summary of declared conflict (if applicable)</w:t>
            </w:r>
          </w:p>
        </w:tc>
        <w:tc>
          <w:tcPr>
            <w:tcW w:w="1503" w:type="dxa"/>
            <w:shd w:val="clear" w:color="auto" w:fill="0070C0"/>
            <w:hideMark/>
          </w:tcPr>
          <w:p w14:paraId="108710F7" w14:textId="77777777" w:rsidR="00644558" w:rsidRPr="00B255EA" w:rsidRDefault="00644558" w:rsidP="00C94700">
            <w:pPr>
              <w:spacing w:before="40"/>
              <w:rPr>
                <w:b/>
                <w:color w:val="FFFFFF" w:themeColor="background1"/>
                <w:szCs w:val="20"/>
              </w:rPr>
            </w:pPr>
            <w:r w:rsidRPr="00B255EA">
              <w:rPr>
                <w:b/>
                <w:color w:val="FFFFFF" w:themeColor="background1"/>
                <w:szCs w:val="20"/>
              </w:rPr>
              <w:t>Approved resolution strategy</w:t>
            </w:r>
            <w:r>
              <w:rPr>
                <w:b/>
                <w:color w:val="FFFFFF" w:themeColor="background1"/>
                <w:szCs w:val="20"/>
              </w:rPr>
              <w:t xml:space="preserve"> (if applicable)</w:t>
            </w:r>
          </w:p>
        </w:tc>
        <w:tc>
          <w:tcPr>
            <w:tcW w:w="1503" w:type="dxa"/>
            <w:shd w:val="clear" w:color="auto" w:fill="0070C0"/>
          </w:tcPr>
          <w:p w14:paraId="28A29465" w14:textId="77777777" w:rsidR="00644558" w:rsidRPr="00B255EA" w:rsidRDefault="00644558" w:rsidP="00C94700">
            <w:pPr>
              <w:spacing w:before="40"/>
              <w:rPr>
                <w:b/>
                <w:color w:val="FFFFFF" w:themeColor="background1"/>
                <w:szCs w:val="20"/>
              </w:rPr>
            </w:pPr>
            <w:r w:rsidRPr="00B255EA">
              <w:rPr>
                <w:b/>
                <w:color w:val="FFFFFF" w:themeColor="background1"/>
                <w:szCs w:val="20"/>
              </w:rPr>
              <w:t>Probity advisor notified (if applicable)</w:t>
            </w:r>
          </w:p>
        </w:tc>
      </w:tr>
      <w:tr w:rsidR="00644558" w:rsidRPr="001943A6" w14:paraId="4345E7F8" w14:textId="77777777" w:rsidTr="00C94700">
        <w:trPr>
          <w:trHeight w:val="495"/>
        </w:trPr>
        <w:tc>
          <w:tcPr>
            <w:tcW w:w="1502" w:type="dxa"/>
            <w:hideMark/>
          </w:tcPr>
          <w:p w14:paraId="7536A33E" w14:textId="77777777" w:rsidR="00644558" w:rsidRPr="00644558" w:rsidRDefault="00644558" w:rsidP="00C94700">
            <w:pPr>
              <w:spacing w:before="40"/>
              <w:rPr>
                <w:szCs w:val="20"/>
                <w:highlight w:val="lightGray"/>
              </w:rPr>
            </w:pPr>
            <w:r w:rsidRPr="00644558">
              <w:rPr>
                <w:szCs w:val="20"/>
                <w:highlight w:val="lightGray"/>
              </w:rPr>
              <w:t>[Insert date]</w:t>
            </w:r>
          </w:p>
        </w:tc>
        <w:tc>
          <w:tcPr>
            <w:tcW w:w="1503" w:type="dxa"/>
            <w:hideMark/>
          </w:tcPr>
          <w:p w14:paraId="4C216B53" w14:textId="77777777" w:rsidR="00644558" w:rsidRPr="00644558" w:rsidRDefault="00644558" w:rsidP="00C94700">
            <w:pPr>
              <w:spacing w:before="40"/>
              <w:rPr>
                <w:szCs w:val="20"/>
                <w:highlight w:val="lightGray"/>
              </w:rPr>
            </w:pPr>
            <w:r w:rsidRPr="00644558">
              <w:rPr>
                <w:szCs w:val="20"/>
                <w:highlight w:val="lightGray"/>
              </w:rPr>
              <w:t>[Insert name]</w:t>
            </w:r>
          </w:p>
        </w:tc>
        <w:tc>
          <w:tcPr>
            <w:tcW w:w="1503" w:type="dxa"/>
            <w:hideMark/>
          </w:tcPr>
          <w:p w14:paraId="391F234C" w14:textId="77777777" w:rsidR="00644558" w:rsidRPr="00644558" w:rsidRDefault="00644558" w:rsidP="00C94700">
            <w:pPr>
              <w:spacing w:before="40"/>
              <w:rPr>
                <w:szCs w:val="20"/>
                <w:highlight w:val="lightGray"/>
              </w:rPr>
            </w:pPr>
            <w:r w:rsidRPr="00644558">
              <w:rPr>
                <w:szCs w:val="20"/>
                <w:highlight w:val="lightGray"/>
              </w:rPr>
              <w:t>[Y/ N]</w:t>
            </w:r>
          </w:p>
        </w:tc>
        <w:tc>
          <w:tcPr>
            <w:tcW w:w="1502" w:type="dxa"/>
          </w:tcPr>
          <w:p w14:paraId="7A99F3C5" w14:textId="77777777" w:rsidR="00644558" w:rsidRPr="00644558" w:rsidRDefault="00644558" w:rsidP="00C94700">
            <w:pPr>
              <w:spacing w:before="40"/>
              <w:rPr>
                <w:szCs w:val="20"/>
                <w:highlight w:val="lightGray"/>
              </w:rPr>
            </w:pPr>
            <w:r w:rsidRPr="00644558">
              <w:rPr>
                <w:szCs w:val="20"/>
                <w:highlight w:val="lightGray"/>
              </w:rPr>
              <w:t>[Insert summary, if applicable]</w:t>
            </w:r>
          </w:p>
        </w:tc>
        <w:tc>
          <w:tcPr>
            <w:tcW w:w="1503" w:type="dxa"/>
            <w:hideMark/>
          </w:tcPr>
          <w:p w14:paraId="7F29D29C" w14:textId="77777777" w:rsidR="00644558" w:rsidRPr="00644558" w:rsidRDefault="00644558" w:rsidP="00C94700">
            <w:pPr>
              <w:spacing w:before="40"/>
              <w:rPr>
                <w:szCs w:val="20"/>
                <w:highlight w:val="lightGray"/>
              </w:rPr>
            </w:pPr>
            <w:r w:rsidRPr="00644558">
              <w:rPr>
                <w:szCs w:val="20"/>
                <w:highlight w:val="lightGray"/>
              </w:rPr>
              <w:t>[Insert approved resolution strategy, if applicable]</w:t>
            </w:r>
          </w:p>
        </w:tc>
        <w:tc>
          <w:tcPr>
            <w:tcW w:w="1503" w:type="dxa"/>
          </w:tcPr>
          <w:p w14:paraId="0281A93B" w14:textId="77777777" w:rsidR="00644558" w:rsidRPr="00644558" w:rsidRDefault="00644558" w:rsidP="00C94700">
            <w:pPr>
              <w:spacing w:before="40"/>
              <w:rPr>
                <w:szCs w:val="20"/>
                <w:highlight w:val="lightGray"/>
              </w:rPr>
            </w:pPr>
            <w:r w:rsidRPr="00644558">
              <w:rPr>
                <w:szCs w:val="20"/>
                <w:highlight w:val="lightGray"/>
              </w:rPr>
              <w:t>[Insert once the probity advisor has been notified]</w:t>
            </w:r>
          </w:p>
        </w:tc>
      </w:tr>
      <w:tr w:rsidR="00644558" w:rsidRPr="001943A6" w14:paraId="049EF38F" w14:textId="77777777" w:rsidTr="00C94700">
        <w:trPr>
          <w:trHeight w:val="495"/>
        </w:trPr>
        <w:tc>
          <w:tcPr>
            <w:tcW w:w="1502" w:type="dxa"/>
            <w:hideMark/>
          </w:tcPr>
          <w:p w14:paraId="6BE0DD06" w14:textId="77777777" w:rsidR="00644558" w:rsidRPr="00644558" w:rsidRDefault="00644558" w:rsidP="00C94700">
            <w:pPr>
              <w:spacing w:before="40"/>
              <w:rPr>
                <w:szCs w:val="20"/>
                <w:highlight w:val="lightGray"/>
              </w:rPr>
            </w:pPr>
            <w:r w:rsidRPr="00644558">
              <w:rPr>
                <w:szCs w:val="20"/>
                <w:highlight w:val="lightGray"/>
              </w:rPr>
              <w:t>[Insert date]</w:t>
            </w:r>
          </w:p>
        </w:tc>
        <w:tc>
          <w:tcPr>
            <w:tcW w:w="1503" w:type="dxa"/>
            <w:hideMark/>
          </w:tcPr>
          <w:p w14:paraId="2C8C2E69" w14:textId="77777777" w:rsidR="00644558" w:rsidRPr="00644558" w:rsidRDefault="00644558" w:rsidP="00C94700">
            <w:pPr>
              <w:spacing w:before="40"/>
              <w:rPr>
                <w:szCs w:val="20"/>
                <w:highlight w:val="lightGray"/>
              </w:rPr>
            </w:pPr>
            <w:r w:rsidRPr="00644558">
              <w:rPr>
                <w:szCs w:val="20"/>
                <w:highlight w:val="lightGray"/>
              </w:rPr>
              <w:t>[Insert name]</w:t>
            </w:r>
          </w:p>
        </w:tc>
        <w:tc>
          <w:tcPr>
            <w:tcW w:w="1503" w:type="dxa"/>
            <w:hideMark/>
          </w:tcPr>
          <w:p w14:paraId="18DD361B" w14:textId="77777777" w:rsidR="00644558" w:rsidRPr="00644558" w:rsidRDefault="00644558" w:rsidP="00C94700">
            <w:pPr>
              <w:spacing w:before="40"/>
              <w:rPr>
                <w:szCs w:val="20"/>
                <w:highlight w:val="lightGray"/>
              </w:rPr>
            </w:pPr>
            <w:r w:rsidRPr="00644558">
              <w:rPr>
                <w:szCs w:val="20"/>
                <w:highlight w:val="lightGray"/>
              </w:rPr>
              <w:t>[Y/ N]</w:t>
            </w:r>
          </w:p>
        </w:tc>
        <w:tc>
          <w:tcPr>
            <w:tcW w:w="1502" w:type="dxa"/>
          </w:tcPr>
          <w:p w14:paraId="797179FB" w14:textId="77777777" w:rsidR="00644558" w:rsidRPr="00644558" w:rsidRDefault="00644558" w:rsidP="00C94700">
            <w:pPr>
              <w:spacing w:before="40"/>
              <w:rPr>
                <w:szCs w:val="20"/>
                <w:highlight w:val="lightGray"/>
              </w:rPr>
            </w:pPr>
            <w:r w:rsidRPr="00644558">
              <w:rPr>
                <w:szCs w:val="20"/>
                <w:highlight w:val="lightGray"/>
              </w:rPr>
              <w:t>[Insert summary, if applicable]</w:t>
            </w:r>
          </w:p>
        </w:tc>
        <w:tc>
          <w:tcPr>
            <w:tcW w:w="1503" w:type="dxa"/>
            <w:hideMark/>
          </w:tcPr>
          <w:p w14:paraId="116179AA" w14:textId="77777777" w:rsidR="00644558" w:rsidRPr="00644558" w:rsidRDefault="00644558" w:rsidP="00C94700">
            <w:pPr>
              <w:spacing w:before="40"/>
              <w:rPr>
                <w:szCs w:val="20"/>
                <w:highlight w:val="lightGray"/>
              </w:rPr>
            </w:pPr>
            <w:r w:rsidRPr="00644558">
              <w:rPr>
                <w:szCs w:val="20"/>
                <w:highlight w:val="lightGray"/>
              </w:rPr>
              <w:t>[Insert approved resolution strategy, if applicable]</w:t>
            </w:r>
          </w:p>
        </w:tc>
        <w:tc>
          <w:tcPr>
            <w:tcW w:w="1503" w:type="dxa"/>
          </w:tcPr>
          <w:p w14:paraId="63851C63" w14:textId="77777777" w:rsidR="00644558" w:rsidRPr="00644558" w:rsidRDefault="00644558" w:rsidP="00C94700">
            <w:pPr>
              <w:spacing w:before="40"/>
              <w:rPr>
                <w:szCs w:val="20"/>
                <w:highlight w:val="lightGray"/>
              </w:rPr>
            </w:pPr>
            <w:r w:rsidRPr="00644558">
              <w:rPr>
                <w:szCs w:val="20"/>
                <w:highlight w:val="lightGray"/>
              </w:rPr>
              <w:t>[Insert once the probity advisor has been notified]</w:t>
            </w:r>
          </w:p>
        </w:tc>
      </w:tr>
      <w:tr w:rsidR="00644558" w:rsidRPr="001943A6" w14:paraId="1835E7EE" w14:textId="77777777" w:rsidTr="00C94700">
        <w:trPr>
          <w:trHeight w:val="495"/>
        </w:trPr>
        <w:tc>
          <w:tcPr>
            <w:tcW w:w="1502" w:type="dxa"/>
            <w:hideMark/>
          </w:tcPr>
          <w:p w14:paraId="60F27683" w14:textId="77777777" w:rsidR="00644558" w:rsidRPr="00644558" w:rsidRDefault="00644558" w:rsidP="00C94700">
            <w:pPr>
              <w:spacing w:before="40"/>
              <w:rPr>
                <w:szCs w:val="20"/>
                <w:highlight w:val="lightGray"/>
              </w:rPr>
            </w:pPr>
            <w:r w:rsidRPr="00644558">
              <w:rPr>
                <w:szCs w:val="20"/>
                <w:highlight w:val="lightGray"/>
              </w:rPr>
              <w:t>[Insert date]</w:t>
            </w:r>
          </w:p>
        </w:tc>
        <w:tc>
          <w:tcPr>
            <w:tcW w:w="1503" w:type="dxa"/>
            <w:hideMark/>
          </w:tcPr>
          <w:p w14:paraId="50B956F5" w14:textId="77777777" w:rsidR="00644558" w:rsidRPr="00644558" w:rsidRDefault="00644558" w:rsidP="00C94700">
            <w:pPr>
              <w:spacing w:before="40"/>
              <w:rPr>
                <w:szCs w:val="20"/>
                <w:highlight w:val="lightGray"/>
              </w:rPr>
            </w:pPr>
            <w:r w:rsidRPr="00644558">
              <w:rPr>
                <w:szCs w:val="20"/>
                <w:highlight w:val="lightGray"/>
              </w:rPr>
              <w:t>[Insert name]</w:t>
            </w:r>
          </w:p>
        </w:tc>
        <w:tc>
          <w:tcPr>
            <w:tcW w:w="1503" w:type="dxa"/>
            <w:hideMark/>
          </w:tcPr>
          <w:p w14:paraId="7149C6E6" w14:textId="77777777" w:rsidR="00644558" w:rsidRPr="00644558" w:rsidRDefault="00644558" w:rsidP="00C94700">
            <w:pPr>
              <w:spacing w:before="40"/>
              <w:rPr>
                <w:szCs w:val="20"/>
                <w:highlight w:val="lightGray"/>
              </w:rPr>
            </w:pPr>
            <w:r w:rsidRPr="00644558">
              <w:rPr>
                <w:szCs w:val="20"/>
                <w:highlight w:val="lightGray"/>
              </w:rPr>
              <w:t>[Y/ N]</w:t>
            </w:r>
          </w:p>
        </w:tc>
        <w:tc>
          <w:tcPr>
            <w:tcW w:w="1502" w:type="dxa"/>
          </w:tcPr>
          <w:p w14:paraId="366053DA" w14:textId="77777777" w:rsidR="00644558" w:rsidRPr="00644558" w:rsidRDefault="00644558" w:rsidP="00C94700">
            <w:pPr>
              <w:spacing w:before="40"/>
              <w:rPr>
                <w:szCs w:val="20"/>
                <w:highlight w:val="lightGray"/>
              </w:rPr>
            </w:pPr>
            <w:r w:rsidRPr="00644558">
              <w:rPr>
                <w:szCs w:val="20"/>
                <w:highlight w:val="lightGray"/>
              </w:rPr>
              <w:t>[Insert summary, if applicable]</w:t>
            </w:r>
          </w:p>
        </w:tc>
        <w:tc>
          <w:tcPr>
            <w:tcW w:w="1503" w:type="dxa"/>
            <w:hideMark/>
          </w:tcPr>
          <w:p w14:paraId="287D940F" w14:textId="77777777" w:rsidR="00644558" w:rsidRPr="00644558" w:rsidRDefault="00644558" w:rsidP="00C94700">
            <w:pPr>
              <w:spacing w:before="40"/>
              <w:rPr>
                <w:szCs w:val="20"/>
                <w:highlight w:val="lightGray"/>
              </w:rPr>
            </w:pPr>
            <w:r w:rsidRPr="00644558">
              <w:rPr>
                <w:szCs w:val="20"/>
                <w:highlight w:val="lightGray"/>
              </w:rPr>
              <w:t>[Insert approved resolution strategy, if applicable]</w:t>
            </w:r>
          </w:p>
        </w:tc>
        <w:tc>
          <w:tcPr>
            <w:tcW w:w="1503" w:type="dxa"/>
          </w:tcPr>
          <w:p w14:paraId="74A5D053" w14:textId="77777777" w:rsidR="00644558" w:rsidRPr="00644558" w:rsidRDefault="00644558" w:rsidP="00C94700">
            <w:pPr>
              <w:spacing w:before="40"/>
              <w:rPr>
                <w:szCs w:val="20"/>
                <w:highlight w:val="lightGray"/>
              </w:rPr>
            </w:pPr>
            <w:r w:rsidRPr="00644558">
              <w:rPr>
                <w:szCs w:val="20"/>
                <w:highlight w:val="lightGray"/>
              </w:rPr>
              <w:t>[Insert once the probity advisor has been notified]</w:t>
            </w:r>
          </w:p>
        </w:tc>
      </w:tr>
    </w:tbl>
    <w:p w14:paraId="670F5EF7" w14:textId="77777777" w:rsidR="00644558" w:rsidRDefault="00644558" w:rsidP="00644558">
      <w:pPr>
        <w:pStyle w:val="Heading1"/>
        <w:rPr>
          <w:rFonts w:cs="Arial"/>
        </w:rPr>
      </w:pPr>
    </w:p>
    <w:p w14:paraId="53BB0AD6" w14:textId="77777777" w:rsidR="00644558" w:rsidRDefault="00644558" w:rsidP="00644558">
      <w:pPr>
        <w:spacing w:line="259" w:lineRule="auto"/>
        <w:rPr>
          <w:rFonts w:eastAsiaTheme="majorEastAsia" w:cs="Arial"/>
          <w:b/>
          <w:color w:val="A70240"/>
          <w:sz w:val="36"/>
          <w:szCs w:val="32"/>
        </w:rPr>
      </w:pPr>
      <w:r>
        <w:rPr>
          <w:rFonts w:cs="Arial"/>
        </w:rPr>
        <w:br w:type="page"/>
      </w:r>
    </w:p>
    <w:p w14:paraId="499B9D2B" w14:textId="77777777" w:rsidR="00644558" w:rsidRPr="00582572" w:rsidRDefault="00644558" w:rsidP="00644558">
      <w:pPr>
        <w:keepNext/>
        <w:keepLines/>
        <w:spacing w:before="120" w:after="120"/>
        <w:outlineLvl w:val="4"/>
        <w:rPr>
          <w:rFonts w:eastAsia="Times New Roman" w:cs="Times New Roman"/>
          <w:i/>
          <w:iCs/>
          <w:color w:val="000000"/>
          <w:lang w:eastAsia="en-AU"/>
        </w:rPr>
      </w:pPr>
      <w:r w:rsidRPr="406B7CF7">
        <w:rPr>
          <w:rFonts w:eastAsia="Times New Roman" w:cs="Times New Roman"/>
          <w:b/>
          <w:bCs/>
          <w:i/>
          <w:iCs/>
          <w:color w:val="000000" w:themeColor="text1"/>
          <w:lang w:eastAsia="en-AU"/>
        </w:rPr>
        <w:lastRenderedPageBreak/>
        <w:t>Conflict of interest register template</w:t>
      </w:r>
    </w:p>
    <w:tbl>
      <w:tblPr>
        <w:tblStyle w:val="TableGrid1"/>
        <w:tblW w:w="9069"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794"/>
        <w:gridCol w:w="2172"/>
        <w:gridCol w:w="5103"/>
      </w:tblGrid>
      <w:tr w:rsidR="00644558" w:rsidRPr="00582572" w14:paraId="261BB4F7" w14:textId="77777777" w:rsidTr="00C94700">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1E943E6" w14:textId="77777777" w:rsidR="00644558" w:rsidRPr="00582572" w:rsidRDefault="00644558" w:rsidP="00C94700">
            <w:pPr>
              <w:jc w:val="center"/>
              <w:rPr>
                <w:rFonts w:cs="Arial"/>
                <w:b/>
                <w:bCs/>
              </w:rPr>
            </w:pPr>
            <w:bookmarkStart w:id="2" w:name="_Hlk170226698"/>
            <w:r w:rsidRPr="406B7CF7">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CDEC11F" w14:textId="77777777" w:rsidR="00644558" w:rsidRPr="00582572" w:rsidRDefault="00644558" w:rsidP="00C94700">
            <w:pPr>
              <w:jc w:val="center"/>
              <w:rPr>
                <w:rFonts w:cs="Arial"/>
              </w:rPr>
            </w:pPr>
            <w:r w:rsidRPr="406B7CF7">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8A391C3" w14:textId="77777777" w:rsidR="00644558" w:rsidRPr="00582572" w:rsidRDefault="00644558" w:rsidP="00C94700">
            <w:pPr>
              <w:jc w:val="center"/>
              <w:rPr>
                <w:rFonts w:cs="Arial"/>
              </w:rPr>
            </w:pPr>
            <w:r w:rsidRPr="406B7CF7">
              <w:rPr>
                <w:rFonts w:cs="Arial"/>
                <w:b/>
                <w:bCs/>
                <w:color w:val="FFFFFF" w:themeColor="background1"/>
              </w:rPr>
              <w:t>Comments</w:t>
            </w:r>
          </w:p>
        </w:tc>
      </w:tr>
      <w:tr w:rsidR="00644558" w:rsidRPr="00582572" w14:paraId="50027FFC" w14:textId="77777777" w:rsidTr="00C94700">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FA3A61" w14:textId="77777777" w:rsidR="00644558" w:rsidRPr="00582572" w:rsidRDefault="00644558" w:rsidP="00C94700">
            <w:pPr>
              <w:rPr>
                <w:rFonts w:cs="Arial"/>
                <w:sz w:val="16"/>
                <w:szCs w:val="16"/>
              </w:rPr>
            </w:pPr>
            <w:r w:rsidRPr="406B7CF7">
              <w:rPr>
                <w:rFonts w:cs="Arial"/>
                <w:sz w:val="16"/>
                <w:szCs w:val="16"/>
              </w:rPr>
              <w:t>v6.0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D9E5C21" w14:textId="77777777" w:rsidR="00644558" w:rsidRPr="00582572" w:rsidRDefault="00644558" w:rsidP="00C94700">
            <w:pPr>
              <w:rPr>
                <w:rFonts w:cs="Arial"/>
                <w:sz w:val="16"/>
                <w:szCs w:val="16"/>
              </w:rPr>
            </w:pPr>
            <w:r w:rsidRPr="406B7CF7">
              <w:rPr>
                <w:rFonts w:cs="Arial"/>
                <w:sz w:val="16"/>
                <w:szCs w:val="16"/>
              </w:rPr>
              <w:t>December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411D02" w14:textId="77777777" w:rsidR="00644558" w:rsidRPr="00582572" w:rsidRDefault="00644558" w:rsidP="00C94700">
            <w:pPr>
              <w:rPr>
                <w:rFonts w:cs="Arial"/>
                <w:sz w:val="16"/>
                <w:szCs w:val="16"/>
              </w:rPr>
            </w:pPr>
            <w:r w:rsidRPr="406B7CF7">
              <w:rPr>
                <w:rFonts w:cs="Arial"/>
                <w:sz w:val="16"/>
                <w:szCs w:val="16"/>
              </w:rPr>
              <w:t>Published</w:t>
            </w:r>
          </w:p>
        </w:tc>
      </w:tr>
      <w:tr w:rsidR="00644558" w:rsidRPr="00582572" w14:paraId="1340B569" w14:textId="77777777" w:rsidTr="00C94700">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AF4D179" w14:textId="77777777" w:rsidR="00644558" w:rsidRPr="00582572" w:rsidRDefault="00644558" w:rsidP="00C94700">
            <w:pPr>
              <w:rPr>
                <w:rFonts w:cs="Arial"/>
                <w:sz w:val="16"/>
                <w:szCs w:val="16"/>
              </w:rPr>
            </w:pPr>
            <w:r w:rsidRPr="406B7CF7">
              <w:rPr>
                <w:rFonts w:cs="Arial"/>
                <w:sz w:val="16"/>
                <w:szCs w:val="16"/>
              </w:rPr>
              <w:t>v6.1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D14CA26" w14:textId="77777777" w:rsidR="00644558" w:rsidRPr="00582572" w:rsidRDefault="00644558" w:rsidP="00C94700">
            <w:pPr>
              <w:rPr>
                <w:rFonts w:cs="Arial"/>
                <w:sz w:val="16"/>
                <w:szCs w:val="16"/>
              </w:rPr>
            </w:pPr>
            <w:r w:rsidRPr="406B7CF7">
              <w:rPr>
                <w:rFonts w:cs="Arial"/>
                <w:sz w:val="16"/>
                <w:szCs w:val="16"/>
              </w:rPr>
              <w:t>June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19C00AD" w14:textId="77777777" w:rsidR="00644558" w:rsidRPr="00582572" w:rsidRDefault="00644558" w:rsidP="00C94700">
            <w:pPr>
              <w:rPr>
                <w:rFonts w:cs="Arial"/>
                <w:sz w:val="16"/>
                <w:szCs w:val="16"/>
              </w:rPr>
            </w:pPr>
            <w:r w:rsidRPr="406B7CF7">
              <w:rPr>
                <w:rFonts w:cs="Arial"/>
                <w:sz w:val="16"/>
                <w:szCs w:val="16"/>
              </w:rPr>
              <w:t>Minor updates made – highlights:</w:t>
            </w:r>
          </w:p>
          <w:p w14:paraId="68D2C3D6" w14:textId="77777777" w:rsidR="00644558" w:rsidRPr="00582572" w:rsidRDefault="00644558" w:rsidP="00644558">
            <w:pPr>
              <w:numPr>
                <w:ilvl w:val="0"/>
                <w:numId w:val="9"/>
              </w:numPr>
              <w:rPr>
                <w:rFonts w:cs="Arial"/>
                <w:sz w:val="16"/>
                <w:szCs w:val="16"/>
              </w:rPr>
            </w:pPr>
            <w:r w:rsidRPr="406B7CF7">
              <w:rPr>
                <w:rFonts w:cs="Arial"/>
                <w:sz w:val="16"/>
                <w:szCs w:val="16"/>
              </w:rPr>
              <w:t>DHPW corporate branding</w:t>
            </w:r>
          </w:p>
          <w:p w14:paraId="78AFE485" w14:textId="77777777" w:rsidR="00644558" w:rsidRDefault="00644558" w:rsidP="00644558">
            <w:pPr>
              <w:numPr>
                <w:ilvl w:val="0"/>
                <w:numId w:val="9"/>
              </w:numPr>
              <w:rPr>
                <w:rFonts w:cs="Arial"/>
                <w:sz w:val="16"/>
                <w:szCs w:val="16"/>
              </w:rPr>
            </w:pPr>
            <w:r w:rsidRPr="406B7CF7">
              <w:rPr>
                <w:rFonts w:cs="Arial"/>
                <w:sz w:val="16"/>
                <w:szCs w:val="16"/>
              </w:rPr>
              <w:t xml:space="preserve">Version change </w:t>
            </w:r>
            <w:proofErr w:type="gramStart"/>
            <w:r w:rsidRPr="406B7CF7">
              <w:rPr>
                <w:rFonts w:cs="Arial"/>
                <w:sz w:val="16"/>
                <w:szCs w:val="16"/>
              </w:rPr>
              <w:t>log, ‘</w:t>
            </w:r>
            <w:proofErr w:type="gramEnd"/>
            <w:r w:rsidRPr="406B7CF7">
              <w:rPr>
                <w:rFonts w:cs="Arial"/>
                <w:sz w:val="16"/>
                <w:szCs w:val="16"/>
              </w:rPr>
              <w:t>Contact us</w:t>
            </w:r>
            <w:proofErr w:type="gramStart"/>
            <w:r w:rsidRPr="406B7CF7">
              <w:rPr>
                <w:rFonts w:cs="Arial"/>
                <w:sz w:val="16"/>
                <w:szCs w:val="16"/>
              </w:rPr>
              <w:t>’, ‘</w:t>
            </w:r>
            <w:proofErr w:type="gramEnd"/>
            <w:r w:rsidRPr="406B7CF7">
              <w:rPr>
                <w:rFonts w:cs="Arial"/>
                <w:sz w:val="16"/>
                <w:szCs w:val="16"/>
              </w:rPr>
              <w:t>Disclaimer’ and ‘Administration’ sections added</w:t>
            </w:r>
          </w:p>
          <w:p w14:paraId="0EDEC538" w14:textId="77777777" w:rsidR="00644558" w:rsidRPr="00582572" w:rsidRDefault="00644558" w:rsidP="00644558">
            <w:pPr>
              <w:numPr>
                <w:ilvl w:val="0"/>
                <w:numId w:val="9"/>
              </w:numPr>
              <w:rPr>
                <w:rFonts w:cs="Arial"/>
                <w:sz w:val="16"/>
                <w:szCs w:val="16"/>
              </w:rPr>
            </w:pPr>
            <w:r w:rsidRPr="406B7CF7">
              <w:rPr>
                <w:rFonts w:cs="Arial"/>
                <w:sz w:val="16"/>
                <w:szCs w:val="16"/>
              </w:rPr>
              <w:t>Removed contextual policy information</w:t>
            </w:r>
          </w:p>
        </w:tc>
      </w:tr>
      <w:tr w:rsidR="00644558" w:rsidRPr="00582572" w14:paraId="5566F593" w14:textId="77777777" w:rsidTr="00C94700">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4D4D4CA" w14:textId="1807D250" w:rsidR="00644558" w:rsidRPr="406B7CF7" w:rsidRDefault="00644558" w:rsidP="00C94700">
            <w:pPr>
              <w:rPr>
                <w:rFonts w:cs="Arial"/>
                <w:sz w:val="16"/>
                <w:szCs w:val="16"/>
              </w:rPr>
            </w:pPr>
            <w:r>
              <w:rPr>
                <w:rFonts w:cs="Arial"/>
                <w:sz w:val="16"/>
                <w:szCs w:val="16"/>
              </w:rPr>
              <w:t>v6.2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3F3FDB0" w14:textId="72A105B4" w:rsidR="00644558" w:rsidRPr="406B7CF7" w:rsidRDefault="00644558" w:rsidP="00C94700">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258028F" w14:textId="24A5231A" w:rsidR="00644558" w:rsidRPr="406B7CF7" w:rsidRDefault="00644558" w:rsidP="00C94700">
            <w:pPr>
              <w:rPr>
                <w:rFonts w:cs="Arial"/>
                <w:sz w:val="16"/>
                <w:szCs w:val="16"/>
              </w:rPr>
            </w:pPr>
            <w:r w:rsidRPr="00644558">
              <w:rPr>
                <w:rFonts w:cs="Arial"/>
                <w:sz w:val="16"/>
                <w:szCs w:val="16"/>
              </w:rPr>
              <w:t>Minor updates made - Queensland Government Corporate Branding</w:t>
            </w:r>
          </w:p>
        </w:tc>
      </w:tr>
      <w:bookmarkEnd w:id="2"/>
    </w:tbl>
    <w:p w14:paraId="347C3C3C" w14:textId="77777777" w:rsidR="00644558" w:rsidRPr="00582572" w:rsidRDefault="00644558" w:rsidP="00644558">
      <w:pPr>
        <w:spacing w:before="120"/>
        <w:rPr>
          <w:rFonts w:eastAsia="Calibri" w:cs="Times New Roman"/>
          <w:b/>
          <w:bCs/>
          <w:lang w:eastAsia="en-AU"/>
        </w:rPr>
      </w:pPr>
    </w:p>
    <w:p w14:paraId="1D1FA164" w14:textId="77777777" w:rsidR="00644558" w:rsidRPr="00582572" w:rsidRDefault="00644558" w:rsidP="00644558">
      <w:pPr>
        <w:spacing w:before="120"/>
        <w:rPr>
          <w:rFonts w:eastAsia="Calibri" w:cs="Times New Roman"/>
          <w:b/>
          <w:bCs/>
          <w:lang w:eastAsia="en-AU"/>
        </w:rPr>
      </w:pPr>
    </w:p>
    <w:p w14:paraId="617F39C4" w14:textId="77777777" w:rsidR="00644558" w:rsidRPr="00582572" w:rsidRDefault="00644558" w:rsidP="00644558">
      <w:pPr>
        <w:spacing w:before="120"/>
        <w:rPr>
          <w:rFonts w:eastAsia="Calibri" w:cs="Times New Roman"/>
          <w:b/>
          <w:bCs/>
          <w:lang w:eastAsia="en-AU"/>
        </w:rPr>
      </w:pPr>
    </w:p>
    <w:p w14:paraId="68D7F622" w14:textId="77777777" w:rsidR="00644558" w:rsidRDefault="00644558" w:rsidP="00644558">
      <w:pPr>
        <w:spacing w:before="120"/>
        <w:rPr>
          <w:rFonts w:eastAsia="Calibri" w:cs="Times New Roman"/>
          <w:b/>
          <w:bCs/>
          <w:lang w:eastAsia="en-AU"/>
        </w:rPr>
      </w:pPr>
    </w:p>
    <w:p w14:paraId="400A5FB3" w14:textId="77777777" w:rsidR="00644558" w:rsidRDefault="00644558" w:rsidP="00644558">
      <w:pPr>
        <w:spacing w:before="120"/>
        <w:rPr>
          <w:rFonts w:eastAsia="Calibri" w:cs="Times New Roman"/>
          <w:b/>
          <w:bCs/>
          <w:lang w:eastAsia="en-AU"/>
        </w:rPr>
      </w:pPr>
    </w:p>
    <w:p w14:paraId="69063EB3" w14:textId="77777777" w:rsidR="00644558" w:rsidRDefault="00644558" w:rsidP="00644558">
      <w:pPr>
        <w:spacing w:before="120"/>
        <w:rPr>
          <w:rFonts w:eastAsia="Calibri" w:cs="Times New Roman"/>
          <w:b/>
          <w:bCs/>
          <w:lang w:eastAsia="en-AU"/>
        </w:rPr>
      </w:pPr>
    </w:p>
    <w:p w14:paraId="2FA04FB7" w14:textId="77777777" w:rsidR="00644558" w:rsidRPr="00582572" w:rsidRDefault="00644558" w:rsidP="00644558">
      <w:pPr>
        <w:spacing w:before="120"/>
        <w:rPr>
          <w:rFonts w:eastAsia="Calibri" w:cs="Times New Roman"/>
          <w:b/>
          <w:bCs/>
          <w:lang w:eastAsia="en-AU"/>
        </w:rPr>
      </w:pPr>
      <w:r>
        <w:rPr>
          <w:noProof/>
        </w:rPr>
        <w:drawing>
          <wp:anchor distT="0" distB="0" distL="114300" distR="114300" simplePos="0" relativeHeight="251659264" behindDoc="0" locked="0" layoutInCell="1" allowOverlap="1" wp14:anchorId="7A06A8B4" wp14:editId="6C8308EF">
            <wp:simplePos x="0" y="0"/>
            <wp:positionH relativeFrom="column">
              <wp:posOffset>-28575</wp:posOffset>
            </wp:positionH>
            <wp:positionV relativeFrom="paragraph">
              <wp:posOffset>225425</wp:posOffset>
            </wp:positionV>
            <wp:extent cx="892175" cy="352425"/>
            <wp:effectExtent l="0" t="0" r="3175" b="9525"/>
            <wp:wrapSquare wrapText="bothSides"/>
            <wp:docPr id="34560079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0">
                      <a:extLst>
                        <a:ext uri="{28A0092B-C50C-407E-A947-70E740481C1C}">
                          <a14:useLocalDpi xmlns:a14="http://schemas.microsoft.com/office/drawing/2010/main" val="0"/>
                        </a:ext>
                      </a:extLst>
                    </a:blip>
                    <a:stretch>
                      <a:fillRect/>
                    </a:stretch>
                  </pic:blipFill>
                  <pic:spPr>
                    <a:xfrm>
                      <a:off x="0" y="0"/>
                      <a:ext cx="892175" cy="352425"/>
                    </a:xfrm>
                    <a:prstGeom prst="rect">
                      <a:avLst/>
                    </a:prstGeom>
                  </pic:spPr>
                </pic:pic>
              </a:graphicData>
            </a:graphic>
            <wp14:sizeRelH relativeFrom="page">
              <wp14:pctWidth>0</wp14:pctWidth>
            </wp14:sizeRelH>
            <wp14:sizeRelV relativeFrom="page">
              <wp14:pctHeight>0</wp14:pctHeight>
            </wp14:sizeRelV>
          </wp:anchor>
        </w:drawing>
      </w:r>
      <w:r w:rsidRPr="00582572">
        <w:rPr>
          <w:rFonts w:eastAsia="Calibri" w:cs="Times New Roman"/>
          <w:b/>
          <w:bCs/>
          <w:lang w:eastAsia="en-AU"/>
        </w:rPr>
        <w:t>The State of Queensland (Department of Housing and Public Works) 2025</w:t>
      </w:r>
    </w:p>
    <w:p w14:paraId="341EEE88" w14:textId="77777777" w:rsidR="00644558" w:rsidRDefault="00644558" w:rsidP="00644558">
      <w:pPr>
        <w:jc w:val="both"/>
      </w:pPr>
    </w:p>
    <w:p w14:paraId="21B1A316" w14:textId="77777777" w:rsidR="00644558" w:rsidRDefault="00644558" w:rsidP="00644558">
      <w:pPr>
        <w:jc w:val="both"/>
      </w:pPr>
    </w:p>
    <w:p w14:paraId="36CA4801" w14:textId="77777777" w:rsidR="00644558" w:rsidRPr="00582572" w:rsidRDefault="00644558" w:rsidP="00644558">
      <w:pPr>
        <w:jc w:val="both"/>
        <w:rPr>
          <w:rFonts w:eastAsia="Calibri" w:cs="Times New Roman"/>
          <w:lang w:eastAsia="en-AU"/>
        </w:rPr>
      </w:pPr>
      <w:hyperlink r:id="rId11" w:history="1">
        <w:r w:rsidRPr="00442613">
          <w:rPr>
            <w:rStyle w:val="Hyperlink"/>
            <w:rFonts w:eastAsia="Calibri" w:cs="Times New Roman"/>
            <w:lang w:eastAsia="en-AU"/>
          </w:rPr>
          <w:t>http://creativecommons.org/licenses/by/4.0/deed.en</w:t>
        </w:r>
      </w:hyperlink>
    </w:p>
    <w:p w14:paraId="09390D02" w14:textId="77777777" w:rsidR="00644558" w:rsidRPr="00582572" w:rsidRDefault="00644558" w:rsidP="00644558">
      <w:pPr>
        <w:jc w:val="both"/>
        <w:rPr>
          <w:rFonts w:eastAsia="Calibri" w:cs="Times New Roman"/>
          <w:lang w:eastAsia="en-AU"/>
        </w:rPr>
      </w:pPr>
      <w:r w:rsidRPr="406B7CF7">
        <w:rPr>
          <w:rFonts w:eastAsia="Calibri" w:cs="Times New Roman"/>
          <w:lang w:eastAsia="en-AU"/>
        </w:rPr>
        <w:t xml:space="preserve">This work is licensed under a Creative Commons Attribution 4.0 Australia Licence. You are free to copy, communicate and adapt this work, </w:t>
      </w:r>
      <w:proofErr w:type="gramStart"/>
      <w:r w:rsidRPr="406B7CF7">
        <w:rPr>
          <w:rFonts w:eastAsia="Calibri" w:cs="Times New Roman"/>
          <w:lang w:eastAsia="en-AU"/>
        </w:rPr>
        <w:t>as long as</w:t>
      </w:r>
      <w:proofErr w:type="gramEnd"/>
      <w:r w:rsidRPr="406B7CF7">
        <w:rPr>
          <w:rFonts w:eastAsia="Calibri" w:cs="Times New Roman"/>
          <w:lang w:eastAsia="en-AU"/>
        </w:rPr>
        <w:t xml:space="preserve"> you attribute by citing ‘Conflict of interest register template, State of Queensland (Department of Housing and Public Works) 2025’.</w:t>
      </w:r>
    </w:p>
    <w:p w14:paraId="6CB4B381" w14:textId="77777777" w:rsidR="00644558" w:rsidRPr="00582572" w:rsidRDefault="00644558" w:rsidP="00644558">
      <w:pPr>
        <w:keepNext/>
        <w:keepLines/>
        <w:spacing w:before="60" w:after="60"/>
        <w:outlineLvl w:val="4"/>
        <w:rPr>
          <w:rFonts w:eastAsia="Times New Roman" w:cs="Times New Roman"/>
          <w:b/>
          <w:bCs/>
          <w:color w:val="000000"/>
          <w:lang w:eastAsia="en-AU"/>
        </w:rPr>
      </w:pPr>
      <w:r w:rsidRPr="406B7CF7">
        <w:rPr>
          <w:rFonts w:eastAsia="Times New Roman" w:cs="Times New Roman"/>
          <w:b/>
          <w:bCs/>
          <w:color w:val="000000" w:themeColor="text1"/>
          <w:lang w:eastAsia="en-AU"/>
        </w:rPr>
        <w:t>Contact us</w:t>
      </w:r>
    </w:p>
    <w:p w14:paraId="6B575B64" w14:textId="26FD2A38" w:rsidR="00644558" w:rsidRPr="00582572" w:rsidRDefault="00644558" w:rsidP="00644558">
      <w:pPr>
        <w:rPr>
          <w:rFonts w:eastAsia="Calibri" w:cs="Times New Roman"/>
          <w:lang w:eastAsia="en-AU"/>
        </w:rPr>
      </w:pPr>
      <w:r w:rsidRPr="00582572">
        <w:rPr>
          <w:rFonts w:eastAsia="Calibri" w:cs="Times New Roman"/>
          <w:lang w:eastAsia="en-AU"/>
        </w:rPr>
        <w:t xml:space="preserve">We are committed to continuous improvement. If you have any suggestions about how we can improve this document, or if you have any questions, contact us at </w:t>
      </w:r>
      <w:hyperlink r:id="rId12" w:history="1">
        <w:r w:rsidRPr="002015DB">
          <w:rPr>
            <w:rStyle w:val="Hyperlink"/>
            <w:rFonts w:eastAsia="Calibri" w:cs="Times New Roman"/>
            <w:lang w:eastAsia="en-AU"/>
          </w:rPr>
          <w:t>betterprocurement@hpw.qld.gov.au</w:t>
        </w:r>
      </w:hyperlink>
      <w:r w:rsidRPr="406B7CF7">
        <w:rPr>
          <w:rFonts w:eastAsia="Calibri" w:cs="Times New Roman"/>
          <w:lang w:eastAsia="en-AU"/>
        </w:rPr>
        <w:t>.</w:t>
      </w:r>
    </w:p>
    <w:p w14:paraId="1159EB2A" w14:textId="77777777" w:rsidR="00644558" w:rsidRPr="00582572" w:rsidRDefault="00644558" w:rsidP="00644558">
      <w:pPr>
        <w:keepNext/>
        <w:keepLines/>
        <w:spacing w:before="60" w:after="60"/>
        <w:outlineLvl w:val="4"/>
        <w:rPr>
          <w:rFonts w:eastAsia="Times New Roman" w:cs="Times New Roman"/>
          <w:b/>
          <w:bCs/>
          <w:color w:val="000000"/>
          <w:lang w:eastAsia="en-AU"/>
        </w:rPr>
      </w:pPr>
      <w:r w:rsidRPr="406B7CF7">
        <w:rPr>
          <w:rFonts w:eastAsia="Times New Roman" w:cs="Times New Roman"/>
          <w:b/>
          <w:bCs/>
          <w:color w:val="000000" w:themeColor="text1"/>
          <w:lang w:eastAsia="en-AU"/>
        </w:rPr>
        <w:t>Disclaimer</w:t>
      </w:r>
    </w:p>
    <w:p w14:paraId="419F6A06" w14:textId="77777777" w:rsidR="00644558" w:rsidRPr="00582572" w:rsidRDefault="00644558" w:rsidP="00644558">
      <w:pPr>
        <w:rPr>
          <w:rFonts w:eastAsia="Calibri" w:cs="Times New Roman"/>
          <w:lang w:eastAsia="en-AU"/>
        </w:rPr>
      </w:pPr>
      <w:r w:rsidRPr="406B7CF7">
        <w:rPr>
          <w:rFonts w:eastAsia="Calibri" w:cs="Times New Roman"/>
          <w:lang w:eastAsia="en-AU"/>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1BB331C3" w14:textId="77777777" w:rsidR="00644558" w:rsidRPr="00582572" w:rsidRDefault="00644558" w:rsidP="00644558">
      <w:pPr>
        <w:rPr>
          <w:rFonts w:eastAsia="Calibri" w:cs="Times New Roman"/>
          <w:lang w:eastAsia="en-AU"/>
        </w:rPr>
      </w:pPr>
      <w:r w:rsidRPr="406B7CF7">
        <w:rPr>
          <w:rFonts w:eastAsia="Calibri" w:cs="Times New Roman"/>
          <w:lang w:eastAsia="en-AU"/>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4488C78D" w14:textId="77777777" w:rsidR="00644558" w:rsidRPr="00582572" w:rsidRDefault="00644558" w:rsidP="00644558">
      <w:pPr>
        <w:keepNext/>
        <w:keepLines/>
        <w:spacing w:before="120" w:after="120"/>
        <w:outlineLvl w:val="4"/>
        <w:rPr>
          <w:rFonts w:eastAsia="Times New Roman" w:cs="Times New Roman"/>
          <w:b/>
          <w:bCs/>
          <w:color w:val="000000"/>
          <w:lang w:eastAsia="en-AU"/>
        </w:rPr>
      </w:pPr>
      <w:r w:rsidRPr="406B7CF7">
        <w:rPr>
          <w:rFonts w:eastAsia="Times New Roman" w:cs="Times New Roman"/>
          <w:b/>
          <w:bCs/>
          <w:color w:val="000000" w:themeColor="text1"/>
          <w:lang w:eastAsia="en-AU"/>
        </w:rPr>
        <w:t>Administration</w:t>
      </w:r>
    </w:p>
    <w:p w14:paraId="4E5C5186" w14:textId="128D63A1" w:rsidR="00644558" w:rsidRDefault="00644558" w:rsidP="00644558">
      <w:r w:rsidRPr="406B7CF7">
        <w:rPr>
          <w:rFonts w:eastAsia="Calibri" w:cs="Times New Roman"/>
          <w:lang w:eastAsia="en-AU"/>
        </w:rPr>
        <w:t>Version 6.</w:t>
      </w:r>
      <w:r>
        <w:rPr>
          <w:rFonts w:eastAsia="Calibri" w:cs="Times New Roman"/>
          <w:lang w:eastAsia="en-AU"/>
        </w:rPr>
        <w:t>2</w:t>
      </w:r>
      <w:r w:rsidRPr="406B7CF7">
        <w:rPr>
          <w:rFonts w:eastAsia="Calibri" w:cs="Times New Roman"/>
          <w:lang w:eastAsia="en-AU"/>
        </w:rPr>
        <w:t xml:space="preserve"> of this document replaces all previous versions of this document and takes effect immediately.</w:t>
      </w:r>
    </w:p>
    <w:p w14:paraId="46B071B3" w14:textId="77777777" w:rsidR="00644558" w:rsidRPr="00A6090A" w:rsidRDefault="00644558" w:rsidP="00644558"/>
    <w:p w14:paraId="69C7E7B8" w14:textId="77777777" w:rsidR="007A4B81" w:rsidRPr="007A4B81" w:rsidRDefault="007A4B81" w:rsidP="007A4B81"/>
    <w:sectPr w:rsidR="007A4B81" w:rsidRPr="007A4B81" w:rsidSect="00D33D1F">
      <w:headerReference w:type="default" r:id="rId13"/>
      <w:footerReference w:type="default" r:id="rId14"/>
      <w:headerReference w:type="first" r:id="rId15"/>
      <w:footerReference w:type="first" r:id="rId16"/>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2BC9" w14:textId="77777777" w:rsidR="006A7CCC" w:rsidRDefault="006A7CCC" w:rsidP="00F752DB">
      <w:pPr>
        <w:spacing w:after="0"/>
      </w:pPr>
      <w:r>
        <w:separator/>
      </w:r>
    </w:p>
  </w:endnote>
  <w:endnote w:type="continuationSeparator" w:id="0">
    <w:p w14:paraId="4E96B958" w14:textId="77777777" w:rsidR="006A7CCC" w:rsidRDefault="006A7CCC"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3CB5A462"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6B0F" w14:textId="77777777" w:rsidR="006A7CCC" w:rsidRDefault="006A7CCC" w:rsidP="00F752DB">
      <w:pPr>
        <w:spacing w:after="0"/>
      </w:pPr>
      <w:r>
        <w:separator/>
      </w:r>
    </w:p>
  </w:footnote>
  <w:footnote w:type="continuationSeparator" w:id="0">
    <w:p w14:paraId="793AB0F6" w14:textId="77777777" w:rsidR="006A7CCC" w:rsidRDefault="006A7CCC"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4D0B11C6" w:rsidR="00F752DB" w:rsidRPr="00AB0F2F" w:rsidRDefault="00CB53BF"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Conflict of interest register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60288"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Text Box 1" o:spid="_x0000_s1026"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4BA72D7"/>
    <w:multiLevelType w:val="hybridMultilevel"/>
    <w:tmpl w:val="E65E6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0"/>
  </w:num>
  <w:num w:numId="2" w16cid:durableId="1421561814">
    <w:abstractNumId w:val="3"/>
  </w:num>
  <w:num w:numId="3" w16cid:durableId="525295331">
    <w:abstractNumId w:val="6"/>
  </w:num>
  <w:num w:numId="4" w16cid:durableId="228928596">
    <w:abstractNumId w:val="8"/>
  </w:num>
  <w:num w:numId="5" w16cid:durableId="1622687381">
    <w:abstractNumId w:val="1"/>
  </w:num>
  <w:num w:numId="6" w16cid:durableId="837504296">
    <w:abstractNumId w:val="2"/>
  </w:num>
  <w:num w:numId="7" w16cid:durableId="711660571">
    <w:abstractNumId w:val="4"/>
  </w:num>
  <w:num w:numId="8" w16cid:durableId="1041243632">
    <w:abstractNumId w:val="5"/>
  </w:num>
  <w:num w:numId="9" w16cid:durableId="1503396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42FC9"/>
    <w:rsid w:val="00171743"/>
    <w:rsid w:val="00172C66"/>
    <w:rsid w:val="001B5456"/>
    <w:rsid w:val="001E1A5F"/>
    <w:rsid w:val="00211A7F"/>
    <w:rsid w:val="0026101C"/>
    <w:rsid w:val="00284B8F"/>
    <w:rsid w:val="002C25C8"/>
    <w:rsid w:val="00364C20"/>
    <w:rsid w:val="00381F07"/>
    <w:rsid w:val="003A1CD0"/>
    <w:rsid w:val="003F201C"/>
    <w:rsid w:val="00444083"/>
    <w:rsid w:val="004A0CF6"/>
    <w:rsid w:val="004E25E5"/>
    <w:rsid w:val="00532B7B"/>
    <w:rsid w:val="005520F4"/>
    <w:rsid w:val="0055740A"/>
    <w:rsid w:val="00577783"/>
    <w:rsid w:val="005A435A"/>
    <w:rsid w:val="005A7EB2"/>
    <w:rsid w:val="00643684"/>
    <w:rsid w:val="00644558"/>
    <w:rsid w:val="00664AA6"/>
    <w:rsid w:val="00673C5E"/>
    <w:rsid w:val="006762F3"/>
    <w:rsid w:val="006A7CCC"/>
    <w:rsid w:val="006B1C7D"/>
    <w:rsid w:val="006C0D16"/>
    <w:rsid w:val="006D5561"/>
    <w:rsid w:val="006F1F62"/>
    <w:rsid w:val="00700493"/>
    <w:rsid w:val="00701011"/>
    <w:rsid w:val="00723584"/>
    <w:rsid w:val="007A4B81"/>
    <w:rsid w:val="007A7AD0"/>
    <w:rsid w:val="007B0BF6"/>
    <w:rsid w:val="007D63B5"/>
    <w:rsid w:val="007F142A"/>
    <w:rsid w:val="00826C79"/>
    <w:rsid w:val="00847102"/>
    <w:rsid w:val="008A073F"/>
    <w:rsid w:val="00987740"/>
    <w:rsid w:val="009908A1"/>
    <w:rsid w:val="009B5981"/>
    <w:rsid w:val="009D6342"/>
    <w:rsid w:val="009F1357"/>
    <w:rsid w:val="00A24444"/>
    <w:rsid w:val="00AB0F2F"/>
    <w:rsid w:val="00AB11CA"/>
    <w:rsid w:val="00AC0BF3"/>
    <w:rsid w:val="00AC25FF"/>
    <w:rsid w:val="00AE4EF5"/>
    <w:rsid w:val="00B20DA0"/>
    <w:rsid w:val="00B33273"/>
    <w:rsid w:val="00B846B4"/>
    <w:rsid w:val="00BF6E1D"/>
    <w:rsid w:val="00C54CF3"/>
    <w:rsid w:val="00CB53BF"/>
    <w:rsid w:val="00CC2725"/>
    <w:rsid w:val="00CE29B0"/>
    <w:rsid w:val="00D33D1F"/>
    <w:rsid w:val="00D567A5"/>
    <w:rsid w:val="00D56E2A"/>
    <w:rsid w:val="00DA5293"/>
    <w:rsid w:val="00DD15AB"/>
    <w:rsid w:val="00E453DF"/>
    <w:rsid w:val="00EF32F6"/>
    <w:rsid w:val="00F42637"/>
    <w:rsid w:val="00F502A1"/>
    <w:rsid w:val="00F752DB"/>
    <w:rsid w:val="00F81DE9"/>
    <w:rsid w:val="00F905BC"/>
    <w:rsid w:val="00FC7CB4"/>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table" w:customStyle="1" w:styleId="TableGrid1">
    <w:name w:val="Table Grid1"/>
    <w:basedOn w:val="TableNormal"/>
    <w:next w:val="TableGrid"/>
    <w:uiPriority w:val="1"/>
    <w:rsid w:val="00644558"/>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tterprocurement@hpw.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deed.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CBBF7-60ED-48EA-9522-DE68D97183C5}">
  <ds:schemaRef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2f64b93e-5338-4201-ad42-2a14a08fead3"/>
    <ds:schemaRef ds:uri="5ec4e1a3-9465-43a5-9858-85b06e73710c"/>
    <ds:schemaRef ds:uri="http://www.w3.org/XML/1998/namespace"/>
  </ds:schemaRefs>
</ds:datastoreItem>
</file>

<file path=customXml/itemProps2.xml><?xml version="1.0" encoding="utf-8"?>
<ds:datastoreItem xmlns:ds="http://schemas.openxmlformats.org/officeDocument/2006/customXml" ds:itemID="{1AD26F25-C6A9-49A0-BDA4-7536AA06CDE4}">
  <ds:schemaRefs>
    <ds:schemaRef ds:uri="http://schemas.microsoft.com/sharepoint/v3/contenttype/forms"/>
  </ds:schemaRefs>
</ds:datastoreItem>
</file>

<file path=customXml/itemProps3.xml><?xml version="1.0" encoding="utf-8"?>
<ds:datastoreItem xmlns:ds="http://schemas.openxmlformats.org/officeDocument/2006/customXml" ds:itemID="{1CE73041-F417-4CFA-9757-FA260A2B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register template</dc:title>
  <dc:subject/>
  <dc:creator>Queensland Government</dc:creator>
  <cp:keywords>A4, portrait, template, no cover</cp:keywords>
  <dc:description/>
  <cp:lastModifiedBy>Berta Fernandez</cp:lastModifiedBy>
  <cp:revision>7</cp:revision>
  <cp:lastPrinted>2018-11-01T02:25:00Z</cp:lastPrinted>
  <dcterms:created xsi:type="dcterms:W3CDTF">2025-06-05T04:49:00Z</dcterms:created>
  <dcterms:modified xsi:type="dcterms:W3CDTF">2025-08-28T00:20:00Z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179900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