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D029D" w14:textId="345DB73B" w:rsidR="00C239DE" w:rsidRPr="00247B34" w:rsidRDefault="00C239DE" w:rsidP="00C239DE">
      <w:pPr>
        <w:pStyle w:val="Header"/>
        <w:rPr>
          <w:rFonts w:cs="Arial"/>
          <w:bCs/>
          <w:sz w:val="28"/>
          <w:szCs w:val="28"/>
          <w:lang w:eastAsia="en-AU" w:bidi="ar-SA"/>
        </w:rPr>
      </w:pPr>
      <w:r w:rsidRPr="00247B34">
        <w:rPr>
          <w:rFonts w:cs="Arial"/>
          <w:bCs/>
          <w:sz w:val="28"/>
          <w:szCs w:val="28"/>
          <w:lang w:eastAsia="en-AU" w:bidi="ar-SA"/>
        </w:rPr>
        <w:t xml:space="preserve">Template letter: Decision to decline request for employment at higher classification level </w:t>
      </w:r>
    </w:p>
    <w:p w14:paraId="62FAAD01" w14:textId="0071F7DE" w:rsidR="005B25FA" w:rsidRPr="00247B34" w:rsidRDefault="005B25FA" w:rsidP="004107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673B45">
        <w:rPr>
          <w:rFonts w:ascii="Arial" w:hAnsi="Arial" w:cs="Arial"/>
          <w:noProof/>
          <w:color w:val="2B579A"/>
          <w:sz w:val="23"/>
          <w:szCs w:val="23"/>
          <w:shd w:val="clear" w:color="auto" w:fill="E6E6E6"/>
          <w:lang w:bidi="he-I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3EA5DD" wp14:editId="116DDB31">
                <wp:simplePos x="0" y="0"/>
                <wp:positionH relativeFrom="margin">
                  <wp:posOffset>0</wp:posOffset>
                </wp:positionH>
                <wp:positionV relativeFrom="paragraph">
                  <wp:posOffset>219710</wp:posOffset>
                </wp:positionV>
                <wp:extent cx="5699760" cy="1404620"/>
                <wp:effectExtent l="0" t="0" r="1524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C38D" w14:textId="62C62EC7" w:rsidR="005B25FA" w:rsidRPr="00262E6B" w:rsidRDefault="005B25FA" w:rsidP="005B25FA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This template letter provides a range of options for advising the outcome to not convert </w:t>
                            </w:r>
                            <w:r w:rsidR="00267E3F" w:rsidRPr="00267E3F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employment on a permanent basis in </w:t>
                            </w:r>
                            <w:r w:rsidR="00267E3F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a</w:t>
                            </w:r>
                            <w:r w:rsidR="00267E3F" w:rsidRPr="00267E3F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 higher classification</w:t>
                            </w:r>
                            <w:r w:rsidR="00CA6F04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 level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, under the </w:t>
                            </w:r>
                            <w:r w:rsidR="009813D4" w:rsidRPr="009813D4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Review of acting or secondment at higher classification level (Directive 03/23</w:t>
                            </w:r>
                            <w:r w:rsidR="00E87A65" w:rsidRPr="009813D4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)</w:t>
                            </w:r>
                            <w:r w:rsidR="00E87A65" w:rsidRPr="009813D4" w:rsidDel="009813D4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.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 The letter is set out to ensure all the requirements of the Public Sector Act 2022 and </w:t>
                            </w:r>
                            <w:r w:rsidR="00CC2189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 xml:space="preserve">the </w:t>
                            </w:r>
                            <w:r w:rsidRPr="001C4906">
                              <w:rPr>
                                <w:rFonts w:ascii="Arial" w:hAnsi="Arial" w:cs="Arial"/>
                                <w:i/>
                                <w:shd w:val="clear" w:color="auto" w:fill="D9D9D9"/>
                              </w:rPr>
                              <w:t>directive are considered. Headings throughout the letter guide selection of paragraphs appropriate for inclusion in the letter to the employee</w:t>
                            </w:r>
                            <w:r w:rsidRPr="00262E6B">
                              <w:rPr>
                                <w:i/>
                                <w:shd w:val="clear" w:color="auto" w:fill="D9D9D9"/>
                              </w:rPr>
                              <w:t>.</w:t>
                            </w:r>
                            <w:r w:rsidRPr="00262E6B">
                              <w:rPr>
                                <w:i/>
                              </w:rPr>
                              <w:t xml:space="preserve"> </w:t>
                            </w:r>
                            <w:r w:rsidRPr="001C4906">
                              <w:rPr>
                                <w:rFonts w:ascii="Arial" w:hAnsi="Arial" w:cs="Arial"/>
                                <w:iCs/>
                                <w:highlight w:val="yellow"/>
                              </w:rPr>
                              <w:t>[Delete before sending letter]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3EA5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7.3pt;width:448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">
                <v:textbox style="mso-fit-shape-to-text:t">
                  <w:txbxContent>
                    <w:p w14:paraId="6CD8C38D" w14:textId="62C62EC7" w:rsidR="005B25FA" w:rsidRPr="00262E6B" w:rsidRDefault="005B25FA" w:rsidP="005B25FA">
                      <w:pPr>
                        <w:rPr>
                          <w:i/>
                          <w:lang w:val="en-US"/>
                        </w:rPr>
                      </w:pP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This template letter provides a range of options for advising the outcome to not convert </w:t>
                      </w:r>
                      <w:r w:rsidR="00267E3F" w:rsidRPr="00267E3F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employment on a permanent basis in </w:t>
                      </w:r>
                      <w:r w:rsidR="00267E3F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a</w:t>
                      </w:r>
                      <w:r w:rsidR="00267E3F" w:rsidRPr="00267E3F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 higher classification</w:t>
                      </w:r>
                      <w:r w:rsidR="00CA6F04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 level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, under the </w:t>
                      </w:r>
                      <w:r w:rsidR="009813D4" w:rsidRPr="009813D4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Review of acting or secondment at higher classification level (Directive 03/23</w:t>
                      </w:r>
                      <w:r w:rsidR="00E87A65" w:rsidRPr="009813D4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)</w:t>
                      </w:r>
                      <w:r w:rsidR="00E87A65" w:rsidRPr="009813D4" w:rsidDel="009813D4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.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 The letter is set out to ensure all the requirements of the Public Sector Act 2022 and </w:t>
                      </w:r>
                      <w:r w:rsidR="00CC2189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 xml:space="preserve">the </w:t>
                      </w:r>
                      <w:r w:rsidRPr="001C4906">
                        <w:rPr>
                          <w:rFonts w:ascii="Arial" w:hAnsi="Arial" w:cs="Arial"/>
                          <w:i/>
                          <w:shd w:val="clear" w:color="auto" w:fill="D9D9D9"/>
                        </w:rPr>
                        <w:t>directive are considered. Headings throughout the letter guide selection of paragraphs appropriate for inclusion in the letter to the employee</w:t>
                      </w:r>
                      <w:r w:rsidRPr="00262E6B">
                        <w:rPr>
                          <w:i/>
                          <w:shd w:val="clear" w:color="auto" w:fill="D9D9D9"/>
                        </w:rPr>
                        <w:t>.</w:t>
                      </w:r>
                      <w:r w:rsidRPr="00262E6B">
                        <w:rPr>
                          <w:i/>
                        </w:rPr>
                        <w:t xml:space="preserve"> </w:t>
                      </w:r>
                      <w:r w:rsidRPr="001C4906">
                        <w:rPr>
                          <w:rFonts w:ascii="Arial" w:hAnsi="Arial" w:cs="Arial"/>
                          <w:iCs/>
                          <w:highlight w:val="yellow"/>
                        </w:rPr>
                        <w:t>[Delete before sending letter]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5C631" w14:textId="77777777" w:rsidR="006B5E6A" w:rsidRPr="00FB709B" w:rsidRDefault="6A4B116C" w:rsidP="7C971F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highlight w:val="lightGray"/>
          <w:lang w:bidi="he-IL"/>
        </w:rPr>
      </w:pPr>
      <w:r w:rsidRPr="7C971F09">
        <w:rPr>
          <w:rFonts w:cs="Arial"/>
          <w:highlight w:val="lightGray"/>
        </w:rPr>
        <w:t>[</w:t>
      </w:r>
      <w:r w:rsidRPr="7C971F09">
        <w:rPr>
          <w:rFonts w:ascii="Arial" w:hAnsi="Arial" w:cs="Arial"/>
          <w:sz w:val="22"/>
          <w:szCs w:val="22"/>
          <w:highlight w:val="lightGray"/>
          <w:lang w:eastAsia="en-US" w:bidi="he-IL"/>
        </w:rPr>
        <w:t>Address]</w:t>
      </w:r>
    </w:p>
    <w:p w14:paraId="69F3D46F" w14:textId="462BBD21" w:rsidR="000962F2" w:rsidRPr="000962F2" w:rsidRDefault="42A4DD28" w:rsidP="281657FD">
      <w:pPr>
        <w:pStyle w:val="paragraph"/>
        <w:spacing w:before="0" w:beforeAutospacing="0" w:after="0" w:afterAutospacing="0"/>
        <w:textAlignment w:val="baseline"/>
        <w:rPr>
          <w:rFonts w:cs="Arial"/>
        </w:rPr>
      </w:pPr>
      <w:r w:rsidRPr="7C971F09">
        <w:rPr>
          <w:rFonts w:ascii="Arial" w:hAnsi="Arial" w:cs="Arial"/>
          <w:sz w:val="22"/>
          <w:szCs w:val="22"/>
          <w:highlight w:val="lightGray"/>
          <w:lang w:eastAsia="en-US" w:bidi="he-IL"/>
        </w:rPr>
        <w:t>[Employee email address]</w:t>
      </w:r>
      <w:r w:rsidR="000962F2" w:rsidRPr="00F5204D">
        <w:rPr>
          <w:rFonts w:ascii="Arial" w:hAnsi="Arial" w:cs="Arial"/>
          <w:noProof/>
          <w:color w:val="2B579A"/>
          <w:shd w:val="clear" w:color="auto" w:fill="E6E6E6"/>
          <w:lang w:bidi="he-I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E8C08C7" wp14:editId="7D397076">
                <wp:simplePos x="0" y="0"/>
                <wp:positionH relativeFrom="margin">
                  <wp:posOffset>0</wp:posOffset>
                </wp:positionH>
                <wp:positionV relativeFrom="paragraph">
                  <wp:posOffset>327660</wp:posOffset>
                </wp:positionV>
                <wp:extent cx="5756910" cy="2162810"/>
                <wp:effectExtent l="0" t="0" r="1524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16ED6" w14:textId="3A4AA7EE" w:rsidR="000962F2" w:rsidRPr="00D47596" w:rsidRDefault="000962F2" w:rsidP="000962F2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>Key points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>:</w:t>
                            </w:r>
                          </w:p>
                          <w:p w14:paraId="7B2610C8" w14:textId="3D0CE822" w:rsidR="000962F2" w:rsidRPr="0057651F" w:rsidRDefault="000962F2" w:rsidP="000962F2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D47596">
                              <w:rPr>
                                <w:rFonts w:ascii="Arial" w:hAnsi="Arial" w:cs="Arial"/>
                                <w:iCs/>
                              </w:rPr>
                              <w:t xml:space="preserve">You are not being converted to permanent employment </w:t>
                            </w:r>
                            <w:r w:rsidRPr="00186AA0">
                              <w:rPr>
                                <w:rFonts w:ascii="Arial" w:hAnsi="Arial" w:cs="Arial"/>
                                <w:iCs/>
                              </w:rPr>
                              <w:t xml:space="preserve">in the higher classification </w:t>
                            </w:r>
                            <w:r w:rsidR="00CC2189">
                              <w:rPr>
                                <w:rFonts w:ascii="Arial" w:hAnsi="Arial" w:cs="Arial"/>
                                <w:iCs/>
                              </w:rPr>
                              <w:t xml:space="preserve">level </w:t>
                            </w:r>
                            <w:r w:rsidRPr="00FC2C4C">
                              <w:rPr>
                                <w:rFonts w:ascii="Arial" w:hAnsi="Arial" w:cs="Arial"/>
                                <w:iCs/>
                              </w:rPr>
                              <w:t xml:space="preserve">and will continue </w:t>
                            </w:r>
                            <w:r w:rsidRPr="00A73C66">
                              <w:rPr>
                                <w:rFonts w:ascii="Arial" w:eastAsia="Times New Roman" w:hAnsi="Arial" w:cs="Arial"/>
                                <w:iCs/>
                              </w:rPr>
                              <w:t>your current engagement</w:t>
                            </w:r>
                            <w:r w:rsidRPr="00D47596">
                              <w:rPr>
                                <w:rFonts w:ascii="Arial" w:hAnsi="Arial" w:cs="Arial"/>
                                <w:iCs/>
                              </w:rPr>
                              <w:t>.</w:t>
                            </w:r>
                          </w:p>
                          <w:p w14:paraId="7E5ED166" w14:textId="77777777" w:rsidR="000962F2" w:rsidRPr="00F5204D" w:rsidRDefault="000962F2" w:rsidP="000962F2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57651F">
                              <w:rPr>
                                <w:rFonts w:ascii="Arial" w:hAnsi="Arial" w:cs="Arial"/>
                                <w:iCs/>
                              </w:rPr>
                              <w:t xml:space="preserve">The reason for this decision is that </w:t>
                            </w:r>
                            <w:r w:rsidRPr="00F5204D">
                              <w:rPr>
                                <w:rFonts w:ascii="Arial" w:hAnsi="Arial" w:cs="Arial"/>
                                <w:highlight w:val="lightGray"/>
                              </w:rPr>
                              <w:t>[select appropriate option: there is no continuing need for you in the role/not suitable/it is not viable or appropriate to convert you having regard to genuine operational requirements]</w:t>
                            </w: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 xml:space="preserve"> which prevents your conversion </w:t>
                            </w:r>
                            <w:proofErr w:type="gramStart"/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>at this time</w:t>
                            </w:r>
                            <w:proofErr w:type="gramEnd"/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>.</w:t>
                            </w:r>
                          </w:p>
                          <w:p w14:paraId="169422EE" w14:textId="56A1723B" w:rsidR="000962F2" w:rsidRPr="00F5204D" w:rsidRDefault="000962F2" w:rsidP="000962F2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 xml:space="preserve">Additional information about the decision-making framework and your appeal rights </w:t>
                            </w:r>
                            <w:r w:rsidR="00A2686A">
                              <w:rPr>
                                <w:rFonts w:ascii="Arial" w:hAnsi="Arial" w:cs="Arial"/>
                                <w:iCs/>
                              </w:rPr>
                              <w:t>are</w:t>
                            </w:r>
                            <w:r w:rsidR="00A2686A" w:rsidRPr="00F5204D">
                              <w:rPr>
                                <w:rFonts w:ascii="Arial" w:hAnsi="Arial" w:cs="Arial"/>
                                <w:iCs/>
                              </w:rPr>
                              <w:t xml:space="preserve"> </w:t>
                            </w:r>
                            <w:r w:rsidRPr="00F5204D">
                              <w:rPr>
                                <w:rFonts w:ascii="Arial" w:hAnsi="Arial" w:cs="Arial"/>
                                <w:iCs/>
                              </w:rPr>
                              <w:t xml:space="preserve">at the end of this letter.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C08C7" id="Text Box 2" o:spid="_x0000_s1027" type="#_x0000_t202" style="position:absolute;margin-left:0;margin-top:25.8pt;width:453.3pt;height:170.3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mVEA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">
                <v:textbox style="mso-fit-shape-to-text:t">
                  <w:txbxContent>
                    <w:p w14:paraId="7BA16ED6" w14:textId="3A4AA7EE" w:rsidR="000962F2" w:rsidRPr="00D47596" w:rsidRDefault="000962F2" w:rsidP="000962F2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F5204D">
                        <w:rPr>
                          <w:rFonts w:ascii="Arial" w:hAnsi="Arial" w:cs="Arial"/>
                          <w:iCs/>
                        </w:rPr>
                        <w:t>Key points</w:t>
                      </w:r>
                      <w:r>
                        <w:rPr>
                          <w:rFonts w:ascii="Arial" w:hAnsi="Arial" w:cs="Arial"/>
                          <w:iCs/>
                        </w:rPr>
                        <w:t>:</w:t>
                      </w:r>
                    </w:p>
                    <w:p w14:paraId="7B2610C8" w14:textId="3D0CE822" w:rsidR="000962F2" w:rsidRPr="0057651F" w:rsidRDefault="000962F2" w:rsidP="000962F2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  <w:iCs/>
                        </w:rPr>
                      </w:pPr>
                      <w:r w:rsidRPr="00D47596">
                        <w:rPr>
                          <w:rFonts w:ascii="Arial" w:hAnsi="Arial" w:cs="Arial"/>
                          <w:iCs/>
                        </w:rPr>
                        <w:t xml:space="preserve">You are not being converted to permanent employment </w:t>
                      </w:r>
                      <w:r w:rsidRPr="00186AA0">
                        <w:rPr>
                          <w:rFonts w:ascii="Arial" w:hAnsi="Arial" w:cs="Arial"/>
                          <w:iCs/>
                        </w:rPr>
                        <w:t xml:space="preserve">in the higher classification </w:t>
                      </w:r>
                      <w:r w:rsidR="00CC2189">
                        <w:rPr>
                          <w:rFonts w:ascii="Arial" w:hAnsi="Arial" w:cs="Arial"/>
                          <w:iCs/>
                        </w:rPr>
                        <w:t xml:space="preserve">level </w:t>
                      </w:r>
                      <w:r w:rsidRPr="00FC2C4C">
                        <w:rPr>
                          <w:rFonts w:ascii="Arial" w:hAnsi="Arial" w:cs="Arial"/>
                          <w:iCs/>
                        </w:rPr>
                        <w:t xml:space="preserve">and will continue </w:t>
                      </w:r>
                      <w:r w:rsidRPr="00A73C66">
                        <w:rPr>
                          <w:rFonts w:ascii="Arial" w:eastAsia="Times New Roman" w:hAnsi="Arial" w:cs="Arial"/>
                          <w:iCs/>
                        </w:rPr>
                        <w:t>your current engagement</w:t>
                      </w:r>
                      <w:r w:rsidRPr="00D47596">
                        <w:rPr>
                          <w:rFonts w:ascii="Arial" w:hAnsi="Arial" w:cs="Arial"/>
                          <w:iCs/>
                        </w:rPr>
                        <w:t>.</w:t>
                      </w:r>
                    </w:p>
                    <w:p w14:paraId="7E5ED166" w14:textId="77777777" w:rsidR="000962F2" w:rsidRPr="00F5204D" w:rsidRDefault="000962F2" w:rsidP="000962F2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  <w:iCs/>
                        </w:rPr>
                      </w:pPr>
                      <w:r w:rsidRPr="0057651F">
                        <w:rPr>
                          <w:rFonts w:ascii="Arial" w:hAnsi="Arial" w:cs="Arial"/>
                          <w:iCs/>
                        </w:rPr>
                        <w:t xml:space="preserve">The reason for this decision is that </w:t>
                      </w:r>
                      <w:r w:rsidRPr="00F5204D">
                        <w:rPr>
                          <w:rFonts w:ascii="Arial" w:hAnsi="Arial" w:cs="Arial"/>
                          <w:highlight w:val="lightGray"/>
                        </w:rPr>
                        <w:t>[select appropriate option: there is no continuing need for you in the role/not suitable/it is not viable or appropriate to convert you having regard to genuine operational requirements]</w:t>
                      </w:r>
                      <w:r w:rsidRPr="00F5204D">
                        <w:rPr>
                          <w:rFonts w:ascii="Arial" w:hAnsi="Arial" w:cs="Arial"/>
                          <w:iCs/>
                        </w:rPr>
                        <w:t xml:space="preserve"> which prevents your conversion </w:t>
                      </w:r>
                      <w:proofErr w:type="gramStart"/>
                      <w:r w:rsidRPr="00F5204D">
                        <w:rPr>
                          <w:rFonts w:ascii="Arial" w:hAnsi="Arial" w:cs="Arial"/>
                          <w:iCs/>
                        </w:rPr>
                        <w:t>at this time</w:t>
                      </w:r>
                      <w:proofErr w:type="gramEnd"/>
                      <w:r w:rsidRPr="00F5204D">
                        <w:rPr>
                          <w:rFonts w:ascii="Arial" w:hAnsi="Arial" w:cs="Arial"/>
                          <w:iCs/>
                        </w:rPr>
                        <w:t>.</w:t>
                      </w:r>
                    </w:p>
                    <w:p w14:paraId="169422EE" w14:textId="56A1723B" w:rsidR="000962F2" w:rsidRPr="00F5204D" w:rsidRDefault="000962F2" w:rsidP="000962F2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  <w:iCs/>
                        </w:rPr>
                      </w:pPr>
                      <w:r w:rsidRPr="00F5204D">
                        <w:rPr>
                          <w:rFonts w:ascii="Arial" w:hAnsi="Arial" w:cs="Arial"/>
                          <w:iCs/>
                        </w:rPr>
                        <w:t xml:space="preserve">Additional information about the decision-making framework and your appeal rights </w:t>
                      </w:r>
                      <w:r w:rsidR="00A2686A">
                        <w:rPr>
                          <w:rFonts w:ascii="Arial" w:hAnsi="Arial" w:cs="Arial"/>
                          <w:iCs/>
                        </w:rPr>
                        <w:t>are</w:t>
                      </w:r>
                      <w:r w:rsidR="00A2686A" w:rsidRPr="00F5204D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  <w:r w:rsidRPr="00F5204D">
                        <w:rPr>
                          <w:rFonts w:ascii="Arial" w:hAnsi="Arial" w:cs="Arial"/>
                          <w:iCs/>
                        </w:rPr>
                        <w:t xml:space="preserve">at the end of this letter.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FE9890" w14:textId="06CFBB18" w:rsidR="006B5E6A" w:rsidRPr="001977F0" w:rsidRDefault="006B5E6A" w:rsidP="00FB709B">
      <w:pPr>
        <w:pStyle w:val="paragraph"/>
        <w:spacing w:before="0" w:beforeAutospacing="0" w:after="0" w:afterAutospacing="0"/>
        <w:textAlignment w:val="baseline"/>
        <w:rPr>
          <w:rFonts w:cs="Arial"/>
          <w:highlight w:val="lightGray"/>
        </w:rPr>
      </w:pPr>
    </w:p>
    <w:p w14:paraId="0AA61956" w14:textId="77777777" w:rsidR="006B5E6A" w:rsidRPr="00AB5E8F" w:rsidRDefault="006B5E6A" w:rsidP="006B5E6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B5E8F">
        <w:rPr>
          <w:rStyle w:val="normaltextrun"/>
          <w:rFonts w:ascii="Arial" w:hAnsi="Arial" w:cs="Arial"/>
          <w:color w:val="000000"/>
          <w:sz w:val="22"/>
          <w:szCs w:val="22"/>
        </w:rPr>
        <w:t>Dear </w:t>
      </w:r>
      <w:r w:rsidRPr="00AB5E8F">
        <w:rPr>
          <w:rStyle w:val="normaltextrun"/>
          <w:rFonts w:ascii="Arial" w:hAnsi="Arial" w:cs="Arial"/>
          <w:color w:val="000000"/>
          <w:sz w:val="22"/>
          <w:szCs w:val="22"/>
          <w:highlight w:val="lightGray"/>
          <w:shd w:val="clear" w:color="auto" w:fill="FFFF00"/>
        </w:rPr>
        <w:t>[insert name]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</w:t>
      </w:r>
      <w:r w:rsidRPr="00AB5E8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E02077" w14:textId="071A6019" w:rsidR="004107AF" w:rsidRPr="00A73C66" w:rsidRDefault="004107AF" w:rsidP="004107A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D4ACA39" w14:textId="56C51212" w:rsidR="008B2B34" w:rsidRPr="00AB5E8F" w:rsidRDefault="008B2B34" w:rsidP="008B2B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Cs/>
          <w:sz w:val="22"/>
          <w:szCs w:val="22"/>
          <w:lang w:eastAsia="en-US" w:bidi="he-IL"/>
        </w:rPr>
      </w:pPr>
      <w:r w:rsidRPr="00AB5E8F">
        <w:rPr>
          <w:rFonts w:ascii="Arial" w:hAnsi="Arial" w:cs="Arial"/>
          <w:iCs/>
          <w:sz w:val="22"/>
          <w:szCs w:val="22"/>
          <w:lang w:eastAsia="en-US" w:bidi="he-IL"/>
        </w:rPr>
        <w:t xml:space="preserve">Thank you for your submission received on </w:t>
      </w:r>
      <w:r w:rsidRPr="00AB5E8F">
        <w:rPr>
          <w:rFonts w:ascii="Arial" w:hAnsi="Arial" w:cs="Arial"/>
          <w:iCs/>
          <w:sz w:val="22"/>
          <w:szCs w:val="22"/>
          <w:highlight w:val="lightGray"/>
          <w:lang w:eastAsia="en-US" w:bidi="he-IL"/>
        </w:rPr>
        <w:t>[insert date]</w:t>
      </w:r>
      <w:r>
        <w:rPr>
          <w:rFonts w:ascii="Arial" w:hAnsi="Arial" w:cs="Arial"/>
          <w:iCs/>
          <w:sz w:val="22"/>
          <w:szCs w:val="22"/>
          <w:lang w:eastAsia="en-US" w:bidi="he-IL"/>
        </w:rPr>
        <w:t xml:space="preserve"> </w:t>
      </w:r>
      <w:r w:rsidR="00856631">
        <w:rPr>
          <w:rFonts w:ascii="Arial" w:hAnsi="Arial" w:cs="Arial"/>
          <w:iCs/>
          <w:sz w:val="22"/>
          <w:szCs w:val="22"/>
          <w:lang w:eastAsia="en-US" w:bidi="he-IL"/>
        </w:rPr>
        <w:t>regarding</w:t>
      </w:r>
      <w:r w:rsidRPr="00AB5E8F">
        <w:rPr>
          <w:rFonts w:ascii="Arial" w:hAnsi="Arial" w:cs="Arial"/>
          <w:iCs/>
          <w:sz w:val="22"/>
          <w:szCs w:val="22"/>
          <w:lang w:eastAsia="en-US" w:bidi="he-IL"/>
        </w:rPr>
        <w:t xml:space="preserve"> your request for employment on a permanent basis in the higher classification position of </w:t>
      </w:r>
      <w:r w:rsidRPr="00AB5E8F">
        <w:rPr>
          <w:rFonts w:ascii="Arial" w:hAnsi="Arial" w:cs="Arial"/>
          <w:iCs/>
          <w:sz w:val="22"/>
          <w:szCs w:val="22"/>
          <w:highlight w:val="lightGray"/>
          <w:lang w:eastAsia="en-US" w:bidi="he-IL"/>
        </w:rPr>
        <w:t>[position name</w:t>
      </w:r>
      <w:r w:rsidRPr="00957119">
        <w:rPr>
          <w:rFonts w:ascii="Arial" w:hAnsi="Arial" w:cs="Arial"/>
          <w:iCs/>
          <w:sz w:val="22"/>
          <w:szCs w:val="22"/>
          <w:highlight w:val="lightGray"/>
          <w:lang w:eastAsia="en-US" w:bidi="he-IL"/>
        </w:rPr>
        <w:t>]</w:t>
      </w:r>
      <w:r w:rsidRPr="00AB5E8F">
        <w:rPr>
          <w:rFonts w:ascii="Arial" w:hAnsi="Arial" w:cs="Arial"/>
          <w:iCs/>
          <w:sz w:val="22"/>
          <w:szCs w:val="22"/>
          <w:lang w:eastAsia="en-US" w:bidi="he-IL"/>
        </w:rPr>
        <w:t xml:space="preserve">, </w:t>
      </w:r>
      <w:r w:rsidRPr="00AB5E8F">
        <w:rPr>
          <w:rFonts w:ascii="Arial" w:hAnsi="Arial" w:cs="Arial"/>
          <w:iCs/>
          <w:sz w:val="22"/>
          <w:szCs w:val="22"/>
          <w:highlight w:val="lightGray"/>
          <w:shd w:val="clear" w:color="auto" w:fill="A5A5A5" w:themeFill="accent3"/>
          <w:lang w:eastAsia="en-US" w:bidi="he-IL"/>
        </w:rPr>
        <w:t>[insert department, agency or entity name]</w:t>
      </w:r>
      <w:r w:rsidRPr="00140F4B" w:rsidDel="00140F4B">
        <w:rPr>
          <w:rFonts w:ascii="Arial" w:hAnsi="Arial" w:cs="Arial"/>
          <w:iCs/>
          <w:sz w:val="22"/>
          <w:szCs w:val="22"/>
          <w:lang w:eastAsia="en-US" w:bidi="he-IL"/>
        </w:rPr>
        <w:t xml:space="preserve"> </w:t>
      </w:r>
      <w:r w:rsidRPr="00AB5E8F">
        <w:rPr>
          <w:rFonts w:ascii="Arial" w:hAnsi="Arial" w:cs="Arial"/>
          <w:iCs/>
          <w:sz w:val="22"/>
          <w:szCs w:val="22"/>
          <w:lang w:eastAsia="en-US" w:bidi="he-IL"/>
        </w:rPr>
        <w:t xml:space="preserve">that you are currently </w:t>
      </w:r>
      <w:r w:rsidRPr="00957119">
        <w:rPr>
          <w:rFonts w:ascii="Arial" w:hAnsi="Arial" w:cs="Arial"/>
          <w:iCs/>
          <w:sz w:val="22"/>
          <w:szCs w:val="22"/>
          <w:highlight w:val="lightGray"/>
          <w:lang w:eastAsia="en-US" w:bidi="he-IL"/>
        </w:rPr>
        <w:t>[acting in/seconded to]</w:t>
      </w:r>
      <w:r w:rsidRPr="00AB5E8F">
        <w:rPr>
          <w:rFonts w:ascii="Arial" w:hAnsi="Arial" w:cs="Arial"/>
          <w:iCs/>
          <w:sz w:val="22"/>
          <w:szCs w:val="22"/>
          <w:lang w:eastAsia="en-US" w:bidi="he-IL"/>
        </w:rPr>
        <w:t>.</w:t>
      </w:r>
    </w:p>
    <w:p w14:paraId="53D3F352" w14:textId="6D1B39DC" w:rsidR="00124E80" w:rsidRDefault="00124E80" w:rsidP="001423B8">
      <w:pPr>
        <w:pStyle w:val="paragraph"/>
        <w:pBdr>
          <w:bottom w:val="single" w:sz="6" w:space="1" w:color="auto"/>
        </w:pBdr>
        <w:spacing w:before="0" w:beforeAutospacing="0" w:after="0" w:afterAutospacing="0"/>
        <w:textAlignment w:val="baseline"/>
        <w:rPr>
          <w:rFonts w:ascii="Arial" w:hAnsi="Arial" w:cs="Arial"/>
          <w:iCs/>
          <w:sz w:val="22"/>
          <w:szCs w:val="22"/>
          <w:lang w:eastAsia="en-US" w:bidi="he-IL"/>
        </w:rPr>
      </w:pPr>
    </w:p>
    <w:p w14:paraId="67AEC496" w14:textId="1F371017" w:rsidR="001423B8" w:rsidRPr="00A73C66" w:rsidRDefault="00C37ACC" w:rsidP="281657F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>
        <w:br/>
      </w:r>
      <w:r w:rsidR="5DD82AE5" w:rsidRPr="281657FD">
        <w:rPr>
          <w:rFonts w:ascii="Arial" w:hAnsi="Arial" w:cs="Arial"/>
          <w:sz w:val="22"/>
          <w:szCs w:val="22"/>
          <w:highlight w:val="yellow"/>
          <w:lang w:eastAsia="en-US" w:bidi="he-IL"/>
        </w:rPr>
        <w:t>[</w:t>
      </w:r>
      <w:r w:rsidR="7D07AF2F" w:rsidRPr="281657FD">
        <w:rPr>
          <w:rFonts w:ascii="Arial" w:hAnsi="Arial" w:cs="Arial"/>
          <w:b/>
          <w:bCs/>
          <w:sz w:val="22"/>
          <w:szCs w:val="22"/>
          <w:highlight w:val="yellow"/>
          <w:lang w:eastAsia="en-US" w:bidi="he-IL"/>
        </w:rPr>
        <w:t>Option 1</w:t>
      </w:r>
      <w:r w:rsidR="7D07AF2F" w:rsidRPr="281657FD">
        <w:rPr>
          <w:rFonts w:ascii="Arial" w:hAnsi="Arial" w:cs="Arial"/>
          <w:sz w:val="22"/>
          <w:szCs w:val="22"/>
          <w:highlight w:val="yellow"/>
          <w:lang w:eastAsia="en-US" w:bidi="he-IL"/>
        </w:rPr>
        <w:t xml:space="preserve"> – </w:t>
      </w:r>
      <w:r w:rsidR="093CCB68" w:rsidRPr="281657FD">
        <w:rPr>
          <w:rFonts w:ascii="Arial" w:hAnsi="Arial" w:cs="Arial"/>
          <w:sz w:val="22"/>
          <w:szCs w:val="22"/>
          <w:highlight w:val="yellow"/>
          <w:lang w:eastAsia="en-US" w:bidi="he-IL"/>
        </w:rPr>
        <w:t>use this content when employee is not eligible for review</w:t>
      </w:r>
      <w:r w:rsidR="5DD82AE5" w:rsidRPr="281657FD">
        <w:rPr>
          <w:rFonts w:ascii="Arial" w:hAnsi="Arial" w:cs="Arial"/>
          <w:sz w:val="22"/>
          <w:szCs w:val="22"/>
          <w:highlight w:val="yellow"/>
          <w:lang w:eastAsia="en-US" w:bidi="he-IL"/>
        </w:rPr>
        <w:t>]</w:t>
      </w:r>
    </w:p>
    <w:p w14:paraId="7B830CCF" w14:textId="2418E289" w:rsidR="281657FD" w:rsidRDefault="281657FD" w:rsidP="281657FD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  <w:highlight w:val="yellow"/>
          <w:lang w:eastAsia="en-US" w:bidi="he-IL"/>
        </w:rPr>
      </w:pPr>
    </w:p>
    <w:p w14:paraId="271E45D4" w14:textId="17816171" w:rsidR="007105F9" w:rsidRDefault="0EADF44C" w:rsidP="7C971F09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  <w:r w:rsidRPr="699D7DDA">
        <w:rPr>
          <w:rFonts w:ascii="Arial" w:eastAsia="Times New Roman" w:hAnsi="Arial" w:cs="Arial"/>
        </w:rPr>
        <w:t xml:space="preserve">You are not eligible for review under the provisions of </w:t>
      </w:r>
      <w:r w:rsidRPr="699D7DDA">
        <w:rPr>
          <w:rFonts w:ascii="Arial" w:hAnsi="Arial" w:cs="Arial"/>
          <w:highlight w:val="lightGray"/>
        </w:rPr>
        <w:t>[</w:t>
      </w:r>
      <w:hyperlink r:id="rId11" w:anchor="sec.120" w:history="1">
        <w:r w:rsidR="00C562E5" w:rsidRPr="00BA735D">
          <w:rPr>
            <w:rStyle w:val="Hyperlink"/>
            <w:rFonts w:ascii="Arial" w:hAnsi="Arial" w:cs="Arial"/>
            <w:highlight w:val="lightGray"/>
          </w:rPr>
          <w:t>section</w:t>
        </w:r>
        <w:r w:rsidR="00C562E5" w:rsidRPr="00C562E5">
          <w:rPr>
            <w:rStyle w:val="Hyperlink"/>
            <w:rFonts w:ascii="Arial" w:hAnsi="Arial" w:cs="Arial"/>
            <w:highlight w:val="lightGray"/>
          </w:rPr>
          <w:t xml:space="preserve"> </w:t>
        </w:r>
        <w:r w:rsidRPr="00C562E5">
          <w:rPr>
            <w:rStyle w:val="Hyperlink"/>
            <w:rFonts w:ascii="Arial" w:hAnsi="Arial" w:cs="Arial"/>
            <w:highlight w:val="lightGray"/>
          </w:rPr>
          <w:t>120</w:t>
        </w:r>
      </w:hyperlink>
      <w:r w:rsidR="5B320D72" w:rsidRPr="699D7DDA">
        <w:rPr>
          <w:rFonts w:ascii="Arial" w:hAnsi="Arial" w:cs="Arial"/>
          <w:highlight w:val="lightGray"/>
        </w:rPr>
        <w:t xml:space="preserve"> or </w:t>
      </w:r>
      <w:hyperlink r:id="rId12" w:anchor="sec.121" w:history="1">
        <w:r w:rsidR="00C562E5" w:rsidRPr="00FA0011">
          <w:rPr>
            <w:rStyle w:val="Hyperlink"/>
            <w:rFonts w:ascii="Arial" w:hAnsi="Arial" w:cs="Arial"/>
            <w:highlight w:val="lightGray"/>
          </w:rPr>
          <w:t xml:space="preserve">section </w:t>
        </w:r>
        <w:r w:rsidRPr="00FA0011">
          <w:rPr>
            <w:rStyle w:val="Hyperlink"/>
            <w:rFonts w:ascii="Arial" w:hAnsi="Arial" w:cs="Arial"/>
            <w:highlight w:val="lightGray"/>
          </w:rPr>
          <w:t>121</w:t>
        </w:r>
      </w:hyperlink>
      <w:r w:rsidRPr="699D7DDA">
        <w:rPr>
          <w:rFonts w:ascii="Arial" w:hAnsi="Arial" w:cs="Arial"/>
          <w:highlight w:val="lightGray"/>
        </w:rPr>
        <w:t>]</w:t>
      </w:r>
      <w:r w:rsidRPr="699D7DDA">
        <w:rPr>
          <w:rFonts w:ascii="Arial" w:hAnsi="Arial" w:cs="Arial"/>
        </w:rPr>
        <w:t xml:space="preserve"> of the </w:t>
      </w:r>
      <w:r w:rsidRPr="699D7DDA">
        <w:rPr>
          <w:rFonts w:ascii="Arial" w:hAnsi="Arial" w:cs="Arial"/>
          <w:i/>
          <w:iCs/>
        </w:rPr>
        <w:t xml:space="preserve">Public Sector Act 2022 </w:t>
      </w:r>
      <w:r w:rsidRPr="699D7DDA">
        <w:rPr>
          <w:rFonts w:ascii="Arial" w:hAnsi="Arial" w:cs="Arial"/>
        </w:rPr>
        <w:t>(</w:t>
      </w:r>
      <w:r w:rsidR="047487E4" w:rsidRPr="699D7DDA">
        <w:rPr>
          <w:rFonts w:ascii="Arial" w:hAnsi="Arial" w:cs="Arial"/>
        </w:rPr>
        <w:t xml:space="preserve">the </w:t>
      </w:r>
      <w:r w:rsidRPr="699D7DDA">
        <w:rPr>
          <w:rFonts w:ascii="Arial" w:hAnsi="Arial" w:cs="Arial"/>
        </w:rPr>
        <w:t>Act), relating to</w:t>
      </w:r>
      <w:r w:rsidR="00FF1920">
        <w:rPr>
          <w:rFonts w:ascii="Arial" w:hAnsi="Arial" w:cs="Arial"/>
        </w:rPr>
        <w:t xml:space="preserve"> the</w:t>
      </w:r>
      <w:r w:rsidRPr="699D7DDA">
        <w:rPr>
          <w:rFonts w:ascii="Arial" w:hAnsi="Arial" w:cs="Arial"/>
        </w:rPr>
        <w:t xml:space="preserve"> </w:t>
      </w:r>
      <w:hyperlink r:id="rId13" w:history="1">
        <w:r w:rsidR="00432581">
          <w:rPr>
            <w:rStyle w:val="Hyperlink"/>
            <w:rFonts w:ascii="Arial" w:hAnsi="Arial" w:cs="Arial"/>
          </w:rPr>
          <w:t>R</w:t>
        </w:r>
        <w:r w:rsidRPr="00FA0011">
          <w:rPr>
            <w:rStyle w:val="Hyperlink"/>
            <w:rFonts w:ascii="Arial" w:hAnsi="Arial" w:cs="Arial"/>
          </w:rPr>
          <w:t>eview of acting or secondment to higher classification level</w:t>
        </w:r>
        <w:r w:rsidR="02F3DF7F" w:rsidRPr="00FA0011">
          <w:rPr>
            <w:rStyle w:val="Hyperlink"/>
            <w:rFonts w:ascii="Arial" w:hAnsi="Arial" w:cs="Arial"/>
          </w:rPr>
          <w:t xml:space="preserve"> </w:t>
        </w:r>
        <w:r w:rsidR="00FA0011" w:rsidRPr="00FA0011">
          <w:rPr>
            <w:rStyle w:val="Hyperlink"/>
            <w:rFonts w:ascii="Arial" w:hAnsi="Arial" w:cs="Arial"/>
          </w:rPr>
          <w:t>(</w:t>
        </w:r>
        <w:r w:rsidR="30AE7FCB" w:rsidRPr="00FA0011">
          <w:rPr>
            <w:rStyle w:val="Hyperlink"/>
            <w:rFonts w:ascii="Arial" w:hAnsi="Arial" w:cs="Arial"/>
          </w:rPr>
          <w:t>Directive 03/23)</w:t>
        </w:r>
      </w:hyperlink>
      <w:r w:rsidR="30AE7FCB" w:rsidRPr="699D7DDA">
        <w:rPr>
          <w:rFonts w:ascii="Arial" w:hAnsi="Arial" w:cs="Arial"/>
        </w:rPr>
        <w:t xml:space="preserve"> </w:t>
      </w:r>
      <w:r w:rsidR="00E0564B">
        <w:rPr>
          <w:rFonts w:ascii="Arial" w:hAnsi="Arial" w:cs="Arial"/>
        </w:rPr>
        <w:t xml:space="preserve">(the directive) </w:t>
      </w:r>
      <w:r w:rsidR="02F3DF7F" w:rsidRPr="699D7DDA">
        <w:rPr>
          <w:rFonts w:ascii="Arial" w:hAnsi="Arial" w:cs="Arial"/>
        </w:rPr>
        <w:t>because</w:t>
      </w:r>
      <w:r w:rsidRPr="699D7DDA">
        <w:rPr>
          <w:rFonts w:ascii="Arial" w:eastAsia="Times New Roman" w:hAnsi="Arial" w:cs="Arial"/>
        </w:rPr>
        <w:t xml:space="preserve"> </w:t>
      </w:r>
      <w:r w:rsidRPr="699D7DDA">
        <w:rPr>
          <w:rFonts w:ascii="Arial" w:eastAsia="Times New Roman" w:hAnsi="Arial" w:cs="Arial"/>
          <w:highlight w:val="lightGray"/>
        </w:rPr>
        <w:t>[</w:t>
      </w:r>
      <w:r w:rsidR="30AE7FCB" w:rsidRPr="699D7DDA">
        <w:rPr>
          <w:rFonts w:ascii="Arial" w:eastAsia="Times New Roman" w:hAnsi="Arial" w:cs="Arial"/>
          <w:highlight w:val="lightGray"/>
        </w:rPr>
        <w:t>explain relevant reasons and reference supporting facts</w:t>
      </w:r>
      <w:r w:rsidRPr="699D7DDA">
        <w:rPr>
          <w:rFonts w:ascii="Arial" w:eastAsia="Times New Roman" w:hAnsi="Arial" w:cs="Arial"/>
          <w:highlight w:val="lightGray"/>
        </w:rPr>
        <w:t>]</w:t>
      </w:r>
      <w:r w:rsidRPr="699D7DDA">
        <w:rPr>
          <w:rFonts w:ascii="Arial" w:eastAsia="Times New Roman" w:hAnsi="Arial" w:cs="Arial"/>
        </w:rPr>
        <w:t xml:space="preserve">. </w:t>
      </w:r>
    </w:p>
    <w:p w14:paraId="4CCD83D5" w14:textId="77777777" w:rsidR="007105F9" w:rsidRDefault="007105F9" w:rsidP="00636B85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</w:p>
    <w:p w14:paraId="7D21D2E0" w14:textId="3334EE5A" w:rsidR="00636B85" w:rsidRPr="00130109" w:rsidRDefault="00726F21" w:rsidP="00636B85">
      <w:pPr>
        <w:widowControl w:val="0"/>
        <w:pBdr>
          <w:bottom w:val="single" w:sz="6" w:space="1" w:color="auto"/>
        </w:pBdr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  <w:highlight w:val="lightGray"/>
        </w:rPr>
      </w:pPr>
      <w:r w:rsidRPr="00A73C66">
        <w:rPr>
          <w:rFonts w:ascii="Arial" w:eastAsia="Times New Roman" w:hAnsi="Arial" w:cs="Arial"/>
          <w:iCs/>
        </w:rPr>
        <w:t xml:space="preserve">If you continue </w:t>
      </w:r>
      <w:r w:rsidRPr="0005681B">
        <w:rPr>
          <w:rFonts w:ascii="Arial" w:eastAsia="Times New Roman" w:hAnsi="Arial" w:cs="Arial"/>
          <w:iCs/>
          <w:highlight w:val="lightGray"/>
        </w:rPr>
        <w:t>[acting/your secondment]</w:t>
      </w:r>
      <w:r w:rsidRPr="00A73C66">
        <w:rPr>
          <w:rFonts w:ascii="Arial" w:eastAsia="Times New Roman" w:hAnsi="Arial" w:cs="Arial"/>
          <w:iCs/>
        </w:rPr>
        <w:t xml:space="preserve"> in this role on the terms of your current engagement, you are likely to become eligible to request a review under these </w:t>
      </w:r>
      <w:r w:rsidRPr="00957119">
        <w:rPr>
          <w:rFonts w:ascii="Arial" w:eastAsia="Times New Roman" w:hAnsi="Arial" w:cs="Arial"/>
          <w:iCs/>
        </w:rPr>
        <w:t>prov</w:t>
      </w:r>
      <w:r w:rsidRPr="00A73C66">
        <w:rPr>
          <w:rFonts w:ascii="Arial" w:eastAsia="Times New Roman" w:hAnsi="Arial" w:cs="Arial"/>
          <w:iCs/>
        </w:rPr>
        <w:t xml:space="preserve">isions on </w:t>
      </w:r>
      <w:r w:rsidRPr="0005681B">
        <w:rPr>
          <w:rFonts w:ascii="Arial" w:eastAsia="Times New Roman" w:hAnsi="Arial" w:cs="Arial"/>
          <w:iCs/>
          <w:highlight w:val="lightGray"/>
        </w:rPr>
        <w:t>[</w:t>
      </w:r>
      <w:r w:rsidR="00C24DEA" w:rsidRPr="0005681B">
        <w:rPr>
          <w:rFonts w:ascii="Arial" w:eastAsia="Times New Roman" w:hAnsi="Arial" w:cs="Arial"/>
          <w:iCs/>
          <w:highlight w:val="lightGray"/>
        </w:rPr>
        <w:t>in</w:t>
      </w:r>
      <w:r w:rsidR="00AC4113">
        <w:rPr>
          <w:rFonts w:ascii="Arial" w:eastAsia="Times New Roman" w:hAnsi="Arial" w:cs="Arial"/>
          <w:iCs/>
          <w:highlight w:val="lightGray"/>
        </w:rPr>
        <w:t>s</w:t>
      </w:r>
      <w:r w:rsidR="00C24DEA" w:rsidRPr="0005681B">
        <w:rPr>
          <w:rFonts w:ascii="Arial" w:eastAsia="Times New Roman" w:hAnsi="Arial" w:cs="Arial"/>
          <w:iCs/>
          <w:highlight w:val="lightGray"/>
        </w:rPr>
        <w:t>ert date</w:t>
      </w:r>
      <w:r w:rsidRPr="0005681B">
        <w:rPr>
          <w:rFonts w:ascii="Arial" w:eastAsia="Times New Roman" w:hAnsi="Arial" w:cs="Arial"/>
          <w:iCs/>
          <w:highlight w:val="lightGray"/>
        </w:rPr>
        <w:t>]</w:t>
      </w:r>
      <w:r w:rsidR="00130109">
        <w:rPr>
          <w:rFonts w:ascii="Arial" w:eastAsia="Times New Roman" w:hAnsi="Arial" w:cs="Arial"/>
          <w:iCs/>
        </w:rPr>
        <w:t>.</w:t>
      </w:r>
    </w:p>
    <w:p w14:paraId="27EA6B6C" w14:textId="77777777" w:rsidR="007105F9" w:rsidRDefault="007105F9" w:rsidP="00636B85">
      <w:pPr>
        <w:widowControl w:val="0"/>
        <w:pBdr>
          <w:bottom w:val="single" w:sz="6" w:space="1" w:color="auto"/>
        </w:pBdr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</w:p>
    <w:p w14:paraId="5BBAB477" w14:textId="77777777" w:rsidR="007105F9" w:rsidRPr="00A73C66" w:rsidRDefault="007105F9" w:rsidP="00636B85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</w:p>
    <w:p w14:paraId="5F227748" w14:textId="32AB2D8B" w:rsidR="001423B8" w:rsidRPr="00A73C66" w:rsidRDefault="5DD82AE5" w:rsidP="281657F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en-US" w:bidi="he-IL"/>
        </w:rPr>
      </w:pPr>
      <w:r w:rsidRPr="281657FD">
        <w:rPr>
          <w:rFonts w:ascii="Arial" w:hAnsi="Arial" w:cs="Arial"/>
          <w:sz w:val="22"/>
          <w:szCs w:val="22"/>
          <w:highlight w:val="yellow"/>
          <w:lang w:eastAsia="en-US" w:bidi="he-IL"/>
        </w:rPr>
        <w:t>[</w:t>
      </w:r>
      <w:r w:rsidR="327DA830" w:rsidRPr="281657FD">
        <w:rPr>
          <w:rFonts w:ascii="Arial" w:hAnsi="Arial" w:cs="Arial"/>
          <w:b/>
          <w:bCs/>
          <w:sz w:val="22"/>
          <w:szCs w:val="22"/>
          <w:highlight w:val="yellow"/>
          <w:lang w:eastAsia="en-US" w:bidi="he-IL"/>
        </w:rPr>
        <w:t>Option 2</w:t>
      </w:r>
      <w:r w:rsidR="327DA830" w:rsidRPr="281657FD">
        <w:rPr>
          <w:rFonts w:ascii="Arial" w:hAnsi="Arial" w:cs="Arial"/>
          <w:sz w:val="22"/>
          <w:szCs w:val="22"/>
          <w:highlight w:val="yellow"/>
          <w:lang w:eastAsia="en-US" w:bidi="he-IL"/>
        </w:rPr>
        <w:t xml:space="preserve"> – use this content when employee is </w:t>
      </w:r>
      <w:r w:rsidR="00000F82" w:rsidRPr="281657FD">
        <w:rPr>
          <w:rFonts w:ascii="Arial" w:hAnsi="Arial" w:cs="Arial"/>
          <w:sz w:val="22"/>
          <w:szCs w:val="22"/>
          <w:highlight w:val="yellow"/>
          <w:lang w:eastAsia="en-US" w:bidi="he-IL"/>
        </w:rPr>
        <w:t>eligible,</w:t>
      </w:r>
      <w:r w:rsidR="327DA830" w:rsidRPr="281657FD">
        <w:rPr>
          <w:rFonts w:ascii="Arial" w:hAnsi="Arial" w:cs="Arial"/>
          <w:sz w:val="22"/>
          <w:szCs w:val="22"/>
          <w:highlight w:val="yellow"/>
          <w:lang w:eastAsia="en-US" w:bidi="he-IL"/>
        </w:rPr>
        <w:t xml:space="preserve"> and review has been undertaken</w:t>
      </w:r>
      <w:r w:rsidRPr="281657FD">
        <w:rPr>
          <w:rFonts w:ascii="Arial" w:hAnsi="Arial" w:cs="Arial"/>
          <w:sz w:val="22"/>
          <w:szCs w:val="22"/>
          <w:highlight w:val="yellow"/>
          <w:lang w:eastAsia="en-US" w:bidi="he-IL"/>
        </w:rPr>
        <w:t>]</w:t>
      </w:r>
    </w:p>
    <w:p w14:paraId="4FD7942C" w14:textId="259CB19F" w:rsidR="281657FD" w:rsidRDefault="281657FD" w:rsidP="281657FD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  <w:highlight w:val="yellow"/>
          <w:lang w:eastAsia="en-US" w:bidi="he-IL"/>
        </w:rPr>
      </w:pPr>
    </w:p>
    <w:p w14:paraId="32DBA746" w14:textId="72185CC0" w:rsidR="004107AF" w:rsidRPr="00A73C66" w:rsidRDefault="6F51430B" w:rsidP="7C971F09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  <w:r w:rsidRPr="7C971F09">
        <w:rPr>
          <w:rFonts w:ascii="Arial" w:eastAsia="Times New Roman" w:hAnsi="Arial" w:cs="Arial"/>
        </w:rPr>
        <w:lastRenderedPageBreak/>
        <w:t>I have considered your request</w:t>
      </w:r>
      <w:r w:rsidR="4EA3B5A4" w:rsidRPr="7C971F09">
        <w:rPr>
          <w:rFonts w:ascii="Arial" w:eastAsia="Times New Roman" w:hAnsi="Arial" w:cs="Arial"/>
        </w:rPr>
        <w:t>.</w:t>
      </w:r>
      <w:r w:rsidR="00AE3874">
        <w:rPr>
          <w:rFonts w:ascii="Arial" w:eastAsia="Times New Roman" w:hAnsi="Arial" w:cs="Arial"/>
        </w:rPr>
        <w:t xml:space="preserve"> </w:t>
      </w:r>
      <w:r w:rsidR="00056A3F">
        <w:rPr>
          <w:rFonts w:ascii="Arial" w:eastAsia="Times New Roman" w:hAnsi="Arial" w:cs="Arial"/>
        </w:rPr>
        <w:t>M</w:t>
      </w:r>
      <w:r w:rsidRPr="7C971F09">
        <w:rPr>
          <w:rFonts w:ascii="Arial" w:eastAsia="Times New Roman" w:hAnsi="Arial" w:cs="Arial"/>
        </w:rPr>
        <w:t xml:space="preserve">y decision and response </w:t>
      </w:r>
      <w:r w:rsidR="00056A3F">
        <w:rPr>
          <w:rFonts w:ascii="Arial" w:eastAsia="Times New Roman" w:hAnsi="Arial" w:cs="Arial"/>
        </w:rPr>
        <w:t xml:space="preserve">is </w:t>
      </w:r>
      <w:r w:rsidRPr="7C971F09">
        <w:rPr>
          <w:rFonts w:ascii="Arial" w:eastAsia="Times New Roman" w:hAnsi="Arial" w:cs="Arial"/>
        </w:rPr>
        <w:t>based on the re</w:t>
      </w:r>
      <w:r w:rsidRPr="00723C6E">
        <w:rPr>
          <w:rFonts w:ascii="Arial" w:eastAsia="Times New Roman" w:hAnsi="Arial" w:cs="Arial"/>
        </w:rPr>
        <w:t xml:space="preserve">quirements </w:t>
      </w:r>
      <w:r w:rsidR="00723C6E" w:rsidRPr="00723C6E">
        <w:rPr>
          <w:rFonts w:ascii="Arial" w:eastAsia="Times New Roman" w:hAnsi="Arial" w:cs="Arial"/>
        </w:rPr>
        <w:t>of [</w:t>
      </w:r>
      <w:hyperlink r:id="rId14" w:anchor="sec.120" w:history="1">
        <w:r w:rsidR="00723C6E" w:rsidRPr="00723C6E">
          <w:rPr>
            <w:rStyle w:val="Hyperlink"/>
            <w:rFonts w:ascii="Arial" w:hAnsi="Arial" w:cs="Arial"/>
            <w:highlight w:val="lightGray"/>
          </w:rPr>
          <w:t>section 120</w:t>
        </w:r>
      </w:hyperlink>
      <w:r w:rsidR="00723C6E" w:rsidRPr="00723C6E">
        <w:rPr>
          <w:rFonts w:ascii="Arial" w:eastAsia="Times New Roman" w:hAnsi="Arial" w:cs="Arial"/>
        </w:rPr>
        <w:t xml:space="preserve"> or </w:t>
      </w:r>
      <w:hyperlink r:id="rId15" w:anchor="sec.121" w:history="1">
        <w:r w:rsidR="00723C6E" w:rsidRPr="00723C6E">
          <w:rPr>
            <w:rStyle w:val="Hyperlink"/>
            <w:rFonts w:ascii="Arial" w:hAnsi="Arial" w:cs="Arial"/>
            <w:highlight w:val="lightGray"/>
          </w:rPr>
          <w:t>section 121</w:t>
        </w:r>
      </w:hyperlink>
      <w:r w:rsidR="00723C6E" w:rsidRPr="00723C6E">
        <w:rPr>
          <w:rFonts w:ascii="Arial" w:eastAsia="Times New Roman" w:hAnsi="Arial" w:cs="Arial"/>
        </w:rPr>
        <w:t xml:space="preserve">] of the </w:t>
      </w:r>
      <w:r w:rsidR="00723C6E" w:rsidRPr="00723C6E">
        <w:rPr>
          <w:rFonts w:ascii="Arial" w:eastAsia="Times New Roman" w:hAnsi="Arial" w:cs="Arial"/>
          <w:i/>
          <w:iCs/>
        </w:rPr>
        <w:t xml:space="preserve">Public Sector Act 2022 </w:t>
      </w:r>
      <w:r w:rsidR="00723C6E" w:rsidRPr="00723C6E">
        <w:rPr>
          <w:rFonts w:ascii="Arial" w:eastAsia="Times New Roman" w:hAnsi="Arial" w:cs="Arial"/>
        </w:rPr>
        <w:t xml:space="preserve">(the Act) </w:t>
      </w:r>
      <w:r w:rsidR="009D7501" w:rsidRPr="009D7501">
        <w:rPr>
          <w:rStyle w:val="Hyperlink"/>
          <w:rFonts w:ascii="Arial" w:hAnsi="Arial" w:cs="Arial"/>
          <w:color w:val="auto"/>
          <w:u w:val="none"/>
        </w:rPr>
        <w:t>and</w:t>
      </w:r>
      <w:r w:rsidR="00853C07">
        <w:rPr>
          <w:rStyle w:val="Hyperlink"/>
          <w:rFonts w:ascii="Arial" w:hAnsi="Arial" w:cs="Arial"/>
          <w:color w:val="auto"/>
          <w:u w:val="none"/>
        </w:rPr>
        <w:t xml:space="preserve"> the</w:t>
      </w:r>
      <w:r w:rsidR="009D7501" w:rsidRPr="009D7501">
        <w:rPr>
          <w:rStyle w:val="Hyperlink"/>
          <w:rFonts w:ascii="Arial" w:hAnsi="Arial" w:cs="Arial"/>
          <w:color w:val="auto"/>
          <w:u w:val="none"/>
        </w:rPr>
        <w:t xml:space="preserve"> </w:t>
      </w:r>
      <w:hyperlink r:id="rId16" w:history="1">
        <w:r w:rsidR="22FD063B" w:rsidRPr="009D7501">
          <w:rPr>
            <w:rStyle w:val="Hyperlink"/>
            <w:rFonts w:ascii="Arial" w:hAnsi="Arial" w:cs="Arial"/>
          </w:rPr>
          <w:t>R</w:t>
        </w:r>
        <w:r w:rsidR="7721F4FF" w:rsidRPr="009D7501">
          <w:rPr>
            <w:rStyle w:val="Hyperlink"/>
            <w:rFonts w:ascii="Arial" w:eastAsia="Times New Roman" w:hAnsi="Arial" w:cs="Arial"/>
          </w:rPr>
          <w:t xml:space="preserve">eview of acting or secondment </w:t>
        </w:r>
        <w:r w:rsidR="00CD3A48">
          <w:rPr>
            <w:rStyle w:val="Hyperlink"/>
            <w:rFonts w:ascii="Arial" w:eastAsia="Times New Roman" w:hAnsi="Arial" w:cs="Arial"/>
          </w:rPr>
          <w:t>at</w:t>
        </w:r>
        <w:r w:rsidR="7721F4FF" w:rsidRPr="009D7501">
          <w:rPr>
            <w:rStyle w:val="Hyperlink"/>
            <w:rFonts w:ascii="Arial" w:eastAsia="Times New Roman" w:hAnsi="Arial" w:cs="Arial"/>
          </w:rPr>
          <w:t xml:space="preserve"> higher classification level (Directive 03/23)</w:t>
        </w:r>
      </w:hyperlink>
      <w:r w:rsidR="00E0564B">
        <w:rPr>
          <w:rStyle w:val="Hyperlink"/>
          <w:rFonts w:ascii="Arial" w:eastAsia="Times New Roman" w:hAnsi="Arial" w:cs="Arial"/>
        </w:rPr>
        <w:t xml:space="preserve"> (the directive)</w:t>
      </w:r>
      <w:r w:rsidR="7721F4FF" w:rsidRPr="009D7501">
        <w:rPr>
          <w:rFonts w:ascii="Arial" w:eastAsia="Times New Roman" w:hAnsi="Arial" w:cs="Arial"/>
        </w:rPr>
        <w:t>.</w:t>
      </w:r>
    </w:p>
    <w:p w14:paraId="5C215DDA" w14:textId="77777777" w:rsidR="000028AA" w:rsidRPr="00A73C66" w:rsidRDefault="000028AA" w:rsidP="004107AF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  <w:iCs/>
        </w:rPr>
      </w:pPr>
    </w:p>
    <w:p w14:paraId="0445839B" w14:textId="77777777" w:rsidR="00E935AD" w:rsidRDefault="004107AF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  <w:r w:rsidRPr="00A73C66">
        <w:rPr>
          <w:rStyle w:val="eop"/>
          <w:rFonts w:ascii="Arial" w:hAnsi="Arial" w:cs="Arial"/>
        </w:rPr>
        <w:t xml:space="preserve">You have been engaged at the higher classification level for a total </w:t>
      </w:r>
      <w:r w:rsidRPr="00000F82">
        <w:rPr>
          <w:rStyle w:val="eop"/>
          <w:rFonts w:ascii="Arial" w:hAnsi="Arial" w:cs="Arial"/>
        </w:rPr>
        <w:t>of</w:t>
      </w:r>
      <w:r w:rsidRPr="00287DDC">
        <w:rPr>
          <w:rStyle w:val="eop"/>
          <w:rFonts w:ascii="Arial" w:hAnsi="Arial" w:cs="Arial"/>
        </w:rPr>
        <w:t xml:space="preserve"> </w:t>
      </w:r>
      <w:r w:rsidRPr="0005681B">
        <w:rPr>
          <w:rStyle w:val="eop"/>
          <w:rFonts w:ascii="Arial" w:hAnsi="Arial" w:cs="Arial"/>
          <w:highlight w:val="lightGray"/>
        </w:rPr>
        <w:t>[</w:t>
      </w:r>
      <w:r w:rsidR="00294281" w:rsidRPr="0005681B">
        <w:rPr>
          <w:rStyle w:val="eop"/>
          <w:rFonts w:ascii="Arial" w:hAnsi="Arial" w:cs="Arial"/>
          <w:highlight w:val="lightGray"/>
        </w:rPr>
        <w:t xml:space="preserve">insert total </w:t>
      </w:r>
      <w:r w:rsidR="00370000" w:rsidRPr="00370000">
        <w:rPr>
          <w:rStyle w:val="eop"/>
          <w:rFonts w:ascii="Arial" w:hAnsi="Arial" w:cs="Arial"/>
          <w:highlight w:val="lightGray"/>
        </w:rPr>
        <w:t>continuous</w:t>
      </w:r>
      <w:r w:rsidR="00294281" w:rsidRPr="0005681B">
        <w:rPr>
          <w:rStyle w:val="eop"/>
          <w:rFonts w:ascii="Arial" w:hAnsi="Arial" w:cs="Arial"/>
          <w:highlight w:val="lightGray"/>
        </w:rPr>
        <w:t xml:space="preserve"> period of acting in the higher level in the department</w:t>
      </w:r>
      <w:r w:rsidRPr="0005681B">
        <w:rPr>
          <w:rStyle w:val="eop"/>
          <w:rFonts w:ascii="Arial" w:hAnsi="Arial" w:cs="Arial"/>
          <w:highlight w:val="lightGray"/>
        </w:rPr>
        <w:t>]</w:t>
      </w:r>
      <w:r w:rsidR="00130109">
        <w:rPr>
          <w:rStyle w:val="eop"/>
          <w:rFonts w:ascii="Arial" w:hAnsi="Arial" w:cs="Arial"/>
        </w:rPr>
        <w:t xml:space="preserve">. </w:t>
      </w:r>
      <w:r w:rsidRPr="00A73C66">
        <w:rPr>
          <w:rStyle w:val="eop"/>
          <w:rFonts w:ascii="Arial" w:hAnsi="Arial" w:cs="Arial"/>
        </w:rPr>
        <w:t xml:space="preserve">Your engagement at this higher classification has been extended </w:t>
      </w:r>
      <w:r w:rsidRPr="0005681B">
        <w:rPr>
          <w:rStyle w:val="eop"/>
          <w:rFonts w:ascii="Arial" w:hAnsi="Arial" w:cs="Arial"/>
          <w:highlight w:val="lightGray"/>
        </w:rPr>
        <w:t>[</w:t>
      </w:r>
      <w:r w:rsidR="00294281" w:rsidRPr="0005681B">
        <w:rPr>
          <w:rStyle w:val="eop"/>
          <w:rFonts w:ascii="Arial" w:hAnsi="Arial" w:cs="Arial"/>
          <w:highlight w:val="lightGray"/>
        </w:rPr>
        <w:t>insert number of times</w:t>
      </w:r>
      <w:r w:rsidRPr="0005681B">
        <w:rPr>
          <w:rStyle w:val="eop"/>
          <w:rFonts w:ascii="Arial" w:hAnsi="Arial" w:cs="Arial"/>
          <w:highlight w:val="lightGray"/>
        </w:rPr>
        <w:t>]</w:t>
      </w:r>
      <w:r w:rsidRPr="00A73C66">
        <w:rPr>
          <w:rStyle w:val="eop"/>
          <w:rFonts w:ascii="Arial" w:hAnsi="Arial" w:cs="Arial"/>
        </w:rPr>
        <w:t xml:space="preserve"> times</w:t>
      </w:r>
      <w:r w:rsidRPr="00FB709B">
        <w:rPr>
          <w:rStyle w:val="eop"/>
          <w:rFonts w:ascii="Arial" w:hAnsi="Arial" w:cs="Arial"/>
        </w:rPr>
        <w:t xml:space="preserve">. </w:t>
      </w:r>
    </w:p>
    <w:p w14:paraId="58B22913" w14:textId="77777777" w:rsidR="00E935AD" w:rsidRDefault="00E935AD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</w:p>
    <w:p w14:paraId="449908CC" w14:textId="612FC511" w:rsidR="00443701" w:rsidRDefault="00F7627E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  <w:r w:rsidRPr="00A75F05">
        <w:rPr>
          <w:rStyle w:val="eop"/>
          <w:rFonts w:ascii="Arial" w:hAnsi="Arial" w:cs="Arial"/>
          <w:highlight w:val="lightGray"/>
        </w:rPr>
        <w:t xml:space="preserve">[Where </w:t>
      </w:r>
      <w:r w:rsidR="00603E30" w:rsidRPr="00A75F05">
        <w:rPr>
          <w:rStyle w:val="eop"/>
          <w:rFonts w:ascii="Arial" w:hAnsi="Arial" w:cs="Arial"/>
          <w:highlight w:val="lightGray"/>
        </w:rPr>
        <w:t xml:space="preserve">a </w:t>
      </w:r>
      <w:r w:rsidR="00443701" w:rsidRPr="00A75F05">
        <w:rPr>
          <w:rStyle w:val="eop"/>
          <w:rFonts w:ascii="Arial" w:hAnsi="Arial" w:cs="Arial"/>
          <w:highlight w:val="lightGray"/>
        </w:rPr>
        <w:t xml:space="preserve">chief executive has considered periods of authorised leave </w:t>
      </w:r>
      <w:proofErr w:type="spellStart"/>
      <w:r w:rsidR="00443701" w:rsidRPr="00A75F05">
        <w:rPr>
          <w:rStyle w:val="eop"/>
          <w:rFonts w:ascii="Arial" w:hAnsi="Arial" w:cs="Arial"/>
          <w:highlight w:val="lightGray"/>
        </w:rPr>
        <w:t>or</w:t>
      </w:r>
      <w:proofErr w:type="spellEnd"/>
      <w:r w:rsidR="00443701" w:rsidRPr="00A75F05">
        <w:rPr>
          <w:rStyle w:val="eop"/>
          <w:rFonts w:ascii="Arial" w:hAnsi="Arial" w:cs="Arial"/>
          <w:highlight w:val="lightGray"/>
        </w:rPr>
        <w:t xml:space="preserve"> absence</w:t>
      </w:r>
      <w:r w:rsidR="00370C73" w:rsidRPr="00A75F05">
        <w:rPr>
          <w:rStyle w:val="eop"/>
          <w:rFonts w:ascii="Arial" w:hAnsi="Arial" w:cs="Arial"/>
          <w:highlight w:val="lightGray"/>
        </w:rPr>
        <w:t xml:space="preserve">, </w:t>
      </w:r>
      <w:r w:rsidR="00B6437D" w:rsidRPr="00A75F05">
        <w:rPr>
          <w:rStyle w:val="eop"/>
          <w:rFonts w:ascii="Arial" w:hAnsi="Arial" w:cs="Arial"/>
          <w:highlight w:val="lightGray"/>
        </w:rPr>
        <w:t>insert the</w:t>
      </w:r>
      <w:r w:rsidR="00370C73" w:rsidRPr="00A75F05">
        <w:rPr>
          <w:rStyle w:val="eop"/>
          <w:rFonts w:ascii="Arial" w:hAnsi="Arial" w:cs="Arial"/>
          <w:highlight w:val="lightGray"/>
        </w:rPr>
        <w:t xml:space="preserve"> appropriate option below</w:t>
      </w:r>
      <w:r w:rsidR="004908C7" w:rsidRPr="00A75F05">
        <w:rPr>
          <w:rStyle w:val="eop"/>
          <w:rFonts w:ascii="Arial" w:hAnsi="Arial" w:cs="Arial"/>
          <w:highlight w:val="lightGray"/>
        </w:rPr>
        <w:t>:</w:t>
      </w:r>
      <w:r>
        <w:rPr>
          <w:rStyle w:val="eop"/>
          <w:rFonts w:ascii="Arial" w:hAnsi="Arial" w:cs="Arial"/>
        </w:rPr>
        <w:t xml:space="preserve"> </w:t>
      </w:r>
    </w:p>
    <w:p w14:paraId="70DECAD3" w14:textId="77777777" w:rsidR="0020646E" w:rsidRDefault="0020646E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</w:p>
    <w:p w14:paraId="6EAB30D4" w14:textId="14AB770D" w:rsidR="00443701" w:rsidRDefault="00443701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During this time, you </w:t>
      </w:r>
      <w:r w:rsidR="0003231E">
        <w:rPr>
          <w:rStyle w:val="eop"/>
          <w:rFonts w:ascii="Arial" w:hAnsi="Arial" w:cs="Arial"/>
        </w:rPr>
        <w:t xml:space="preserve">took a period of </w:t>
      </w:r>
      <w:r w:rsidR="0003231E" w:rsidRPr="00287DDC">
        <w:rPr>
          <w:rStyle w:val="eop"/>
          <w:rFonts w:ascii="Arial" w:hAnsi="Arial" w:cs="Arial"/>
          <w:highlight w:val="lightGray"/>
        </w:rPr>
        <w:t>[</w:t>
      </w:r>
      <w:r w:rsidR="00B6437D">
        <w:rPr>
          <w:rStyle w:val="eop"/>
          <w:rFonts w:ascii="Arial" w:hAnsi="Arial" w:cs="Arial"/>
          <w:highlight w:val="lightGray"/>
        </w:rPr>
        <w:t>leave type</w:t>
      </w:r>
      <w:r w:rsidR="0003231E" w:rsidRPr="00287DDC">
        <w:rPr>
          <w:rStyle w:val="eop"/>
          <w:rFonts w:ascii="Arial" w:hAnsi="Arial" w:cs="Arial"/>
          <w:highlight w:val="lightGray"/>
        </w:rPr>
        <w:t>]</w:t>
      </w:r>
      <w:r w:rsidR="0003231E">
        <w:rPr>
          <w:rStyle w:val="eop"/>
          <w:rFonts w:ascii="Arial" w:hAnsi="Arial" w:cs="Arial"/>
        </w:rPr>
        <w:t xml:space="preserve"> from </w:t>
      </w:r>
      <w:r w:rsidR="0003231E" w:rsidRPr="00287DDC">
        <w:rPr>
          <w:rStyle w:val="eop"/>
          <w:rFonts w:ascii="Arial" w:hAnsi="Arial" w:cs="Arial"/>
          <w:highlight w:val="lightGray"/>
        </w:rPr>
        <w:t>[date]</w:t>
      </w:r>
      <w:r w:rsidR="0003231E">
        <w:rPr>
          <w:rStyle w:val="eop"/>
          <w:rFonts w:ascii="Arial" w:hAnsi="Arial" w:cs="Arial"/>
        </w:rPr>
        <w:t xml:space="preserve"> and returned to the position at the higher classification level on </w:t>
      </w:r>
      <w:r w:rsidR="0003231E" w:rsidRPr="00287DDC">
        <w:rPr>
          <w:rStyle w:val="eop"/>
          <w:rFonts w:ascii="Arial" w:hAnsi="Arial" w:cs="Arial"/>
          <w:highlight w:val="lightGray"/>
        </w:rPr>
        <w:t>[date]</w:t>
      </w:r>
      <w:r w:rsidR="0003231E">
        <w:rPr>
          <w:rStyle w:val="eop"/>
          <w:rFonts w:ascii="Arial" w:hAnsi="Arial" w:cs="Arial"/>
        </w:rPr>
        <w:t xml:space="preserve">. </w:t>
      </w:r>
      <w:r w:rsidR="000B5973">
        <w:rPr>
          <w:rStyle w:val="eop"/>
          <w:rFonts w:ascii="Arial" w:hAnsi="Arial" w:cs="Arial"/>
        </w:rPr>
        <w:t xml:space="preserve">I have utilised my discretion in accordance with clause 8.3 of </w:t>
      </w:r>
      <w:r w:rsidR="00E0564B">
        <w:rPr>
          <w:rStyle w:val="eop"/>
          <w:rFonts w:ascii="Arial" w:hAnsi="Arial" w:cs="Arial"/>
        </w:rPr>
        <w:t>the directive</w:t>
      </w:r>
      <w:r w:rsidR="000B5973">
        <w:rPr>
          <w:rStyle w:val="eop"/>
          <w:rFonts w:ascii="Arial" w:hAnsi="Arial" w:cs="Arial"/>
        </w:rPr>
        <w:t xml:space="preserve"> and determined this period as authorised leave and does not </w:t>
      </w:r>
      <w:r w:rsidR="00AF2C31">
        <w:rPr>
          <w:rStyle w:val="eop"/>
          <w:rFonts w:ascii="Arial" w:hAnsi="Arial" w:cs="Arial"/>
        </w:rPr>
        <w:t xml:space="preserve">break your continuous period of service at the higher classification level. </w:t>
      </w:r>
    </w:p>
    <w:p w14:paraId="7013F987" w14:textId="77777777" w:rsidR="00533515" w:rsidRDefault="00533515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</w:p>
    <w:p w14:paraId="71CD9914" w14:textId="5D9FE7E6" w:rsidR="00F66CDC" w:rsidRDefault="00F66CDC" w:rsidP="00F66CDC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During this time, you were </w:t>
      </w:r>
      <w:r w:rsidRPr="006E0173">
        <w:rPr>
          <w:rStyle w:val="eop"/>
          <w:rFonts w:ascii="Arial" w:hAnsi="Arial" w:cs="Arial"/>
          <w:highlight w:val="lightGray"/>
        </w:rPr>
        <w:t>[acting in/seconded to]</w:t>
      </w:r>
      <w:r>
        <w:rPr>
          <w:rStyle w:val="eop"/>
          <w:rFonts w:ascii="Arial" w:hAnsi="Arial" w:cs="Arial"/>
        </w:rPr>
        <w:t xml:space="preserve"> an alternative position at a higher classification level of </w:t>
      </w:r>
      <w:r w:rsidRPr="006E0173">
        <w:rPr>
          <w:rStyle w:val="eop"/>
          <w:rFonts w:ascii="Arial" w:hAnsi="Arial" w:cs="Arial"/>
          <w:highlight w:val="lightGray"/>
        </w:rPr>
        <w:t>[position name]</w:t>
      </w:r>
      <w:r>
        <w:rPr>
          <w:rStyle w:val="eop"/>
          <w:rFonts w:ascii="Arial" w:hAnsi="Arial" w:cs="Arial"/>
        </w:rPr>
        <w:t xml:space="preserve">, </w:t>
      </w:r>
      <w:r w:rsidRPr="006E0173">
        <w:rPr>
          <w:rStyle w:val="eop"/>
          <w:rFonts w:ascii="Arial" w:hAnsi="Arial" w:cs="Arial"/>
          <w:highlight w:val="lightGray"/>
        </w:rPr>
        <w:t>[classification level]</w:t>
      </w:r>
      <w:r>
        <w:rPr>
          <w:rStyle w:val="eop"/>
          <w:rFonts w:ascii="Arial" w:hAnsi="Arial" w:cs="Arial"/>
        </w:rPr>
        <w:t xml:space="preserve"> from </w:t>
      </w:r>
      <w:r w:rsidRPr="006E0173">
        <w:rPr>
          <w:rStyle w:val="eop"/>
          <w:rFonts w:ascii="Arial" w:hAnsi="Arial" w:cs="Arial"/>
          <w:highlight w:val="lightGray"/>
        </w:rPr>
        <w:t>[date]</w:t>
      </w:r>
      <w:r>
        <w:rPr>
          <w:rStyle w:val="eop"/>
          <w:rFonts w:ascii="Arial" w:hAnsi="Arial" w:cs="Arial"/>
        </w:rPr>
        <w:t xml:space="preserve"> to </w:t>
      </w:r>
      <w:r w:rsidRPr="006E0173">
        <w:rPr>
          <w:rStyle w:val="eop"/>
          <w:rFonts w:ascii="Arial" w:hAnsi="Arial" w:cs="Arial"/>
          <w:highlight w:val="lightGray"/>
        </w:rPr>
        <w:t>[date]</w:t>
      </w:r>
      <w:r>
        <w:rPr>
          <w:rStyle w:val="eop"/>
          <w:rFonts w:ascii="Arial" w:hAnsi="Arial" w:cs="Arial"/>
        </w:rPr>
        <w:t xml:space="preserve">. You returned to your initial position at the higher classification level on </w:t>
      </w:r>
      <w:r w:rsidRPr="006E0173">
        <w:rPr>
          <w:rStyle w:val="eop"/>
          <w:rFonts w:ascii="Arial" w:hAnsi="Arial" w:cs="Arial"/>
          <w:highlight w:val="lightGray"/>
        </w:rPr>
        <w:t>[date]</w:t>
      </w:r>
      <w:r>
        <w:rPr>
          <w:rStyle w:val="eop"/>
          <w:rFonts w:ascii="Arial" w:hAnsi="Arial" w:cs="Arial"/>
        </w:rPr>
        <w:t xml:space="preserve">. I have utilised my discretion in accordance with clause 8.4 of </w:t>
      </w:r>
      <w:r w:rsidR="00E0564B">
        <w:rPr>
          <w:rStyle w:val="eop"/>
          <w:rFonts w:ascii="Arial" w:hAnsi="Arial" w:cs="Arial"/>
        </w:rPr>
        <w:t>the directive</w:t>
      </w:r>
      <w:r>
        <w:rPr>
          <w:rStyle w:val="eop"/>
          <w:rFonts w:ascii="Arial" w:hAnsi="Arial" w:cs="Arial"/>
        </w:rPr>
        <w:t xml:space="preserve"> and determined this period as authorised </w:t>
      </w:r>
      <w:r w:rsidRPr="00D27B2B">
        <w:rPr>
          <w:rStyle w:val="eop"/>
          <w:rFonts w:ascii="Arial" w:hAnsi="Arial" w:cs="Arial"/>
        </w:rPr>
        <w:t>absence and does not break your continuous period of service at the higher classification level</w:t>
      </w:r>
      <w:r>
        <w:rPr>
          <w:rStyle w:val="eop"/>
          <w:rFonts w:ascii="Arial" w:hAnsi="Arial" w:cs="Arial"/>
        </w:rPr>
        <w:t xml:space="preserve"> of </w:t>
      </w:r>
      <w:r>
        <w:rPr>
          <w:rStyle w:val="eop"/>
          <w:rFonts w:ascii="Arial" w:hAnsi="Arial" w:cs="Arial"/>
          <w:highlight w:val="lightGray"/>
        </w:rPr>
        <w:t xml:space="preserve">[initial higher </w:t>
      </w:r>
      <w:r w:rsidRPr="006E0173">
        <w:rPr>
          <w:rStyle w:val="eop"/>
          <w:rFonts w:ascii="Arial" w:hAnsi="Arial" w:cs="Arial"/>
          <w:highlight w:val="lightGray"/>
        </w:rPr>
        <w:t>classification level]</w:t>
      </w:r>
      <w:proofErr w:type="gramStart"/>
      <w:r>
        <w:rPr>
          <w:rStyle w:val="eop"/>
          <w:rFonts w:ascii="Arial" w:hAnsi="Arial" w:cs="Arial"/>
        </w:rPr>
        <w:t>. ]</w:t>
      </w:r>
      <w:proofErr w:type="gramEnd"/>
    </w:p>
    <w:p w14:paraId="3F85E768" w14:textId="77777777" w:rsidR="00E935AD" w:rsidRDefault="00E935AD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</w:p>
    <w:p w14:paraId="1840539C" w14:textId="006ED3BB" w:rsidR="004107AF" w:rsidRDefault="008245B0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  <w:r w:rsidRPr="0005681B">
        <w:rPr>
          <w:rStyle w:val="eop"/>
          <w:rFonts w:ascii="Arial" w:hAnsi="Arial" w:cs="Arial"/>
          <w:highlight w:val="lightGray"/>
        </w:rPr>
        <w:t>A summary of y</w:t>
      </w:r>
      <w:r w:rsidR="004107AF" w:rsidRPr="0005681B">
        <w:rPr>
          <w:rStyle w:val="eop"/>
          <w:rFonts w:ascii="Arial" w:hAnsi="Arial" w:cs="Arial"/>
          <w:highlight w:val="lightGray"/>
        </w:rPr>
        <w:t xml:space="preserve">our employment </w:t>
      </w:r>
      <w:r w:rsidRPr="0005681B">
        <w:rPr>
          <w:rStyle w:val="eop"/>
          <w:rFonts w:ascii="Arial" w:hAnsi="Arial" w:cs="Arial"/>
          <w:highlight w:val="lightGray"/>
        </w:rPr>
        <w:t>at the higher classification level</w:t>
      </w:r>
      <w:r w:rsidR="00FA5206">
        <w:rPr>
          <w:rStyle w:val="eop"/>
          <w:rFonts w:ascii="Arial" w:hAnsi="Arial" w:cs="Arial"/>
          <w:highlight w:val="lightGray"/>
        </w:rPr>
        <w:t>/s</w:t>
      </w:r>
      <w:r w:rsidR="004107AF" w:rsidRPr="0005681B">
        <w:rPr>
          <w:rStyle w:val="eop"/>
          <w:rFonts w:ascii="Arial" w:hAnsi="Arial" w:cs="Arial"/>
          <w:highlight w:val="lightGray"/>
        </w:rPr>
        <w:t xml:space="preserve"> is </w:t>
      </w:r>
      <w:r w:rsidRPr="0005681B">
        <w:rPr>
          <w:rStyle w:val="eop"/>
          <w:rFonts w:ascii="Arial" w:hAnsi="Arial" w:cs="Arial"/>
          <w:highlight w:val="lightGray"/>
        </w:rPr>
        <w:t>attached</w:t>
      </w:r>
      <w:r w:rsidR="00726F21" w:rsidRPr="0005681B">
        <w:rPr>
          <w:rStyle w:val="eop"/>
          <w:rFonts w:ascii="Arial" w:hAnsi="Arial" w:cs="Arial"/>
          <w:highlight w:val="lightGray"/>
        </w:rPr>
        <w:t xml:space="preserve"> [</w:t>
      </w:r>
      <w:r w:rsidR="00294281" w:rsidRPr="0005681B">
        <w:rPr>
          <w:rStyle w:val="eop"/>
          <w:rFonts w:ascii="Arial" w:hAnsi="Arial" w:cs="Arial"/>
          <w:highlight w:val="lightGray"/>
        </w:rPr>
        <w:t>attach summary if appropriate</w:t>
      </w:r>
      <w:r w:rsidR="00726F21" w:rsidRPr="0005681B">
        <w:rPr>
          <w:rStyle w:val="eop"/>
          <w:rFonts w:ascii="Arial" w:hAnsi="Arial" w:cs="Arial"/>
          <w:highlight w:val="lightGray"/>
        </w:rPr>
        <w:t>]</w:t>
      </w:r>
      <w:r w:rsidRPr="0005681B">
        <w:rPr>
          <w:rStyle w:val="eop"/>
          <w:rFonts w:ascii="Arial" w:hAnsi="Arial" w:cs="Arial"/>
          <w:highlight w:val="lightGray"/>
        </w:rPr>
        <w:t>.</w:t>
      </w:r>
    </w:p>
    <w:p w14:paraId="6EF3F8F7" w14:textId="77777777" w:rsidR="00C37ACC" w:rsidRDefault="00C37ACC" w:rsidP="004107AF">
      <w:pPr>
        <w:widowControl w:val="0"/>
        <w:pBdr>
          <w:bottom w:val="single" w:sz="6" w:space="1" w:color="auto"/>
        </w:pBdr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</w:p>
    <w:p w14:paraId="639E1E11" w14:textId="77777777" w:rsidR="00C37ACC" w:rsidRPr="00A73C66" w:rsidRDefault="00C37ACC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</w:p>
    <w:p w14:paraId="3D899484" w14:textId="070A4CDE" w:rsidR="001423B8" w:rsidRPr="00A73C66" w:rsidRDefault="5DD82AE5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  <w:r w:rsidRPr="281657FD">
        <w:rPr>
          <w:rStyle w:val="eop"/>
          <w:rFonts w:ascii="Arial" w:hAnsi="Arial" w:cs="Arial"/>
          <w:highlight w:val="yellow"/>
        </w:rPr>
        <w:t>[</w:t>
      </w:r>
      <w:r w:rsidR="7C02F72D" w:rsidRPr="281657FD">
        <w:rPr>
          <w:rStyle w:val="eop"/>
          <w:rFonts w:ascii="Arial" w:hAnsi="Arial" w:cs="Arial"/>
          <w:b/>
          <w:bCs/>
          <w:highlight w:val="yellow"/>
        </w:rPr>
        <w:t xml:space="preserve">Option </w:t>
      </w:r>
      <w:r w:rsidR="00126A54">
        <w:rPr>
          <w:rStyle w:val="eop"/>
          <w:rFonts w:ascii="Arial" w:hAnsi="Arial" w:cs="Arial"/>
          <w:b/>
          <w:bCs/>
          <w:highlight w:val="yellow"/>
        </w:rPr>
        <w:t>2a</w:t>
      </w:r>
      <w:r w:rsidR="00126A54" w:rsidRPr="281657FD">
        <w:rPr>
          <w:rStyle w:val="eop"/>
          <w:rFonts w:ascii="Arial" w:hAnsi="Arial" w:cs="Arial"/>
          <w:highlight w:val="yellow"/>
        </w:rPr>
        <w:t xml:space="preserve"> </w:t>
      </w:r>
      <w:r w:rsidR="7C02F72D" w:rsidRPr="281657FD">
        <w:rPr>
          <w:rStyle w:val="eop"/>
          <w:rFonts w:ascii="Arial" w:hAnsi="Arial" w:cs="Arial"/>
          <w:highlight w:val="yellow"/>
        </w:rPr>
        <w:t>– use this content when employee is not considered suitable</w:t>
      </w:r>
      <w:r w:rsidRPr="281657FD">
        <w:rPr>
          <w:rStyle w:val="eop"/>
          <w:rFonts w:ascii="Arial" w:hAnsi="Arial" w:cs="Arial"/>
          <w:highlight w:val="yellow"/>
        </w:rPr>
        <w:t>]</w:t>
      </w:r>
    </w:p>
    <w:p w14:paraId="4EC2D984" w14:textId="3DE970BD" w:rsidR="281657FD" w:rsidRPr="00716654" w:rsidRDefault="281657FD" w:rsidP="281657FD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  <w:highlight w:val="lightGray"/>
        </w:rPr>
      </w:pPr>
    </w:p>
    <w:p w14:paraId="03E4ABB7" w14:textId="41D74F79" w:rsidR="00C37ACC" w:rsidRDefault="00F12763" w:rsidP="00636B85">
      <w:pPr>
        <w:widowControl w:val="0"/>
        <w:rPr>
          <w:rFonts w:ascii="Arial" w:eastAsia="Times New Roman" w:hAnsi="Arial" w:cs="Arial"/>
        </w:rPr>
      </w:pPr>
      <w:r w:rsidRPr="00716654">
        <w:rPr>
          <w:rFonts w:ascii="Arial" w:eastAsia="Times New Roman" w:hAnsi="Arial" w:cs="Arial"/>
          <w:highlight w:val="lightGray"/>
        </w:rPr>
        <w:t>[</w:t>
      </w:r>
      <w:r w:rsidR="00716654" w:rsidRPr="00716654">
        <w:rPr>
          <w:rFonts w:ascii="Arial" w:eastAsia="Times New Roman" w:hAnsi="Arial" w:cs="Arial"/>
          <w:highlight w:val="lightGray"/>
        </w:rPr>
        <w:t>Insert w</w:t>
      </w:r>
      <w:r w:rsidRPr="00716654">
        <w:rPr>
          <w:rFonts w:ascii="Arial" w:eastAsia="Times New Roman" w:hAnsi="Arial" w:cs="Arial"/>
          <w:highlight w:val="lightGray"/>
        </w:rPr>
        <w:t>here appropriate]</w:t>
      </w:r>
      <w:r>
        <w:rPr>
          <w:rFonts w:ascii="Arial" w:eastAsia="Times New Roman" w:hAnsi="Arial" w:cs="Arial"/>
        </w:rPr>
        <w:t xml:space="preserve"> </w:t>
      </w:r>
      <w:r w:rsidR="00636B85" w:rsidRPr="00A73C66">
        <w:rPr>
          <w:rFonts w:ascii="Arial" w:eastAsia="Times New Roman" w:hAnsi="Arial" w:cs="Arial"/>
        </w:rPr>
        <w:t xml:space="preserve">Thank you for your performance in the role over the period </w:t>
      </w:r>
      <w:r w:rsidR="00636B85" w:rsidRPr="0005681B">
        <w:rPr>
          <w:rFonts w:ascii="Arial" w:eastAsia="Times New Roman" w:hAnsi="Arial" w:cs="Arial"/>
          <w:highlight w:val="lightGray"/>
        </w:rPr>
        <w:t>[</w:t>
      </w:r>
      <w:r w:rsidR="00C37ACC">
        <w:rPr>
          <w:rFonts w:ascii="Arial" w:eastAsia="Times New Roman" w:hAnsi="Arial" w:cs="Arial"/>
          <w:highlight w:val="lightGray"/>
        </w:rPr>
        <w:t>insert date range</w:t>
      </w:r>
      <w:r w:rsidR="00636B85" w:rsidRPr="0005681B">
        <w:rPr>
          <w:rFonts w:ascii="Arial" w:eastAsia="Times New Roman" w:hAnsi="Arial" w:cs="Arial"/>
          <w:highlight w:val="lightGray"/>
        </w:rPr>
        <w:t>]</w:t>
      </w:r>
      <w:r w:rsidR="00130109">
        <w:rPr>
          <w:rFonts w:ascii="Arial" w:eastAsia="Times New Roman" w:hAnsi="Arial" w:cs="Arial"/>
        </w:rPr>
        <w:t>.</w:t>
      </w:r>
    </w:p>
    <w:p w14:paraId="79F81CFE" w14:textId="4E4EB577" w:rsidR="00636B85" w:rsidRPr="000F4A01" w:rsidRDefault="3704BB24" w:rsidP="00636B85">
      <w:pPr>
        <w:widowControl w:val="0"/>
        <w:rPr>
          <w:rFonts w:ascii="Arial" w:eastAsia="Calibri" w:hAnsi="Arial" w:cs="Arial"/>
          <w:color w:val="000000" w:themeColor="text1"/>
          <w:highlight w:val="lightGray"/>
        </w:rPr>
      </w:pPr>
      <w:r w:rsidRPr="281657FD">
        <w:rPr>
          <w:rFonts w:ascii="Arial" w:eastAsia="Times New Roman" w:hAnsi="Arial" w:cs="Arial"/>
        </w:rPr>
        <w:t xml:space="preserve">Unfortunately, I am unable to offer to convert your employment to the position at </w:t>
      </w:r>
      <w:r w:rsidR="70FB9792" w:rsidRPr="281657FD">
        <w:rPr>
          <w:rFonts w:ascii="Arial" w:eastAsia="Times New Roman" w:hAnsi="Arial" w:cs="Arial"/>
        </w:rPr>
        <w:t>the</w:t>
      </w:r>
      <w:r w:rsidRPr="281657FD">
        <w:rPr>
          <w:rFonts w:ascii="Arial" w:eastAsia="Times New Roman" w:hAnsi="Arial" w:cs="Arial"/>
        </w:rPr>
        <w:t xml:space="preserve"> higher classification level on a permanent basis because you do not satisfy the requirements for being suitable to perform the role. </w:t>
      </w:r>
      <w:r w:rsidRPr="281657FD">
        <w:rPr>
          <w:rFonts w:ascii="Arial" w:eastAsia="Times New Roman" w:hAnsi="Arial" w:cs="Arial"/>
          <w:highlight w:val="lightGray"/>
        </w:rPr>
        <w:t>[</w:t>
      </w:r>
      <w:r w:rsidR="62CB8ECA" w:rsidRPr="281657FD">
        <w:rPr>
          <w:rFonts w:ascii="Arial" w:eastAsia="Times New Roman" w:hAnsi="Arial" w:cs="Arial"/>
          <w:highlight w:val="lightGray"/>
        </w:rPr>
        <w:t>D</w:t>
      </w:r>
      <w:r w:rsidR="7C02F72D" w:rsidRPr="281657FD">
        <w:rPr>
          <w:rFonts w:ascii="Arial" w:eastAsia="Times New Roman" w:hAnsi="Arial" w:cs="Arial"/>
          <w:highlight w:val="lightGray"/>
        </w:rPr>
        <w:t>ocument one or more of the following reasons</w:t>
      </w:r>
      <w:r w:rsidR="00000F82">
        <w:rPr>
          <w:rFonts w:ascii="Arial" w:eastAsia="Times New Roman" w:hAnsi="Arial" w:cs="Arial"/>
          <w:highlight w:val="lightGray"/>
        </w:rPr>
        <w:t>]</w:t>
      </w:r>
      <w:r w:rsidRPr="281657FD">
        <w:rPr>
          <w:rFonts w:ascii="Arial" w:eastAsia="Times New Roman" w:hAnsi="Arial" w:cs="Arial"/>
          <w:highlight w:val="lightGray"/>
        </w:rPr>
        <w:t>:</w:t>
      </w:r>
    </w:p>
    <w:p w14:paraId="3E7D29BE" w14:textId="77777777" w:rsidR="00636B85" w:rsidRPr="000F4A01" w:rsidRDefault="00636B85" w:rsidP="00636B85">
      <w:pPr>
        <w:widowControl w:val="0"/>
        <w:ind w:left="720"/>
        <w:rPr>
          <w:rFonts w:ascii="Arial" w:eastAsia="Times New Roman" w:hAnsi="Arial" w:cs="Arial"/>
          <w:highlight w:val="lightGray"/>
        </w:rPr>
      </w:pPr>
      <w:r w:rsidRPr="000F4A01">
        <w:rPr>
          <w:rFonts w:ascii="Arial" w:eastAsia="Calibri" w:hAnsi="Arial" w:cs="Arial"/>
          <w:color w:val="000000" w:themeColor="text1"/>
          <w:highlight w:val="lightGray"/>
        </w:rPr>
        <w:t xml:space="preserve"> </w:t>
      </w:r>
      <w:r w:rsidRPr="000F4A01">
        <w:rPr>
          <w:rFonts w:ascii="Arial" w:eastAsia="Times New Roman" w:hAnsi="Arial" w:cs="Arial"/>
          <w:highlight w:val="lightGray"/>
        </w:rPr>
        <w:t xml:space="preserve">a) the employee has not provided evidence of possessing any relevant mandatory qualification/s (as provided for in the role description) </w:t>
      </w:r>
    </w:p>
    <w:p w14:paraId="2C1491DF" w14:textId="18E71FBA" w:rsidR="00636B85" w:rsidRPr="00585558" w:rsidRDefault="00636B85" w:rsidP="00636B85">
      <w:pPr>
        <w:ind w:left="720"/>
        <w:rPr>
          <w:rFonts w:ascii="Arial" w:eastAsia="Times New Roman" w:hAnsi="Arial" w:cs="Arial"/>
          <w:highlight w:val="lightGray"/>
        </w:rPr>
      </w:pPr>
      <w:r w:rsidRPr="000F4A01">
        <w:rPr>
          <w:rFonts w:ascii="Arial" w:eastAsia="Times New Roman" w:hAnsi="Arial" w:cs="Arial"/>
          <w:highlight w:val="lightGray"/>
        </w:rPr>
        <w:t xml:space="preserve">b) </w:t>
      </w:r>
      <w:r w:rsidRPr="00585558">
        <w:rPr>
          <w:rFonts w:ascii="Arial" w:eastAsia="Times New Roman" w:hAnsi="Arial" w:cs="Arial"/>
          <w:highlight w:val="lightGray"/>
        </w:rPr>
        <w:t>the employee has not met any relevant mandatory condition/s of the role (as provided for in the role description)</w:t>
      </w:r>
    </w:p>
    <w:p w14:paraId="7917878A" w14:textId="600371ED" w:rsidR="00B81AFF" w:rsidRPr="00287DDC" w:rsidRDefault="2D1C3543" w:rsidP="699D7DDA">
      <w:pPr>
        <w:rPr>
          <w:rFonts w:ascii="Arial" w:eastAsia="Times New Roman" w:hAnsi="Arial" w:cs="Arial"/>
          <w:i/>
          <w:iCs/>
          <w:highlight w:val="lightGray"/>
        </w:rPr>
      </w:pPr>
      <w:r w:rsidRPr="699D7DDA">
        <w:rPr>
          <w:rFonts w:ascii="Arial" w:eastAsia="Times New Roman" w:hAnsi="Arial" w:cs="Arial"/>
          <w:highlight w:val="lightGray"/>
        </w:rPr>
        <w:t>[</w:t>
      </w:r>
      <w:r w:rsidR="69C69AB6" w:rsidRPr="699D7DDA">
        <w:rPr>
          <w:rFonts w:ascii="Arial" w:eastAsia="Times New Roman" w:hAnsi="Arial" w:cs="Arial"/>
          <w:highlight w:val="lightGray"/>
        </w:rPr>
        <w:t>Or use for content for</w:t>
      </w:r>
      <w:r w:rsidRPr="699D7DDA">
        <w:rPr>
          <w:rFonts w:ascii="Arial" w:eastAsia="Times New Roman" w:hAnsi="Arial" w:cs="Arial"/>
          <w:highlight w:val="lightGray"/>
        </w:rPr>
        <w:t xml:space="preserve"> </w:t>
      </w:r>
      <w:r w:rsidR="69C69AB6" w:rsidRPr="699D7DDA">
        <w:rPr>
          <w:rFonts w:ascii="Arial" w:eastAsia="Times New Roman" w:hAnsi="Arial" w:cs="Arial"/>
          <w:highlight w:val="lightGray"/>
        </w:rPr>
        <w:t>unresolved and documented performance concerns document reasons</w:t>
      </w:r>
      <w:r w:rsidRPr="699D7DDA">
        <w:rPr>
          <w:rFonts w:ascii="Arial" w:eastAsia="Times New Roman" w:hAnsi="Arial" w:cs="Arial"/>
          <w:highlight w:val="lightGray"/>
        </w:rPr>
        <w:t xml:space="preserve"> </w:t>
      </w:r>
      <w:r w:rsidRPr="699D7DDA">
        <w:rPr>
          <w:rFonts w:ascii="Arial" w:eastAsia="Times New Roman" w:hAnsi="Arial" w:cs="Arial"/>
          <w:i/>
          <w:iCs/>
          <w:highlight w:val="lightGray"/>
        </w:rPr>
        <w:t xml:space="preserve">e.g. </w:t>
      </w:r>
      <w:r w:rsidR="00A269B4">
        <w:rPr>
          <w:rFonts w:ascii="Arial" w:eastAsia="Times New Roman" w:hAnsi="Arial" w:cs="Arial"/>
          <w:iCs/>
          <w:highlight w:val="lightGray"/>
        </w:rPr>
        <w:t xml:space="preserve">Your supervisor has advised </w:t>
      </w:r>
      <w:r w:rsidR="00AD288C">
        <w:rPr>
          <w:rFonts w:ascii="Arial" w:eastAsia="Times New Roman" w:hAnsi="Arial" w:cs="Arial"/>
          <w:iCs/>
          <w:highlight w:val="lightGray"/>
        </w:rPr>
        <w:t xml:space="preserve">that </w:t>
      </w:r>
    </w:p>
    <w:p w14:paraId="515339D8" w14:textId="591F7F4A" w:rsidR="00B81AFF" w:rsidRDefault="00B81AFF" w:rsidP="00287DDC">
      <w:pPr>
        <w:ind w:left="720"/>
        <w:rPr>
          <w:rFonts w:ascii="Arial" w:eastAsia="Times New Roman" w:hAnsi="Arial" w:cs="Arial"/>
          <w:iCs/>
          <w:highlight w:val="lightGray"/>
        </w:rPr>
      </w:pPr>
      <w:r>
        <w:rPr>
          <w:rFonts w:ascii="Arial" w:eastAsia="Times New Roman" w:hAnsi="Arial" w:cs="Arial"/>
          <w:iCs/>
          <w:highlight w:val="lightGray"/>
        </w:rPr>
        <w:t>…</w:t>
      </w:r>
      <w:r w:rsidR="00AD288C">
        <w:rPr>
          <w:rFonts w:ascii="Arial" w:eastAsia="Times New Roman" w:hAnsi="Arial" w:cs="Arial"/>
          <w:iCs/>
          <w:highlight w:val="lightGray"/>
        </w:rPr>
        <w:t>discussions have occurred, about current unresolved performance or conduct issues that are likely to lead to a P</w:t>
      </w:r>
      <w:r w:rsidR="00E11DF7">
        <w:rPr>
          <w:rFonts w:ascii="Arial" w:eastAsia="Times New Roman" w:hAnsi="Arial" w:cs="Arial"/>
          <w:iCs/>
          <w:highlight w:val="lightGray"/>
        </w:rPr>
        <w:t xml:space="preserve">erformance </w:t>
      </w:r>
      <w:r w:rsidR="00AD288C">
        <w:rPr>
          <w:rFonts w:ascii="Arial" w:eastAsia="Times New Roman" w:hAnsi="Arial" w:cs="Arial"/>
          <w:iCs/>
          <w:highlight w:val="lightGray"/>
        </w:rPr>
        <w:t>I</w:t>
      </w:r>
      <w:r w:rsidR="00E11DF7">
        <w:rPr>
          <w:rFonts w:ascii="Arial" w:eastAsia="Times New Roman" w:hAnsi="Arial" w:cs="Arial"/>
          <w:iCs/>
          <w:highlight w:val="lightGray"/>
        </w:rPr>
        <w:t xml:space="preserve">mprovement </w:t>
      </w:r>
      <w:r w:rsidR="00AD288C">
        <w:rPr>
          <w:rFonts w:ascii="Arial" w:eastAsia="Times New Roman" w:hAnsi="Arial" w:cs="Arial"/>
          <w:iCs/>
          <w:highlight w:val="lightGray"/>
        </w:rPr>
        <w:t>P</w:t>
      </w:r>
      <w:r w:rsidR="00E11DF7">
        <w:rPr>
          <w:rFonts w:ascii="Arial" w:eastAsia="Times New Roman" w:hAnsi="Arial" w:cs="Arial"/>
          <w:iCs/>
          <w:highlight w:val="lightGray"/>
        </w:rPr>
        <w:t>lan</w:t>
      </w:r>
      <w:r w:rsidR="00AD288C">
        <w:rPr>
          <w:rFonts w:ascii="Arial" w:eastAsia="Times New Roman" w:hAnsi="Arial" w:cs="Arial"/>
          <w:iCs/>
          <w:highlight w:val="lightGray"/>
        </w:rPr>
        <w:t>, disciplinary action</w:t>
      </w:r>
      <w:r>
        <w:rPr>
          <w:rFonts w:ascii="Arial" w:eastAsia="Times New Roman" w:hAnsi="Arial" w:cs="Arial"/>
          <w:iCs/>
          <w:highlight w:val="lightGray"/>
        </w:rPr>
        <w:t>,</w:t>
      </w:r>
      <w:r w:rsidR="00AD288C">
        <w:rPr>
          <w:rFonts w:ascii="Arial" w:eastAsia="Times New Roman" w:hAnsi="Arial" w:cs="Arial"/>
          <w:iCs/>
          <w:highlight w:val="lightGray"/>
        </w:rPr>
        <w:t xml:space="preserve"> or</w:t>
      </w:r>
      <w:r w:rsidR="008E60D7">
        <w:rPr>
          <w:rFonts w:ascii="Arial" w:eastAsia="Times New Roman" w:hAnsi="Arial" w:cs="Arial"/>
          <w:iCs/>
          <w:highlight w:val="lightGray"/>
        </w:rPr>
        <w:t xml:space="preserve"> termination of your contract</w:t>
      </w:r>
      <w:r w:rsidR="00E11DF7">
        <w:rPr>
          <w:rFonts w:ascii="Arial" w:eastAsia="Times New Roman" w:hAnsi="Arial" w:cs="Arial"/>
          <w:iCs/>
          <w:highlight w:val="lightGray"/>
        </w:rPr>
        <w:t>,</w:t>
      </w:r>
    </w:p>
    <w:p w14:paraId="46361B8D" w14:textId="17072DD2" w:rsidR="00B81AFF" w:rsidRDefault="00B81AFF" w:rsidP="00287DDC">
      <w:pPr>
        <w:ind w:left="720"/>
        <w:rPr>
          <w:rFonts w:ascii="Arial" w:eastAsia="Times New Roman" w:hAnsi="Arial" w:cs="Arial"/>
          <w:iCs/>
          <w:highlight w:val="lightGray"/>
        </w:rPr>
      </w:pPr>
      <w:r>
        <w:rPr>
          <w:rFonts w:ascii="Arial" w:eastAsia="Times New Roman" w:hAnsi="Arial" w:cs="Arial"/>
          <w:iCs/>
          <w:highlight w:val="lightGray"/>
        </w:rPr>
        <w:t>…</w:t>
      </w:r>
      <w:r w:rsidR="00AD288C">
        <w:rPr>
          <w:rFonts w:ascii="Arial" w:eastAsia="Times New Roman" w:hAnsi="Arial" w:cs="Arial"/>
          <w:iCs/>
          <w:highlight w:val="lightGray"/>
        </w:rPr>
        <w:t xml:space="preserve"> </w:t>
      </w:r>
      <w:r w:rsidR="00B00D75">
        <w:rPr>
          <w:rFonts w:ascii="Arial" w:eastAsia="Times New Roman" w:hAnsi="Arial" w:cs="Arial"/>
          <w:iCs/>
          <w:highlight w:val="lightGray"/>
        </w:rPr>
        <w:t xml:space="preserve">you are currently on a Performance Improvement </w:t>
      </w:r>
      <w:r w:rsidR="007B7816">
        <w:rPr>
          <w:rFonts w:ascii="Arial" w:eastAsia="Times New Roman" w:hAnsi="Arial" w:cs="Arial"/>
          <w:iCs/>
          <w:highlight w:val="lightGray"/>
        </w:rPr>
        <w:t>Plan</w:t>
      </w:r>
      <w:r w:rsidR="00E11DF7">
        <w:rPr>
          <w:rFonts w:ascii="Arial" w:eastAsia="Times New Roman" w:hAnsi="Arial" w:cs="Arial"/>
          <w:iCs/>
          <w:highlight w:val="lightGray"/>
        </w:rPr>
        <w:t>,</w:t>
      </w:r>
    </w:p>
    <w:p w14:paraId="36FB47A6" w14:textId="42E0D41C" w:rsidR="00A269B4" w:rsidRPr="00287DDC" w:rsidRDefault="007B7816" w:rsidP="00B81AFF">
      <w:pPr>
        <w:rPr>
          <w:rFonts w:ascii="Arial" w:eastAsia="Times New Roman" w:hAnsi="Arial" w:cs="Arial"/>
          <w:iCs/>
          <w:highlight w:val="lightGray"/>
        </w:rPr>
      </w:pPr>
      <w:r>
        <w:rPr>
          <w:rFonts w:ascii="Arial" w:eastAsia="Times New Roman" w:hAnsi="Arial" w:cs="Arial"/>
          <w:iCs/>
          <w:highlight w:val="lightGray"/>
        </w:rPr>
        <w:lastRenderedPageBreak/>
        <w:t>managed in accordance with directives such as positive performance management or discipline].</w:t>
      </w:r>
    </w:p>
    <w:p w14:paraId="40B5AC74" w14:textId="02BB3229" w:rsidR="00636B85" w:rsidRDefault="0EADF44C" w:rsidP="00636B85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  <w:r w:rsidRPr="00332213">
        <w:rPr>
          <w:rFonts w:ascii="Arial" w:eastAsia="Times New Roman" w:hAnsi="Arial" w:cs="Arial"/>
          <w:highlight w:val="lightGray"/>
        </w:rPr>
        <w:t xml:space="preserve">These conduct and performance matters have been raised with you by </w:t>
      </w:r>
      <w:r w:rsidRPr="00DC08D5">
        <w:rPr>
          <w:rFonts w:ascii="Arial" w:eastAsia="Times New Roman" w:hAnsi="Arial" w:cs="Arial"/>
          <w:highlight w:val="lightGray"/>
        </w:rPr>
        <w:t>[insert form of communication and date]</w:t>
      </w:r>
      <w:r w:rsidRPr="00332213">
        <w:rPr>
          <w:rFonts w:ascii="Arial" w:eastAsia="Times New Roman" w:hAnsi="Arial" w:cs="Arial"/>
          <w:highlight w:val="lightGray"/>
        </w:rPr>
        <w:t xml:space="preserve"> and have been confirmed in writing.</w:t>
      </w:r>
      <w:r w:rsidRPr="7C971F09">
        <w:rPr>
          <w:rFonts w:ascii="Arial" w:eastAsia="Times New Roman" w:hAnsi="Arial" w:cs="Arial"/>
        </w:rPr>
        <w:t xml:space="preserve"> </w:t>
      </w:r>
    </w:p>
    <w:p w14:paraId="246211FE" w14:textId="77777777" w:rsidR="00126A54" w:rsidRDefault="00126A54" w:rsidP="00636B85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</w:p>
    <w:p w14:paraId="083ABCA7" w14:textId="36F15038" w:rsidR="00126A54" w:rsidRDefault="00126A54" w:rsidP="00636B85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You will continue to be engaged according to the terms of your existing </w:t>
      </w:r>
      <w:r w:rsidRPr="00DC3BCC">
        <w:rPr>
          <w:rFonts w:ascii="Arial" w:eastAsia="Times New Roman" w:hAnsi="Arial" w:cs="Arial"/>
          <w:highlight w:val="lightGray"/>
        </w:rPr>
        <w:t>[acting/secondment] arrangement until [end date of engagement at higher classification level].</w:t>
      </w:r>
      <w:r>
        <w:rPr>
          <w:rFonts w:ascii="Arial" w:eastAsia="Times New Roman" w:hAnsi="Arial" w:cs="Arial"/>
        </w:rPr>
        <w:t xml:space="preserve"> </w:t>
      </w:r>
    </w:p>
    <w:p w14:paraId="238B2C77" w14:textId="77777777" w:rsidR="00DC08D5" w:rsidRDefault="00DC08D5" w:rsidP="00636B85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</w:p>
    <w:p w14:paraId="326B7082" w14:textId="2A3F4F0F" w:rsidR="00DC08D5" w:rsidRPr="00A73C66" w:rsidRDefault="00126A54" w:rsidP="00E343CD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Following this review and any further actions taken to resolve the matters referred to above, s</w:t>
      </w:r>
      <w:r w:rsidR="00DC08D5">
        <w:rPr>
          <w:rFonts w:ascii="Arial" w:eastAsia="Times New Roman" w:hAnsi="Arial" w:cs="Arial"/>
        </w:rPr>
        <w:t xml:space="preserve">ection </w:t>
      </w:r>
      <w:r w:rsidR="00A21028">
        <w:rPr>
          <w:rFonts w:ascii="Arial" w:eastAsia="Times New Roman" w:hAnsi="Arial" w:cs="Arial"/>
        </w:rPr>
        <w:t>121(1)(</w:t>
      </w:r>
      <w:r w:rsidR="00CC4460">
        <w:rPr>
          <w:rFonts w:ascii="Arial" w:eastAsia="Times New Roman" w:hAnsi="Arial" w:cs="Arial"/>
        </w:rPr>
        <w:t>a</w:t>
      </w:r>
      <w:r w:rsidR="00A21028">
        <w:rPr>
          <w:rFonts w:ascii="Arial" w:eastAsia="Times New Roman" w:hAnsi="Arial" w:cs="Arial"/>
        </w:rPr>
        <w:t xml:space="preserve">) of the Act </w:t>
      </w:r>
      <w:r w:rsidR="005D22E1">
        <w:rPr>
          <w:rFonts w:ascii="Arial" w:eastAsia="Times New Roman" w:hAnsi="Arial" w:cs="Arial"/>
        </w:rPr>
        <w:t>sets out that you may make an additional request for review</w:t>
      </w:r>
      <w:r w:rsidR="00CC4460">
        <w:rPr>
          <w:rFonts w:ascii="Arial" w:eastAsia="Times New Roman" w:hAnsi="Arial" w:cs="Arial"/>
        </w:rPr>
        <w:t xml:space="preserve"> </w:t>
      </w:r>
      <w:r w:rsidR="00E343CD">
        <w:rPr>
          <w:rFonts w:ascii="Arial" w:eastAsia="Times New Roman" w:hAnsi="Arial" w:cs="Arial"/>
        </w:rPr>
        <w:t xml:space="preserve">if you </w:t>
      </w:r>
      <w:r w:rsidR="00CC4460" w:rsidRPr="00CC4460">
        <w:rPr>
          <w:rFonts w:ascii="Arial" w:eastAsia="Times New Roman" w:hAnsi="Arial" w:cs="Arial"/>
        </w:rPr>
        <w:t>consider</w:t>
      </w:r>
      <w:r w:rsidR="00E343CD">
        <w:rPr>
          <w:rFonts w:ascii="Arial" w:eastAsia="Times New Roman" w:hAnsi="Arial" w:cs="Arial"/>
        </w:rPr>
        <w:t xml:space="preserve"> you </w:t>
      </w:r>
      <w:r w:rsidR="00CC4460" w:rsidRPr="00CC4460">
        <w:rPr>
          <w:rFonts w:ascii="Arial" w:eastAsia="Times New Roman" w:hAnsi="Arial" w:cs="Arial"/>
        </w:rPr>
        <w:t>may have become suitable to perform the role</w:t>
      </w:r>
      <w:r w:rsidR="00E343CD">
        <w:rPr>
          <w:rFonts w:ascii="Arial" w:eastAsia="Times New Roman" w:hAnsi="Arial" w:cs="Arial"/>
        </w:rPr>
        <w:t xml:space="preserve">. </w:t>
      </w:r>
      <w:r w:rsidR="00353A5D">
        <w:rPr>
          <w:rFonts w:ascii="Arial" w:eastAsia="Times New Roman" w:hAnsi="Arial" w:cs="Arial"/>
        </w:rPr>
        <w:t>This</w:t>
      </w:r>
      <w:r w:rsidR="00E343CD">
        <w:rPr>
          <w:rFonts w:ascii="Arial" w:eastAsia="Times New Roman" w:hAnsi="Arial" w:cs="Arial"/>
        </w:rPr>
        <w:t xml:space="preserve"> request must </w:t>
      </w:r>
      <w:r w:rsidR="00353A5D">
        <w:rPr>
          <w:rFonts w:ascii="Arial" w:eastAsia="Times New Roman" w:hAnsi="Arial" w:cs="Arial"/>
        </w:rPr>
        <w:t>be made</w:t>
      </w:r>
      <w:r w:rsidR="00E343CD">
        <w:rPr>
          <w:rFonts w:ascii="Arial" w:eastAsia="Times New Roman" w:hAnsi="Arial" w:cs="Arial"/>
        </w:rPr>
        <w:t xml:space="preserve"> </w:t>
      </w:r>
      <w:r w:rsidR="00780C71" w:rsidRPr="00780C71">
        <w:rPr>
          <w:rFonts w:ascii="Arial" w:eastAsia="Times New Roman" w:hAnsi="Arial" w:cs="Arial"/>
        </w:rPr>
        <w:t xml:space="preserve">within </w:t>
      </w:r>
      <w:r w:rsidR="00853C07">
        <w:rPr>
          <w:rFonts w:ascii="Arial" w:eastAsia="Times New Roman" w:hAnsi="Arial" w:cs="Arial"/>
        </w:rPr>
        <w:t>three</w:t>
      </w:r>
      <w:r w:rsidR="00780C71" w:rsidRPr="00780C71">
        <w:rPr>
          <w:rFonts w:ascii="Arial" w:eastAsia="Times New Roman" w:hAnsi="Arial" w:cs="Arial"/>
        </w:rPr>
        <w:t xml:space="preserve"> months after </w:t>
      </w:r>
      <w:r w:rsidR="00780C71">
        <w:rPr>
          <w:rFonts w:ascii="Arial" w:eastAsia="Times New Roman" w:hAnsi="Arial" w:cs="Arial"/>
        </w:rPr>
        <w:t>you</w:t>
      </w:r>
      <w:r w:rsidR="00780C71" w:rsidRPr="00780C71">
        <w:rPr>
          <w:rFonts w:ascii="Arial" w:eastAsia="Times New Roman" w:hAnsi="Arial" w:cs="Arial"/>
        </w:rPr>
        <w:t xml:space="preserve"> first consider</w:t>
      </w:r>
      <w:r w:rsidR="00780C71">
        <w:rPr>
          <w:rFonts w:ascii="Arial" w:eastAsia="Times New Roman" w:hAnsi="Arial" w:cs="Arial"/>
        </w:rPr>
        <w:t xml:space="preserve"> you </w:t>
      </w:r>
      <w:r w:rsidR="00780C71" w:rsidRPr="00780C71">
        <w:rPr>
          <w:rFonts w:ascii="Arial" w:eastAsia="Times New Roman" w:hAnsi="Arial" w:cs="Arial"/>
        </w:rPr>
        <w:t>may have become suitable to perform the role</w:t>
      </w:r>
      <w:r w:rsidR="00780C71">
        <w:rPr>
          <w:rFonts w:ascii="Arial" w:eastAsia="Times New Roman" w:hAnsi="Arial" w:cs="Arial"/>
        </w:rPr>
        <w:t>.</w:t>
      </w:r>
    </w:p>
    <w:p w14:paraId="737AC3B1" w14:textId="47B25EB4" w:rsidR="001423B8" w:rsidRDefault="001423B8" w:rsidP="004107AF">
      <w:pPr>
        <w:widowControl w:val="0"/>
        <w:pBdr>
          <w:bottom w:val="single" w:sz="6" w:space="1" w:color="auto"/>
        </w:pBdr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</w:p>
    <w:p w14:paraId="72B765B6" w14:textId="77777777" w:rsidR="00C37ACC" w:rsidRPr="00A73C66" w:rsidRDefault="00C37ACC" w:rsidP="004107AF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</w:rPr>
      </w:pPr>
    </w:p>
    <w:p w14:paraId="20E7ED8B" w14:textId="2A2DB8C4" w:rsidR="001423B8" w:rsidRPr="00A73C66" w:rsidRDefault="5DD82AE5" w:rsidP="281657FD">
      <w:pPr>
        <w:widowControl w:val="0"/>
        <w:tabs>
          <w:tab w:val="left" w:pos="4536"/>
        </w:tabs>
        <w:spacing w:after="0" w:line="240" w:lineRule="auto"/>
        <w:ind w:right="-46"/>
        <w:rPr>
          <w:rFonts w:ascii="Arial" w:eastAsia="Times New Roman" w:hAnsi="Arial" w:cs="Arial"/>
        </w:rPr>
      </w:pPr>
      <w:r w:rsidRPr="281657FD">
        <w:rPr>
          <w:rStyle w:val="eop"/>
          <w:rFonts w:ascii="Arial" w:hAnsi="Arial" w:cs="Arial"/>
          <w:highlight w:val="yellow"/>
        </w:rPr>
        <w:t>[</w:t>
      </w:r>
      <w:r w:rsidR="20BDEEF3" w:rsidRPr="281657FD">
        <w:rPr>
          <w:rStyle w:val="eop"/>
          <w:rFonts w:ascii="Arial" w:hAnsi="Arial" w:cs="Arial"/>
          <w:b/>
          <w:bCs/>
          <w:highlight w:val="yellow"/>
        </w:rPr>
        <w:t xml:space="preserve">Option </w:t>
      </w:r>
      <w:r w:rsidR="00126A54">
        <w:rPr>
          <w:rStyle w:val="eop"/>
          <w:rFonts w:ascii="Arial" w:hAnsi="Arial" w:cs="Arial"/>
          <w:b/>
          <w:bCs/>
          <w:highlight w:val="yellow"/>
        </w:rPr>
        <w:t>2b</w:t>
      </w:r>
      <w:r w:rsidR="00126A54" w:rsidRPr="281657FD">
        <w:rPr>
          <w:rStyle w:val="eop"/>
          <w:rFonts w:ascii="Arial" w:hAnsi="Arial" w:cs="Arial"/>
          <w:highlight w:val="yellow"/>
        </w:rPr>
        <w:t xml:space="preserve"> </w:t>
      </w:r>
      <w:r w:rsidR="20BDEEF3" w:rsidRPr="281657FD">
        <w:rPr>
          <w:rStyle w:val="eop"/>
          <w:rFonts w:ascii="Arial" w:hAnsi="Arial" w:cs="Arial"/>
          <w:highlight w:val="yellow"/>
        </w:rPr>
        <w:t xml:space="preserve">– use this content if genuine operational requirements are </w:t>
      </w:r>
      <w:r w:rsidR="004C56F8">
        <w:rPr>
          <w:rStyle w:val="eop"/>
          <w:rFonts w:ascii="Arial" w:hAnsi="Arial" w:cs="Arial"/>
          <w:highlight w:val="yellow"/>
        </w:rPr>
        <w:t xml:space="preserve">the </w:t>
      </w:r>
      <w:r w:rsidR="20BDEEF3" w:rsidRPr="281657FD">
        <w:rPr>
          <w:rStyle w:val="eop"/>
          <w:rFonts w:ascii="Arial" w:hAnsi="Arial" w:cs="Arial"/>
          <w:highlight w:val="yellow"/>
        </w:rPr>
        <w:t>basis for decision</w:t>
      </w:r>
      <w:r w:rsidRPr="281657FD">
        <w:rPr>
          <w:rStyle w:val="eop"/>
          <w:rFonts w:ascii="Arial" w:hAnsi="Arial" w:cs="Arial"/>
          <w:highlight w:val="yellow"/>
        </w:rPr>
        <w:t>]</w:t>
      </w:r>
    </w:p>
    <w:p w14:paraId="25E593E9" w14:textId="1D06D851" w:rsidR="281657FD" w:rsidRDefault="281657FD" w:rsidP="281657FD">
      <w:pPr>
        <w:widowControl w:val="0"/>
        <w:tabs>
          <w:tab w:val="left" w:pos="4536"/>
        </w:tabs>
        <w:spacing w:after="0" w:line="240" w:lineRule="auto"/>
        <w:ind w:right="-46"/>
        <w:rPr>
          <w:rStyle w:val="eop"/>
          <w:rFonts w:ascii="Arial" w:hAnsi="Arial" w:cs="Arial"/>
          <w:highlight w:val="yellow"/>
        </w:rPr>
      </w:pPr>
    </w:p>
    <w:p w14:paraId="7E1491E9" w14:textId="0A485301" w:rsidR="00C37ACC" w:rsidRDefault="00F828FB" w:rsidP="001423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gramStart"/>
      <w:r w:rsidRPr="00A73C66">
        <w:rPr>
          <w:rStyle w:val="normaltextrun"/>
          <w:rFonts w:ascii="Arial" w:hAnsi="Arial" w:cs="Arial"/>
          <w:sz w:val="22"/>
          <w:szCs w:val="22"/>
        </w:rPr>
        <w:t>At this time</w:t>
      </w:r>
      <w:proofErr w:type="gramEnd"/>
      <w:r w:rsidRPr="00A73C66">
        <w:rPr>
          <w:rStyle w:val="normaltextrun"/>
          <w:rFonts w:ascii="Arial" w:hAnsi="Arial" w:cs="Arial"/>
          <w:sz w:val="22"/>
          <w:szCs w:val="22"/>
        </w:rPr>
        <w:t>,</w:t>
      </w:r>
      <w:r w:rsidR="004107AF" w:rsidRPr="00A73C66">
        <w:rPr>
          <w:rStyle w:val="normaltextrun"/>
          <w:rFonts w:ascii="Arial" w:hAnsi="Arial" w:cs="Arial"/>
          <w:sz w:val="22"/>
          <w:szCs w:val="22"/>
        </w:rPr>
        <w:t xml:space="preserve"> the genuine operational requirements of th</w:t>
      </w:r>
      <w:r w:rsidR="001423B8" w:rsidRPr="00A73C66">
        <w:rPr>
          <w:rStyle w:val="normaltextrun"/>
          <w:rFonts w:ascii="Arial" w:hAnsi="Arial" w:cs="Arial"/>
          <w:sz w:val="22"/>
          <w:szCs w:val="22"/>
        </w:rPr>
        <w:t>is entity</w:t>
      </w:r>
      <w:r w:rsidRPr="00A73C66">
        <w:rPr>
          <w:rStyle w:val="normaltextrun"/>
          <w:rFonts w:ascii="Arial" w:hAnsi="Arial" w:cs="Arial"/>
          <w:sz w:val="22"/>
          <w:szCs w:val="22"/>
        </w:rPr>
        <w:t xml:space="preserve"> do not support your permanent </w:t>
      </w:r>
      <w:r w:rsidR="001423B8" w:rsidRPr="00A73C66">
        <w:rPr>
          <w:rStyle w:val="normaltextrun"/>
          <w:rFonts w:ascii="Arial" w:hAnsi="Arial" w:cs="Arial"/>
          <w:sz w:val="22"/>
          <w:szCs w:val="22"/>
        </w:rPr>
        <w:t xml:space="preserve">employment </w:t>
      </w:r>
      <w:r w:rsidRPr="00A73C66">
        <w:rPr>
          <w:rStyle w:val="normaltextrun"/>
          <w:rFonts w:ascii="Arial" w:hAnsi="Arial" w:cs="Arial"/>
          <w:sz w:val="22"/>
          <w:szCs w:val="22"/>
        </w:rPr>
        <w:t xml:space="preserve">to the role you are currently performing as </w:t>
      </w:r>
      <w:r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[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insert specific reasons </w:t>
      </w:r>
      <w:r w:rsidR="00DF4629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and supporting facts</w:t>
      </w:r>
      <w:r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</w:t>
      </w:r>
      <w:r w:rsidR="00DE248C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e.g.</w:t>
      </w:r>
      <w:r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the substantive employee is returning to the role and two people are not required to perform the same role]</w:t>
      </w:r>
      <w:r w:rsidR="00E345C3">
        <w:rPr>
          <w:rStyle w:val="normaltextrun"/>
          <w:rFonts w:ascii="Arial" w:hAnsi="Arial" w:cs="Arial"/>
          <w:sz w:val="22"/>
          <w:szCs w:val="22"/>
        </w:rPr>
        <w:t>.</w:t>
      </w:r>
    </w:p>
    <w:p w14:paraId="2DC31D8C" w14:textId="77777777" w:rsidR="00C37ACC" w:rsidRDefault="00C37ACC" w:rsidP="001423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310EDBE" w14:textId="1C2E0D5B" w:rsidR="004107AF" w:rsidRDefault="00F828FB" w:rsidP="001423B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73C66">
        <w:rPr>
          <w:rStyle w:val="normaltextrun"/>
          <w:rFonts w:ascii="Arial" w:hAnsi="Arial" w:cs="Arial"/>
          <w:sz w:val="22"/>
          <w:szCs w:val="22"/>
        </w:rPr>
        <w:t>Y</w:t>
      </w:r>
      <w:r w:rsidR="004107AF" w:rsidRPr="00A73C66">
        <w:rPr>
          <w:rStyle w:val="normaltextrun"/>
          <w:rFonts w:ascii="Arial" w:hAnsi="Arial" w:cs="Arial"/>
          <w:sz w:val="22"/>
          <w:szCs w:val="22"/>
        </w:rPr>
        <w:t xml:space="preserve">ou </w:t>
      </w:r>
      <w:r w:rsidRPr="00A73C66">
        <w:rPr>
          <w:rStyle w:val="normaltextrun"/>
          <w:rFonts w:ascii="Arial" w:hAnsi="Arial" w:cs="Arial"/>
          <w:sz w:val="22"/>
          <w:szCs w:val="22"/>
        </w:rPr>
        <w:t>will</w:t>
      </w:r>
      <w:r w:rsidR="004107AF" w:rsidRPr="00A73C66">
        <w:rPr>
          <w:rStyle w:val="normaltextrun"/>
          <w:rFonts w:ascii="Arial" w:hAnsi="Arial" w:cs="Arial"/>
          <w:sz w:val="22"/>
          <w:szCs w:val="22"/>
        </w:rPr>
        <w:t xml:space="preserve"> continue to be engaged according to the terms of your existing </w:t>
      </w:r>
      <w:r w:rsidR="001423B8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[acting/secondment]</w:t>
      </w:r>
      <w:r w:rsidR="001423B8" w:rsidRPr="00A73C6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107AF" w:rsidRPr="00A73C66">
        <w:rPr>
          <w:rStyle w:val="normaltextrun"/>
          <w:rFonts w:ascii="Arial" w:hAnsi="Arial" w:cs="Arial"/>
          <w:sz w:val="22"/>
          <w:szCs w:val="22"/>
        </w:rPr>
        <w:t>arrangement</w:t>
      </w:r>
      <w:r w:rsidRPr="00A73C6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F4629" w:rsidRPr="00A73C66">
        <w:rPr>
          <w:rStyle w:val="normaltextrun"/>
          <w:rFonts w:ascii="Arial" w:hAnsi="Arial" w:cs="Arial"/>
          <w:sz w:val="22"/>
          <w:szCs w:val="22"/>
        </w:rPr>
        <w:t xml:space="preserve">until </w:t>
      </w:r>
      <w:r w:rsidR="00DF4629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[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  <w:shd w:val="clear" w:color="auto" w:fill="FFFF00"/>
        </w:rPr>
        <w:t>end date of engagement at higher classification level</w:t>
      </w:r>
      <w:r w:rsidR="00DF4629" w:rsidRPr="00585558">
        <w:rPr>
          <w:rStyle w:val="normaltextrun"/>
          <w:rFonts w:ascii="Arial" w:hAnsi="Arial" w:cs="Arial"/>
          <w:sz w:val="22"/>
          <w:szCs w:val="22"/>
          <w:highlight w:val="lightGray"/>
          <w:shd w:val="clear" w:color="auto" w:fill="FFFF00"/>
        </w:rPr>
        <w:t>]</w:t>
      </w:r>
      <w:r w:rsidR="00DF4629" w:rsidRPr="00A73C66">
        <w:rPr>
          <w:rStyle w:val="normaltextrun"/>
          <w:rFonts w:ascii="Arial" w:hAnsi="Arial" w:cs="Arial"/>
          <w:sz w:val="22"/>
          <w:szCs w:val="22"/>
        </w:rPr>
        <w:t xml:space="preserve"> when </w:t>
      </w:r>
      <w:r w:rsidR="00DF4629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[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  <w:shd w:val="clear" w:color="auto" w:fill="FFFF00"/>
        </w:rPr>
        <w:t>reason for end of engagement </w:t>
      </w:r>
      <w:r w:rsidR="00DF4629" w:rsidRPr="00585558">
        <w:rPr>
          <w:rStyle w:val="normaltextrun"/>
          <w:rFonts w:ascii="Arial" w:hAnsi="Arial" w:cs="Arial"/>
          <w:sz w:val="22"/>
          <w:szCs w:val="22"/>
          <w:highlight w:val="lightGray"/>
          <w:shd w:val="clear" w:color="auto" w:fill="FFFF00"/>
        </w:rPr>
        <w:t>e.g. the substantive incumbent returns from leave</w:t>
      </w:r>
      <w:r w:rsidR="00DF4629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]</w:t>
      </w:r>
      <w:r w:rsidR="00DF4629" w:rsidRPr="00C37ACC">
        <w:rPr>
          <w:rStyle w:val="normaltextrun"/>
          <w:rFonts w:ascii="Arial" w:hAnsi="Arial" w:cs="Arial"/>
          <w:sz w:val="22"/>
          <w:szCs w:val="22"/>
        </w:rPr>
        <w:t>.</w:t>
      </w:r>
      <w:r w:rsidR="00DF4629" w:rsidRPr="00A73C66">
        <w:rPr>
          <w:rStyle w:val="eop"/>
          <w:rFonts w:ascii="Arial" w:hAnsi="Arial" w:cs="Arial"/>
          <w:sz w:val="22"/>
          <w:szCs w:val="22"/>
        </w:rPr>
        <w:t> </w:t>
      </w:r>
    </w:p>
    <w:p w14:paraId="7A108FE8" w14:textId="77777777" w:rsidR="00353A5D" w:rsidRDefault="00353A5D" w:rsidP="001423B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4224741" w14:textId="770FACD3" w:rsidR="00353A5D" w:rsidRPr="00A73C66" w:rsidRDefault="00353A5D" w:rsidP="001423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Following this review, section 121(1)(c) of the Act provides </w:t>
      </w:r>
      <w:r w:rsidR="00CE1D95">
        <w:rPr>
          <w:rStyle w:val="eop"/>
          <w:rFonts w:ascii="Arial" w:hAnsi="Arial" w:cs="Arial"/>
          <w:sz w:val="22"/>
          <w:szCs w:val="22"/>
        </w:rPr>
        <w:t xml:space="preserve">that </w:t>
      </w:r>
      <w:r>
        <w:rPr>
          <w:rStyle w:val="eop"/>
          <w:rFonts w:ascii="Arial" w:hAnsi="Arial" w:cs="Arial"/>
          <w:sz w:val="22"/>
          <w:szCs w:val="22"/>
        </w:rPr>
        <w:t xml:space="preserve">you may make an additional request for review in the event the position you are </w:t>
      </w:r>
      <w:r w:rsidRPr="005F074A">
        <w:rPr>
          <w:rStyle w:val="eop"/>
          <w:rFonts w:ascii="Arial" w:hAnsi="Arial" w:cs="Arial"/>
          <w:sz w:val="22"/>
          <w:szCs w:val="22"/>
          <w:highlight w:val="lightGray"/>
        </w:rPr>
        <w:t>[choose one: acting in or seconded to]</w:t>
      </w:r>
      <w:r>
        <w:rPr>
          <w:rStyle w:val="eop"/>
          <w:rFonts w:ascii="Arial" w:hAnsi="Arial" w:cs="Arial"/>
          <w:sz w:val="22"/>
          <w:szCs w:val="22"/>
        </w:rPr>
        <w:t xml:space="preserve"> at the higher classification level becomes vacant. This request must be made within </w:t>
      </w:r>
      <w:r w:rsidR="00853C07">
        <w:rPr>
          <w:rStyle w:val="eop"/>
          <w:rFonts w:ascii="Arial" w:hAnsi="Arial" w:cs="Arial"/>
          <w:sz w:val="22"/>
          <w:szCs w:val="22"/>
        </w:rPr>
        <w:t>three</w:t>
      </w:r>
      <w:r>
        <w:rPr>
          <w:rStyle w:val="eop"/>
          <w:rFonts w:ascii="Arial" w:hAnsi="Arial" w:cs="Arial"/>
          <w:sz w:val="22"/>
          <w:szCs w:val="22"/>
        </w:rPr>
        <w:t xml:space="preserve"> months after the position becomes vacant. </w:t>
      </w:r>
    </w:p>
    <w:p w14:paraId="7107C142" w14:textId="518DE1C8" w:rsidR="001423B8" w:rsidRPr="00A73C66" w:rsidRDefault="001423B8" w:rsidP="004107A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0B499B1" w14:textId="4602802C" w:rsidR="00636B85" w:rsidRPr="00585558" w:rsidRDefault="001423B8" w:rsidP="008245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lightGray"/>
        </w:rPr>
      </w:pPr>
      <w:r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[</w:t>
      </w:r>
      <w:r w:rsidR="00C37ACC">
        <w:rPr>
          <w:rStyle w:val="normaltextrun"/>
          <w:rFonts w:ascii="Arial" w:hAnsi="Arial" w:cs="Arial"/>
          <w:sz w:val="22"/>
          <w:szCs w:val="22"/>
          <w:highlight w:val="lightGray"/>
        </w:rPr>
        <w:t>W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here</w:t>
      </w:r>
      <w:r w:rsidR="00A2686A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the engagement has been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more than </w:t>
      </w:r>
      <w:r w:rsidR="00C37ACC">
        <w:rPr>
          <w:rStyle w:val="normaltextrun"/>
          <w:rFonts w:ascii="Arial" w:hAnsi="Arial" w:cs="Arial"/>
          <w:sz w:val="22"/>
          <w:szCs w:val="22"/>
          <w:highlight w:val="lightGray"/>
        </w:rPr>
        <w:t>two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years</w:t>
      </w:r>
      <w:r w:rsidR="00D652B2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</w:t>
      </w:r>
      <w:r w:rsidR="00C37ACC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you must 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provide detailed information about appeal right</w:t>
      </w:r>
      <w:r w:rsidR="00BE3309">
        <w:rPr>
          <w:rStyle w:val="normaltextrun"/>
          <w:rFonts w:ascii="Arial" w:hAnsi="Arial" w:cs="Arial"/>
          <w:sz w:val="22"/>
          <w:szCs w:val="22"/>
          <w:highlight w:val="lightGray"/>
        </w:rPr>
        <w:t>s.</w:t>
      </w:r>
      <w:r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]</w:t>
      </w:r>
    </w:p>
    <w:p w14:paraId="62157A58" w14:textId="5FF2A834" w:rsidR="00764D56" w:rsidRPr="00E345C3" w:rsidRDefault="001423B8" w:rsidP="008245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lightGray"/>
        </w:rPr>
      </w:pPr>
      <w:r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[</w:t>
      </w:r>
      <w:r w:rsidR="00BE3309">
        <w:rPr>
          <w:rStyle w:val="normaltextrun"/>
          <w:rFonts w:ascii="Arial" w:hAnsi="Arial" w:cs="Arial"/>
          <w:sz w:val="22"/>
          <w:szCs w:val="22"/>
          <w:highlight w:val="lightGray"/>
        </w:rPr>
        <w:t>W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here</w:t>
      </w:r>
      <w:r w:rsidR="00A2686A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the engagement has been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less than </w:t>
      </w:r>
      <w:r w:rsidR="00BE3309">
        <w:rPr>
          <w:rStyle w:val="normaltextrun"/>
          <w:rFonts w:ascii="Arial" w:hAnsi="Arial" w:cs="Arial"/>
          <w:sz w:val="22"/>
          <w:szCs w:val="22"/>
          <w:highlight w:val="lightGray"/>
        </w:rPr>
        <w:t>two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years</w:t>
      </w:r>
      <w:r w:rsidR="00D652B2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</w:t>
      </w:r>
      <w:r w:rsidR="00BE3309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you must provide information stating there is </w:t>
      </w:r>
      <w:r w:rsidR="00D652B2" w:rsidRPr="00585558">
        <w:rPr>
          <w:rStyle w:val="normaltextrun"/>
          <w:rFonts w:ascii="Arial" w:hAnsi="Arial" w:cs="Arial"/>
          <w:sz w:val="22"/>
          <w:szCs w:val="22"/>
          <w:highlight w:val="lightGray"/>
        </w:rPr>
        <w:t>no appeal right.</w:t>
      </w:r>
      <w:r w:rsidR="00F26EC6">
        <w:rPr>
          <w:rStyle w:val="normaltextrun"/>
          <w:rFonts w:ascii="Arial" w:hAnsi="Arial" w:cs="Arial"/>
          <w:sz w:val="22"/>
          <w:szCs w:val="22"/>
          <w:highlight w:val="lightGray"/>
        </w:rPr>
        <w:t>]</w:t>
      </w:r>
      <w:r w:rsidR="00D652B2" w:rsidRPr="00E345C3">
        <w:rPr>
          <w:rStyle w:val="normaltextrun"/>
          <w:rFonts w:ascii="Arial" w:hAnsi="Arial" w:cs="Arial"/>
          <w:sz w:val="22"/>
          <w:szCs w:val="22"/>
          <w:highlight w:val="lightGray"/>
        </w:rPr>
        <w:t xml:space="preserve"> </w:t>
      </w:r>
    </w:p>
    <w:p w14:paraId="19CFF754" w14:textId="77777777" w:rsidR="00764D56" w:rsidRDefault="00764D56" w:rsidP="008245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C037B57" w14:textId="1F75494E" w:rsidR="008245B0" w:rsidRPr="00A73C66" w:rsidRDefault="008245B0" w:rsidP="008245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73C66">
        <w:rPr>
          <w:rStyle w:val="eop"/>
          <w:rFonts w:ascii="Arial" w:hAnsi="Arial" w:cs="Arial"/>
          <w:sz w:val="22"/>
          <w:szCs w:val="22"/>
        </w:rPr>
        <w:t>I have attached additional information about the decision-making framework</w:t>
      </w:r>
      <w:r w:rsidR="00917F1C">
        <w:rPr>
          <w:rStyle w:val="eop"/>
          <w:rFonts w:ascii="Arial" w:hAnsi="Arial" w:cs="Arial"/>
          <w:sz w:val="22"/>
          <w:szCs w:val="22"/>
        </w:rPr>
        <w:t>, additional requests for review</w:t>
      </w:r>
      <w:r w:rsidRPr="00A73C66">
        <w:rPr>
          <w:rStyle w:val="eop"/>
          <w:rFonts w:ascii="Arial" w:hAnsi="Arial" w:cs="Arial"/>
          <w:sz w:val="22"/>
          <w:szCs w:val="22"/>
        </w:rPr>
        <w:t xml:space="preserve"> and appeal rights at the end of this letter.</w:t>
      </w:r>
    </w:p>
    <w:p w14:paraId="5C9FA40D" w14:textId="77777777" w:rsidR="008245B0" w:rsidRPr="00A73C66" w:rsidRDefault="008245B0" w:rsidP="008245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73C66">
        <w:rPr>
          <w:rStyle w:val="eop"/>
          <w:rFonts w:ascii="Arial" w:hAnsi="Arial" w:cs="Arial"/>
          <w:sz w:val="22"/>
          <w:szCs w:val="22"/>
        </w:rPr>
        <w:t> </w:t>
      </w:r>
    </w:p>
    <w:p w14:paraId="13FAFA47" w14:textId="15FAFA63" w:rsidR="00E87028" w:rsidRPr="00585558" w:rsidRDefault="008245B0" w:rsidP="00E87028">
      <w:pPr>
        <w:rPr>
          <w:rFonts w:ascii="Arial" w:hAnsi="Arial" w:cs="Arial"/>
        </w:rPr>
      </w:pPr>
      <w:r w:rsidRPr="00585558">
        <w:rPr>
          <w:rFonts w:ascii="Arial" w:hAnsi="Arial" w:cs="Arial"/>
          <w:highlight w:val="lightGray"/>
        </w:rPr>
        <w:t>[</w:t>
      </w:r>
      <w:r w:rsidR="004F2E65">
        <w:rPr>
          <w:rFonts w:ascii="Arial" w:hAnsi="Arial" w:cs="Arial"/>
          <w:highlight w:val="lightGray"/>
        </w:rPr>
        <w:t>C</w:t>
      </w:r>
      <w:r w:rsidR="00D652B2" w:rsidRPr="00585558">
        <w:rPr>
          <w:rFonts w:ascii="Arial" w:hAnsi="Arial" w:cs="Arial"/>
          <w:highlight w:val="lightGray"/>
        </w:rPr>
        <w:t>ontact name</w:t>
      </w:r>
      <w:r w:rsidRPr="00585558">
        <w:rPr>
          <w:rFonts w:ascii="Arial" w:hAnsi="Arial" w:cs="Arial"/>
          <w:highlight w:val="lightGray"/>
        </w:rPr>
        <w:t>]</w:t>
      </w:r>
      <w:r w:rsidRPr="004F2E65">
        <w:rPr>
          <w:rFonts w:ascii="Arial" w:hAnsi="Arial" w:cs="Arial"/>
        </w:rPr>
        <w:t xml:space="preserve"> has been assigned as the contact for the review. </w:t>
      </w:r>
      <w:r w:rsidR="00E87028" w:rsidRPr="00585558">
        <w:rPr>
          <w:rFonts w:ascii="Arial" w:hAnsi="Arial" w:cs="Arial"/>
        </w:rPr>
        <w:t xml:space="preserve">Should you have any questions regarding this letter, </w:t>
      </w:r>
      <w:r w:rsidR="00E87028" w:rsidRPr="00585558">
        <w:rPr>
          <w:rFonts w:ascii="Arial" w:hAnsi="Arial" w:cs="Arial"/>
          <w:color w:val="000000" w:themeColor="text1"/>
        </w:rPr>
        <w:t>please contact </w:t>
      </w:r>
      <w:r w:rsidR="00E87028" w:rsidRPr="00585558">
        <w:rPr>
          <w:rFonts w:ascii="Arial" w:hAnsi="Arial" w:cs="Arial"/>
          <w:highlight w:val="lightGray"/>
        </w:rPr>
        <w:t>[insert name of contact]</w:t>
      </w:r>
      <w:r w:rsidR="00E87028" w:rsidRPr="00585558">
        <w:rPr>
          <w:rFonts w:ascii="Arial" w:hAnsi="Arial" w:cs="Arial"/>
        </w:rPr>
        <w:t xml:space="preserve"> on </w:t>
      </w:r>
      <w:r w:rsidR="00E87028" w:rsidRPr="00585558">
        <w:rPr>
          <w:rFonts w:ascii="Arial" w:hAnsi="Arial" w:cs="Arial"/>
          <w:iCs/>
          <w:highlight w:val="lightGray"/>
        </w:rPr>
        <w:t>[insert telephone number]</w:t>
      </w:r>
      <w:r w:rsidR="00E87028" w:rsidRPr="00585558">
        <w:rPr>
          <w:rFonts w:ascii="Arial" w:hAnsi="Arial" w:cs="Arial"/>
          <w:iCs/>
        </w:rPr>
        <w:t>.</w:t>
      </w:r>
    </w:p>
    <w:p w14:paraId="60C171CC" w14:textId="77777777" w:rsidR="004F2E65" w:rsidRPr="00585558" w:rsidRDefault="004F2E65" w:rsidP="004F2E65">
      <w:pPr>
        <w:widowControl w:val="0"/>
        <w:spacing w:after="840"/>
        <w:rPr>
          <w:rFonts w:ascii="Arial" w:hAnsi="Arial" w:cs="Arial"/>
        </w:rPr>
      </w:pPr>
      <w:r w:rsidRPr="00585558">
        <w:rPr>
          <w:rFonts w:ascii="Arial" w:hAnsi="Arial" w:cs="Arial"/>
        </w:rPr>
        <w:t>Yours sincerely</w:t>
      </w:r>
    </w:p>
    <w:p w14:paraId="3C36DEC1" w14:textId="77777777" w:rsidR="005F074A" w:rsidRDefault="00C2739B" w:rsidP="008245B0">
      <w:r w:rsidRPr="00DE6C33">
        <w:rPr>
          <w:rFonts w:ascii="Arial" w:hAnsi="Arial" w:cs="Arial"/>
          <w:highlight w:val="lightGray"/>
        </w:rPr>
        <w:t>[</w:t>
      </w:r>
      <w:r w:rsidR="005845FB">
        <w:rPr>
          <w:rFonts w:ascii="Arial" w:hAnsi="Arial" w:cs="Arial"/>
          <w:highlight w:val="lightGray"/>
        </w:rPr>
        <w:t>D</w:t>
      </w:r>
      <w:r w:rsidRPr="00DE6C33">
        <w:rPr>
          <w:rFonts w:ascii="Arial" w:hAnsi="Arial" w:cs="Arial"/>
          <w:highlight w:val="lightGray"/>
        </w:rPr>
        <w:t>ecision maker]</w:t>
      </w:r>
      <w:r w:rsidRPr="6654E235">
        <w:t xml:space="preserve"> </w:t>
      </w:r>
    </w:p>
    <w:p w14:paraId="460ACFA1" w14:textId="3B580EA7" w:rsidR="008245B0" w:rsidRPr="00247B34" w:rsidRDefault="004F2E65" w:rsidP="008245B0">
      <w:pPr>
        <w:rPr>
          <w:rFonts w:ascii="Arial" w:hAnsi="Arial" w:cs="Arial"/>
        </w:rPr>
      </w:pPr>
      <w:r w:rsidRPr="00585558">
        <w:rPr>
          <w:rFonts w:ascii="Arial" w:hAnsi="Arial" w:cs="Arial"/>
          <w:highlight w:val="lightGray"/>
        </w:rPr>
        <w:t>[</w:t>
      </w:r>
      <w:r w:rsidR="00EF02CF">
        <w:rPr>
          <w:rFonts w:ascii="Arial" w:hAnsi="Arial" w:cs="Arial"/>
          <w:highlight w:val="lightGray"/>
        </w:rPr>
        <w:t>Position</w:t>
      </w:r>
      <w:r w:rsidRPr="00585558">
        <w:rPr>
          <w:rFonts w:ascii="Arial" w:hAnsi="Arial" w:cs="Arial"/>
          <w:highlight w:val="lightGray"/>
        </w:rPr>
        <w:t>]</w:t>
      </w:r>
      <w:r w:rsidR="008245B0" w:rsidRPr="00247B34">
        <w:rPr>
          <w:rFonts w:ascii="Arial" w:hAnsi="Arial" w:cs="Arial"/>
        </w:rPr>
        <w:br w:type="page"/>
      </w:r>
    </w:p>
    <w:p w14:paraId="0DCAE046" w14:textId="77777777" w:rsidR="008245B0" w:rsidRPr="00390DE7" w:rsidRDefault="008245B0" w:rsidP="008245B0">
      <w:pPr>
        <w:widowControl w:val="0"/>
        <w:spacing w:after="60"/>
        <w:rPr>
          <w:rFonts w:ascii="Arial" w:hAnsi="Arial" w:cs="Arial"/>
          <w:b/>
          <w:sz w:val="28"/>
          <w:szCs w:val="28"/>
        </w:rPr>
      </w:pPr>
      <w:bookmarkStart w:id="0" w:name="_Hlk53065472"/>
      <w:r w:rsidRPr="00390DE7">
        <w:rPr>
          <w:rFonts w:ascii="Arial" w:hAnsi="Arial" w:cs="Arial"/>
          <w:b/>
          <w:sz w:val="28"/>
          <w:szCs w:val="28"/>
        </w:rPr>
        <w:lastRenderedPageBreak/>
        <w:t>Additional information</w:t>
      </w:r>
    </w:p>
    <w:p w14:paraId="3B0A85F7" w14:textId="77777777" w:rsidR="008245B0" w:rsidRPr="00247B34" w:rsidRDefault="008245B0" w:rsidP="008245B0">
      <w:pPr>
        <w:widowControl w:val="0"/>
        <w:spacing w:after="60"/>
        <w:rPr>
          <w:rFonts w:ascii="Arial" w:hAnsi="Arial" w:cs="Arial"/>
          <w:b/>
        </w:rPr>
      </w:pPr>
    </w:p>
    <w:p w14:paraId="1DC238D6" w14:textId="77777777" w:rsidR="008245B0" w:rsidRPr="00247B34" w:rsidRDefault="008245B0" w:rsidP="008245B0">
      <w:pPr>
        <w:widowControl w:val="0"/>
        <w:spacing w:after="60"/>
        <w:rPr>
          <w:rFonts w:ascii="Arial" w:hAnsi="Arial" w:cs="Arial"/>
          <w:b/>
        </w:rPr>
      </w:pPr>
      <w:r w:rsidRPr="00247B34">
        <w:rPr>
          <w:rFonts w:ascii="Arial" w:hAnsi="Arial" w:cs="Arial"/>
          <w:b/>
        </w:rPr>
        <w:t>Decision making framework</w:t>
      </w:r>
    </w:p>
    <w:p w14:paraId="3F0B36FE" w14:textId="781A9E05" w:rsidR="008245B0" w:rsidRPr="00247B34" w:rsidRDefault="008245B0" w:rsidP="008245B0">
      <w:pPr>
        <w:widowControl w:val="0"/>
        <w:spacing w:after="60"/>
        <w:rPr>
          <w:rFonts w:ascii="Arial" w:hAnsi="Arial" w:cs="Arial"/>
        </w:rPr>
      </w:pPr>
      <w:r w:rsidRPr="00247B34">
        <w:rPr>
          <w:rFonts w:ascii="Arial" w:hAnsi="Arial" w:cs="Arial"/>
        </w:rPr>
        <w:t xml:space="preserve">This review is conducted in accordance with the </w:t>
      </w:r>
      <w:hyperlink r:id="rId17" w:history="1">
        <w:r w:rsidRPr="00441663">
          <w:rPr>
            <w:rStyle w:val="Hyperlink"/>
            <w:rFonts w:ascii="Arial" w:hAnsi="Arial" w:cs="Arial"/>
            <w:i/>
            <w:iCs/>
          </w:rPr>
          <w:t>Public Se</w:t>
        </w:r>
        <w:r w:rsidR="00726F21" w:rsidRPr="00441663">
          <w:rPr>
            <w:rStyle w:val="Hyperlink"/>
            <w:rFonts w:ascii="Arial" w:hAnsi="Arial" w:cs="Arial"/>
            <w:i/>
            <w:iCs/>
          </w:rPr>
          <w:t>ctor Act 2022</w:t>
        </w:r>
      </w:hyperlink>
      <w:r w:rsidR="00726F21" w:rsidRPr="00247B34">
        <w:rPr>
          <w:rFonts w:ascii="Arial" w:hAnsi="Arial" w:cs="Arial"/>
          <w:i/>
          <w:iCs/>
        </w:rPr>
        <w:t xml:space="preserve"> </w:t>
      </w:r>
      <w:r w:rsidRPr="00247B34">
        <w:rPr>
          <w:rFonts w:ascii="Arial" w:hAnsi="Arial" w:cs="Arial"/>
        </w:rPr>
        <w:t>(</w:t>
      </w:r>
      <w:r w:rsidR="000C1AF8">
        <w:rPr>
          <w:rFonts w:ascii="Arial" w:hAnsi="Arial" w:cs="Arial"/>
        </w:rPr>
        <w:t xml:space="preserve">the </w:t>
      </w:r>
      <w:r w:rsidR="00726F21" w:rsidRPr="00247B34">
        <w:rPr>
          <w:rFonts w:ascii="Arial" w:hAnsi="Arial" w:cs="Arial"/>
        </w:rPr>
        <w:t>Act</w:t>
      </w:r>
      <w:r w:rsidRPr="00247B34">
        <w:rPr>
          <w:rFonts w:ascii="Arial" w:hAnsi="Arial" w:cs="Arial"/>
        </w:rPr>
        <w:t xml:space="preserve">) and the </w:t>
      </w:r>
      <w:hyperlink r:id="rId18" w:history="1">
        <w:r w:rsidR="00347873">
          <w:rPr>
            <w:rStyle w:val="Hyperlink"/>
            <w:rFonts w:ascii="Arial" w:hAnsi="Arial" w:cs="Arial"/>
          </w:rPr>
          <w:t>R</w:t>
        </w:r>
        <w:r w:rsidR="00726F21" w:rsidRPr="009F2854">
          <w:rPr>
            <w:rStyle w:val="Hyperlink"/>
            <w:rFonts w:ascii="Arial" w:hAnsi="Arial" w:cs="Arial"/>
          </w:rPr>
          <w:t xml:space="preserve">eview of acting or secondment at higher classification level </w:t>
        </w:r>
        <w:r w:rsidRPr="009F2854">
          <w:rPr>
            <w:rStyle w:val="Hyperlink"/>
            <w:rFonts w:ascii="Arial" w:hAnsi="Arial" w:cs="Arial"/>
          </w:rPr>
          <w:t xml:space="preserve">directive </w:t>
        </w:r>
        <w:r w:rsidR="00726F21" w:rsidRPr="009F2854">
          <w:rPr>
            <w:rStyle w:val="Hyperlink"/>
            <w:rFonts w:ascii="Arial" w:hAnsi="Arial" w:cs="Arial"/>
          </w:rPr>
          <w:t>(</w:t>
        </w:r>
        <w:r w:rsidR="000C1AF8" w:rsidRPr="009F2854">
          <w:rPr>
            <w:rStyle w:val="Hyperlink"/>
            <w:rFonts w:ascii="Arial" w:hAnsi="Arial" w:cs="Arial"/>
          </w:rPr>
          <w:t>D</w:t>
        </w:r>
        <w:r w:rsidR="00726F21" w:rsidRPr="009F2854">
          <w:rPr>
            <w:rStyle w:val="Hyperlink"/>
            <w:rFonts w:ascii="Arial" w:hAnsi="Arial" w:cs="Arial"/>
          </w:rPr>
          <w:t>irective</w:t>
        </w:r>
        <w:r w:rsidR="000C1AF8" w:rsidRPr="009F2854">
          <w:rPr>
            <w:rStyle w:val="Hyperlink"/>
            <w:rFonts w:ascii="Arial" w:hAnsi="Arial" w:cs="Arial"/>
          </w:rPr>
          <w:t xml:space="preserve"> 03/23)</w:t>
        </w:r>
      </w:hyperlink>
      <w:r w:rsidRPr="00247B34">
        <w:rPr>
          <w:rFonts w:ascii="Arial" w:hAnsi="Arial" w:cs="Arial"/>
        </w:rPr>
        <w:t xml:space="preserve">. </w:t>
      </w:r>
    </w:p>
    <w:p w14:paraId="2C499287" w14:textId="77777777" w:rsidR="008245B0" w:rsidRPr="00247B34" w:rsidRDefault="008245B0" w:rsidP="008245B0">
      <w:pPr>
        <w:widowControl w:val="0"/>
        <w:spacing w:after="60"/>
        <w:rPr>
          <w:rFonts w:ascii="Arial" w:hAnsi="Arial" w:cs="Arial"/>
          <w:b/>
        </w:rPr>
      </w:pPr>
    </w:p>
    <w:p w14:paraId="1D87203C" w14:textId="55001C57" w:rsidR="008245B0" w:rsidRPr="00247B34" w:rsidRDefault="008245B0" w:rsidP="008245B0">
      <w:pPr>
        <w:widowControl w:val="0"/>
        <w:spacing w:after="60"/>
        <w:rPr>
          <w:rFonts w:ascii="Arial" w:hAnsi="Arial" w:cs="Arial"/>
          <w:b/>
        </w:rPr>
      </w:pPr>
      <w:r w:rsidRPr="00247B34">
        <w:rPr>
          <w:rFonts w:ascii="Arial" w:hAnsi="Arial" w:cs="Arial"/>
          <w:b/>
        </w:rPr>
        <w:t xml:space="preserve">Eligibility </w:t>
      </w:r>
      <w:r w:rsidR="005D07EC" w:rsidRPr="00247B34">
        <w:rPr>
          <w:rFonts w:ascii="Arial" w:hAnsi="Arial" w:cs="Arial"/>
          <w:b/>
        </w:rPr>
        <w:t>to request</w:t>
      </w:r>
      <w:r w:rsidRPr="00247B34">
        <w:rPr>
          <w:rFonts w:ascii="Arial" w:hAnsi="Arial" w:cs="Arial"/>
          <w:b/>
        </w:rPr>
        <w:t xml:space="preserve"> review</w:t>
      </w:r>
      <w:r w:rsidR="007F1828">
        <w:rPr>
          <w:rFonts w:ascii="Arial" w:hAnsi="Arial" w:cs="Arial"/>
          <w:b/>
        </w:rPr>
        <w:t xml:space="preserve"> </w:t>
      </w:r>
      <w:r w:rsidRPr="00247B34">
        <w:rPr>
          <w:rFonts w:ascii="Arial" w:hAnsi="Arial" w:cs="Arial"/>
          <w:b/>
        </w:rPr>
        <w:t>–</w:t>
      </w:r>
      <w:r w:rsidR="007F1828">
        <w:rPr>
          <w:rFonts w:ascii="Arial" w:hAnsi="Arial" w:cs="Arial"/>
          <w:b/>
        </w:rPr>
        <w:t xml:space="preserve"> </w:t>
      </w:r>
      <w:r w:rsidRPr="00247B34">
        <w:rPr>
          <w:rFonts w:ascii="Arial" w:hAnsi="Arial" w:cs="Arial"/>
          <w:b/>
        </w:rPr>
        <w:t xml:space="preserve">section </w:t>
      </w:r>
      <w:r w:rsidR="00726F21" w:rsidRPr="00247B34">
        <w:rPr>
          <w:rFonts w:ascii="Arial" w:hAnsi="Arial" w:cs="Arial"/>
          <w:b/>
        </w:rPr>
        <w:t>119</w:t>
      </w:r>
      <w:r w:rsidR="004F2E65">
        <w:rPr>
          <w:rFonts w:ascii="Arial" w:hAnsi="Arial" w:cs="Arial"/>
          <w:b/>
        </w:rPr>
        <w:t xml:space="preserve"> and</w:t>
      </w:r>
      <w:r w:rsidR="00726F21" w:rsidRPr="00247B34">
        <w:rPr>
          <w:rFonts w:ascii="Arial" w:hAnsi="Arial" w:cs="Arial"/>
          <w:b/>
        </w:rPr>
        <w:t xml:space="preserve"> 120</w:t>
      </w:r>
    </w:p>
    <w:p w14:paraId="63EC5372" w14:textId="126665C5" w:rsidR="008245B0" w:rsidRPr="00247B34" w:rsidRDefault="008245B0" w:rsidP="008245B0">
      <w:pPr>
        <w:widowControl w:val="0"/>
        <w:spacing w:after="60"/>
        <w:rPr>
          <w:rStyle w:val="listnumber"/>
          <w:rFonts w:ascii="Arial" w:hAnsi="Arial" w:cs="Arial"/>
        </w:rPr>
      </w:pPr>
      <w:r w:rsidRPr="00247B34">
        <w:rPr>
          <w:rStyle w:val="listnumber"/>
          <w:rFonts w:ascii="Arial" w:hAnsi="Arial" w:cs="Arial"/>
          <w:color w:val="000000"/>
        </w:rPr>
        <w:t xml:space="preserve">A public </w:t>
      </w:r>
      <w:r w:rsidR="00353A5D" w:rsidRPr="00247B34">
        <w:rPr>
          <w:rStyle w:val="listnumber"/>
          <w:rFonts w:ascii="Arial" w:hAnsi="Arial" w:cs="Arial"/>
          <w:color w:val="000000"/>
        </w:rPr>
        <w:t>se</w:t>
      </w:r>
      <w:r w:rsidR="00353A5D">
        <w:rPr>
          <w:rStyle w:val="listnumber"/>
          <w:rFonts w:ascii="Arial" w:hAnsi="Arial" w:cs="Arial"/>
          <w:color w:val="000000"/>
        </w:rPr>
        <w:t>ctor</w:t>
      </w:r>
      <w:r w:rsidR="00353A5D" w:rsidRPr="00247B34">
        <w:rPr>
          <w:rStyle w:val="listnumber"/>
          <w:rFonts w:ascii="Arial" w:hAnsi="Arial" w:cs="Arial"/>
          <w:color w:val="000000"/>
        </w:rPr>
        <w:t xml:space="preserve"> </w:t>
      </w:r>
      <w:r w:rsidRPr="00247B34">
        <w:rPr>
          <w:rStyle w:val="listnumber"/>
          <w:rFonts w:ascii="Arial" w:hAnsi="Arial" w:cs="Arial"/>
          <w:color w:val="000000"/>
        </w:rPr>
        <w:t xml:space="preserve">employee is eligible </w:t>
      </w:r>
      <w:r w:rsidR="00726F21" w:rsidRPr="00247B34">
        <w:rPr>
          <w:rStyle w:val="listnumber"/>
          <w:rFonts w:ascii="Arial" w:hAnsi="Arial" w:cs="Arial"/>
          <w:color w:val="000000"/>
        </w:rPr>
        <w:t xml:space="preserve">to request a </w:t>
      </w:r>
      <w:r w:rsidRPr="00247B34">
        <w:rPr>
          <w:rStyle w:val="listnumber"/>
          <w:rFonts w:ascii="Arial" w:hAnsi="Arial" w:cs="Arial"/>
          <w:color w:val="000000"/>
        </w:rPr>
        <w:t>review if</w:t>
      </w:r>
      <w:r w:rsidR="00A2686A">
        <w:rPr>
          <w:rStyle w:val="listnumber"/>
          <w:rFonts w:ascii="Arial" w:hAnsi="Arial" w:cs="Arial"/>
          <w:color w:val="000000"/>
        </w:rPr>
        <w:t xml:space="preserve"> they have been</w:t>
      </w:r>
      <w:r w:rsidR="000C1AF8">
        <w:rPr>
          <w:rStyle w:val="listnumber"/>
          <w:rFonts w:ascii="Arial" w:hAnsi="Arial" w:cs="Arial"/>
          <w:color w:val="000000"/>
        </w:rPr>
        <w:t>:</w:t>
      </w:r>
      <w:r w:rsidRPr="00247B34">
        <w:rPr>
          <w:rStyle w:val="listnumber"/>
          <w:rFonts w:ascii="Arial" w:hAnsi="Arial" w:cs="Arial"/>
          <w:color w:val="000000"/>
        </w:rPr>
        <w:t xml:space="preserve"> </w:t>
      </w:r>
    </w:p>
    <w:p w14:paraId="3FA6041C" w14:textId="70003DAB" w:rsidR="00726F21" w:rsidRPr="00247B34" w:rsidRDefault="008245B0" w:rsidP="008245B0">
      <w:pPr>
        <w:pStyle w:val="ListParagraph"/>
        <w:widowControl w:val="0"/>
        <w:numPr>
          <w:ilvl w:val="0"/>
          <w:numId w:val="3"/>
        </w:numPr>
        <w:spacing w:after="60"/>
        <w:ind w:left="284" w:hanging="284"/>
        <w:rPr>
          <w:rStyle w:val="listnumber"/>
          <w:rFonts w:ascii="Arial" w:hAnsi="Arial" w:cs="Arial"/>
        </w:rPr>
      </w:pPr>
      <w:r w:rsidRPr="00247B34">
        <w:rPr>
          <w:rStyle w:val="listnumber"/>
          <w:rFonts w:ascii="Arial" w:hAnsi="Arial" w:cs="Arial"/>
        </w:rPr>
        <w:t>acting at</w:t>
      </w:r>
      <w:r w:rsidR="00726F21" w:rsidRPr="00247B34">
        <w:rPr>
          <w:rStyle w:val="listnumber"/>
          <w:rFonts w:ascii="Arial" w:hAnsi="Arial" w:cs="Arial"/>
        </w:rPr>
        <w:t>, or seconded to (</w:t>
      </w:r>
      <w:r w:rsidR="00726F21" w:rsidRPr="00BD7289">
        <w:rPr>
          <w:rStyle w:val="listnumber"/>
          <w:rFonts w:ascii="Arial" w:hAnsi="Arial" w:cs="Arial"/>
        </w:rPr>
        <w:t xml:space="preserve">refer </w:t>
      </w:r>
      <w:r w:rsidR="00353A5D" w:rsidRPr="005F074A">
        <w:rPr>
          <w:rFonts w:ascii="Arial" w:hAnsi="Arial" w:cs="Arial"/>
        </w:rPr>
        <w:t xml:space="preserve">section </w:t>
      </w:r>
      <w:r w:rsidR="00353A5D" w:rsidRPr="00BD7289">
        <w:rPr>
          <w:rFonts w:ascii="Arial" w:hAnsi="Arial" w:cs="Arial"/>
        </w:rPr>
        <w:t>118</w:t>
      </w:r>
      <w:r w:rsidR="00726F21" w:rsidRPr="00247B34">
        <w:rPr>
          <w:rStyle w:val="listnumber"/>
          <w:rFonts w:ascii="Arial" w:hAnsi="Arial" w:cs="Arial"/>
        </w:rPr>
        <w:t>)</w:t>
      </w:r>
      <w:r w:rsidRPr="00247B34">
        <w:rPr>
          <w:rStyle w:val="listnumber"/>
          <w:rFonts w:ascii="Arial" w:hAnsi="Arial" w:cs="Arial"/>
        </w:rPr>
        <w:t xml:space="preserve">, a higher classification level in the </w:t>
      </w:r>
      <w:r w:rsidR="00726F21" w:rsidRPr="00247B34">
        <w:rPr>
          <w:rStyle w:val="listnumber"/>
          <w:rFonts w:ascii="Arial" w:hAnsi="Arial" w:cs="Arial"/>
        </w:rPr>
        <w:t>public sector entity</w:t>
      </w:r>
      <w:r w:rsidRPr="00247B34">
        <w:rPr>
          <w:rStyle w:val="listnumber"/>
          <w:rFonts w:ascii="Arial" w:hAnsi="Arial" w:cs="Arial"/>
        </w:rPr>
        <w:t xml:space="preserve"> in which the employee is employed</w:t>
      </w:r>
      <w:r w:rsidR="00726F21" w:rsidRPr="00247B34">
        <w:rPr>
          <w:rStyle w:val="listnumber"/>
          <w:rFonts w:ascii="Arial" w:hAnsi="Arial" w:cs="Arial"/>
        </w:rPr>
        <w:t xml:space="preserve"> (see </w:t>
      </w:r>
      <w:hyperlink r:id="rId19" w:anchor="sec.119" w:history="1">
        <w:r w:rsidR="009D23D6">
          <w:rPr>
            <w:rStyle w:val="Hyperlink"/>
            <w:rFonts w:ascii="Arial" w:hAnsi="Arial" w:cs="Arial"/>
          </w:rPr>
          <w:t>section 119</w:t>
        </w:r>
      </w:hyperlink>
      <w:r w:rsidR="00C13D1F">
        <w:rPr>
          <w:rStyle w:val="listnumber"/>
          <w:rFonts w:ascii="Arial" w:hAnsi="Arial" w:cs="Arial"/>
        </w:rPr>
        <w:t>(1))</w:t>
      </w:r>
    </w:p>
    <w:p w14:paraId="419509AA" w14:textId="062E894C" w:rsidR="008245B0" w:rsidRPr="00247B34" w:rsidRDefault="00726F21" w:rsidP="008245B0">
      <w:pPr>
        <w:pStyle w:val="ListParagraph"/>
        <w:widowControl w:val="0"/>
        <w:numPr>
          <w:ilvl w:val="0"/>
          <w:numId w:val="3"/>
        </w:numPr>
        <w:spacing w:after="60"/>
        <w:ind w:left="284" w:hanging="284"/>
        <w:rPr>
          <w:rStyle w:val="listnumber"/>
          <w:rFonts w:ascii="Arial" w:hAnsi="Arial" w:cs="Arial"/>
        </w:rPr>
      </w:pPr>
      <w:r w:rsidRPr="00247B34">
        <w:rPr>
          <w:rStyle w:val="listnumber"/>
          <w:rFonts w:ascii="Arial" w:hAnsi="Arial" w:cs="Arial"/>
        </w:rPr>
        <w:t>acting at, or s</w:t>
      </w:r>
      <w:r w:rsidR="008245B0" w:rsidRPr="00247B34">
        <w:rPr>
          <w:rStyle w:val="listnumber"/>
          <w:rFonts w:ascii="Arial" w:hAnsi="Arial" w:cs="Arial"/>
        </w:rPr>
        <w:t>econded to</w:t>
      </w:r>
      <w:r w:rsidR="00B17AD7">
        <w:rPr>
          <w:rStyle w:val="listnumber"/>
          <w:rFonts w:ascii="Arial" w:hAnsi="Arial" w:cs="Arial"/>
        </w:rPr>
        <w:t>,</w:t>
      </w:r>
      <w:r w:rsidR="008245B0" w:rsidRPr="00247B34">
        <w:rPr>
          <w:rStyle w:val="listnumber"/>
          <w:rFonts w:ascii="Arial" w:hAnsi="Arial" w:cs="Arial"/>
        </w:rPr>
        <w:t xml:space="preserve"> </w:t>
      </w:r>
      <w:r w:rsidRPr="00247B34">
        <w:rPr>
          <w:rStyle w:val="listnumber"/>
          <w:rFonts w:ascii="Arial" w:hAnsi="Arial" w:cs="Arial"/>
        </w:rPr>
        <w:t>a</w:t>
      </w:r>
      <w:r w:rsidR="008245B0" w:rsidRPr="00247B34">
        <w:rPr>
          <w:rStyle w:val="listnumber"/>
          <w:rFonts w:ascii="Arial" w:hAnsi="Arial" w:cs="Arial"/>
        </w:rPr>
        <w:t xml:space="preserve"> higher classification level for a continuous period of at least </w:t>
      </w:r>
      <w:r w:rsidR="003B576E">
        <w:rPr>
          <w:rStyle w:val="listnumber"/>
          <w:rFonts w:ascii="Arial" w:hAnsi="Arial" w:cs="Arial"/>
        </w:rPr>
        <w:t xml:space="preserve">one </w:t>
      </w:r>
      <w:r w:rsidR="008245B0" w:rsidRPr="00247B34">
        <w:rPr>
          <w:rStyle w:val="listnumber"/>
          <w:rFonts w:ascii="Arial" w:hAnsi="Arial" w:cs="Arial"/>
        </w:rPr>
        <w:t>year</w:t>
      </w:r>
      <w:r w:rsidRPr="00247B34">
        <w:rPr>
          <w:rStyle w:val="listnumber"/>
          <w:rFonts w:ascii="Arial" w:hAnsi="Arial" w:cs="Arial"/>
        </w:rPr>
        <w:t xml:space="preserve"> (refer to clause 8 of the directive for </w:t>
      </w:r>
      <w:r w:rsidR="00371823">
        <w:rPr>
          <w:rStyle w:val="listnumber"/>
          <w:rFonts w:ascii="Arial" w:hAnsi="Arial" w:cs="Arial"/>
        </w:rPr>
        <w:t xml:space="preserve">the </w:t>
      </w:r>
      <w:r w:rsidRPr="00247B34">
        <w:rPr>
          <w:rStyle w:val="listnumber"/>
          <w:rFonts w:ascii="Arial" w:hAnsi="Arial" w:cs="Arial"/>
        </w:rPr>
        <w:t xml:space="preserve">meaning of </w:t>
      </w:r>
      <w:r w:rsidR="00371823">
        <w:rPr>
          <w:rStyle w:val="listnumber"/>
          <w:rFonts w:ascii="Arial" w:hAnsi="Arial" w:cs="Arial"/>
        </w:rPr>
        <w:t>‘</w:t>
      </w:r>
      <w:r w:rsidRPr="00247B34">
        <w:rPr>
          <w:rStyle w:val="listnumber"/>
          <w:rFonts w:ascii="Arial" w:hAnsi="Arial" w:cs="Arial"/>
        </w:rPr>
        <w:t>continuous period</w:t>
      </w:r>
      <w:r w:rsidR="00371823">
        <w:rPr>
          <w:rStyle w:val="listnumber"/>
          <w:rFonts w:ascii="Arial" w:hAnsi="Arial" w:cs="Arial"/>
        </w:rPr>
        <w:t>’</w:t>
      </w:r>
      <w:r w:rsidRPr="00247B34">
        <w:rPr>
          <w:rStyle w:val="listnumber"/>
          <w:rFonts w:ascii="Arial" w:hAnsi="Arial" w:cs="Arial"/>
        </w:rPr>
        <w:t>)</w:t>
      </w:r>
      <w:r w:rsidR="00683248">
        <w:rPr>
          <w:rStyle w:val="listnumber"/>
          <w:rFonts w:ascii="Arial" w:hAnsi="Arial" w:cs="Arial"/>
        </w:rPr>
        <w:t xml:space="preserve">. </w:t>
      </w:r>
    </w:p>
    <w:p w14:paraId="64F3F849" w14:textId="78BEC6E5" w:rsidR="008245B0" w:rsidRPr="00247B34" w:rsidRDefault="008245B0" w:rsidP="008245B0">
      <w:pPr>
        <w:widowControl w:val="0"/>
        <w:spacing w:after="60"/>
        <w:ind w:left="284" w:hanging="284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 xml:space="preserve">A public </w:t>
      </w:r>
      <w:r w:rsidR="00353A5D">
        <w:rPr>
          <w:rStyle w:val="listnumber"/>
          <w:rFonts w:ascii="Arial" w:hAnsi="Arial" w:cs="Arial"/>
          <w:color w:val="000000"/>
        </w:rPr>
        <w:t>sector</w:t>
      </w:r>
      <w:r w:rsidR="00353A5D" w:rsidRPr="00247B34">
        <w:rPr>
          <w:rStyle w:val="listnumber"/>
          <w:rFonts w:ascii="Arial" w:hAnsi="Arial" w:cs="Arial"/>
          <w:color w:val="000000"/>
        </w:rPr>
        <w:t xml:space="preserve"> </w:t>
      </w:r>
      <w:r w:rsidRPr="00247B34">
        <w:rPr>
          <w:rStyle w:val="listnumber"/>
          <w:rFonts w:ascii="Arial" w:hAnsi="Arial" w:cs="Arial"/>
          <w:color w:val="000000"/>
        </w:rPr>
        <w:t xml:space="preserve">employee is not eligible </w:t>
      </w:r>
      <w:r w:rsidR="005D07EC" w:rsidRPr="00247B34">
        <w:rPr>
          <w:rStyle w:val="listnumber"/>
          <w:rFonts w:ascii="Arial" w:hAnsi="Arial" w:cs="Arial"/>
          <w:color w:val="000000"/>
        </w:rPr>
        <w:t>to request</w:t>
      </w:r>
      <w:r w:rsidR="007058D0">
        <w:rPr>
          <w:rStyle w:val="listnumber"/>
          <w:rFonts w:ascii="Arial" w:hAnsi="Arial" w:cs="Arial"/>
          <w:color w:val="000000"/>
        </w:rPr>
        <w:t xml:space="preserve"> a</w:t>
      </w:r>
      <w:r w:rsidRPr="00247B34">
        <w:rPr>
          <w:rStyle w:val="listnumber"/>
          <w:rFonts w:ascii="Arial" w:hAnsi="Arial" w:cs="Arial"/>
          <w:color w:val="000000"/>
        </w:rPr>
        <w:t xml:space="preserve"> review if</w:t>
      </w:r>
      <w:r w:rsidR="006E6018">
        <w:rPr>
          <w:rStyle w:val="listnumber"/>
          <w:rFonts w:ascii="Arial" w:hAnsi="Arial" w:cs="Arial"/>
          <w:color w:val="000000"/>
        </w:rPr>
        <w:t xml:space="preserve"> they are</w:t>
      </w:r>
      <w:r w:rsidR="000C1AF8">
        <w:rPr>
          <w:rStyle w:val="listnumber"/>
          <w:rFonts w:ascii="Arial" w:hAnsi="Arial" w:cs="Arial"/>
          <w:color w:val="000000"/>
        </w:rPr>
        <w:t>:</w:t>
      </w:r>
    </w:p>
    <w:p w14:paraId="7E8902E0" w14:textId="35AE2CB2" w:rsidR="008245B0" w:rsidRPr="00247B34" w:rsidRDefault="008245B0" w:rsidP="00726F21">
      <w:pPr>
        <w:pStyle w:val="ListParagraph"/>
        <w:widowControl w:val="0"/>
        <w:numPr>
          <w:ilvl w:val="0"/>
          <w:numId w:val="3"/>
        </w:numPr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>a casual employee</w:t>
      </w:r>
    </w:p>
    <w:p w14:paraId="69403CF7" w14:textId="406B1199" w:rsidR="008245B0" w:rsidRPr="00247B34" w:rsidRDefault="008245B0" w:rsidP="00726F21">
      <w:pPr>
        <w:pStyle w:val="ListParagraph"/>
        <w:widowControl w:val="0"/>
        <w:numPr>
          <w:ilvl w:val="0"/>
          <w:numId w:val="3"/>
        </w:numPr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>a non-industrial instrument employee</w:t>
      </w:r>
    </w:p>
    <w:p w14:paraId="606FB7A8" w14:textId="7A1CE574" w:rsidR="008245B0" w:rsidRPr="00247B34" w:rsidRDefault="008245B0" w:rsidP="00726F21">
      <w:pPr>
        <w:pStyle w:val="ListParagraph"/>
        <w:widowControl w:val="0"/>
        <w:numPr>
          <w:ilvl w:val="0"/>
          <w:numId w:val="3"/>
        </w:numPr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 xml:space="preserve">an employee who is </w:t>
      </w:r>
      <w:r w:rsidR="00726F21" w:rsidRPr="00247B34">
        <w:rPr>
          <w:rStyle w:val="listnumber"/>
          <w:rFonts w:ascii="Arial" w:hAnsi="Arial" w:cs="Arial"/>
          <w:color w:val="000000"/>
        </w:rPr>
        <w:t xml:space="preserve">acting at, or </w:t>
      </w:r>
      <w:r w:rsidRPr="00247B34">
        <w:rPr>
          <w:rStyle w:val="listnumber"/>
          <w:rFonts w:ascii="Arial" w:hAnsi="Arial" w:cs="Arial"/>
          <w:color w:val="000000"/>
        </w:rPr>
        <w:t>seconded to</w:t>
      </w:r>
      <w:r w:rsidR="00726F21" w:rsidRPr="00247B34">
        <w:rPr>
          <w:rStyle w:val="listnumber"/>
          <w:rFonts w:ascii="Arial" w:hAnsi="Arial" w:cs="Arial"/>
          <w:color w:val="000000"/>
        </w:rPr>
        <w:t xml:space="preserve">, </w:t>
      </w:r>
      <w:r w:rsidRPr="00247B34">
        <w:rPr>
          <w:rStyle w:val="listnumber"/>
          <w:rFonts w:ascii="Arial" w:hAnsi="Arial" w:cs="Arial"/>
          <w:color w:val="000000"/>
        </w:rPr>
        <w:t>a position that is ordinarily held by a non-industrial instrument employee.</w:t>
      </w:r>
    </w:p>
    <w:p w14:paraId="15380BF1" w14:textId="77777777" w:rsidR="00F115BD" w:rsidRDefault="00F115BD" w:rsidP="008245B0">
      <w:pPr>
        <w:widowControl w:val="0"/>
        <w:spacing w:after="60"/>
        <w:ind w:left="284" w:hanging="284"/>
        <w:rPr>
          <w:rStyle w:val="listnumber"/>
          <w:rFonts w:ascii="Arial" w:hAnsi="Arial" w:cs="Arial"/>
          <w:b/>
          <w:bCs/>
          <w:color w:val="000000"/>
        </w:rPr>
      </w:pPr>
    </w:p>
    <w:p w14:paraId="338700F9" w14:textId="430AED22" w:rsidR="00726F21" w:rsidRPr="00247B34" w:rsidRDefault="00726F21" w:rsidP="008245B0">
      <w:pPr>
        <w:widowControl w:val="0"/>
        <w:spacing w:after="60"/>
        <w:ind w:left="284" w:hanging="284"/>
        <w:rPr>
          <w:rStyle w:val="listnumber"/>
          <w:rFonts w:ascii="Arial" w:hAnsi="Arial" w:cs="Arial"/>
          <w:b/>
          <w:bCs/>
          <w:color w:val="000000"/>
        </w:rPr>
      </w:pPr>
      <w:r w:rsidRPr="00247B34">
        <w:rPr>
          <w:rStyle w:val="listnumber"/>
          <w:rFonts w:ascii="Arial" w:hAnsi="Arial" w:cs="Arial"/>
          <w:b/>
          <w:bCs/>
          <w:color w:val="000000"/>
        </w:rPr>
        <w:t>Decision making</w:t>
      </w:r>
      <w:r w:rsidR="007F1828">
        <w:rPr>
          <w:rStyle w:val="listnumber"/>
          <w:rFonts w:ascii="Arial" w:hAnsi="Arial" w:cs="Arial"/>
          <w:b/>
          <w:bCs/>
          <w:color w:val="000000"/>
        </w:rPr>
        <w:t xml:space="preserve"> </w:t>
      </w:r>
      <w:r w:rsidR="000B161C" w:rsidRPr="000B161C">
        <w:rPr>
          <w:rFonts w:ascii="Arial" w:hAnsi="Arial" w:cs="Arial"/>
          <w:b/>
          <w:bCs/>
          <w:color w:val="000000"/>
        </w:rPr>
        <w:t>–</w:t>
      </w:r>
      <w:r w:rsidR="007F1828">
        <w:rPr>
          <w:rFonts w:ascii="Arial" w:hAnsi="Arial" w:cs="Arial"/>
          <w:b/>
          <w:bCs/>
          <w:color w:val="000000"/>
        </w:rPr>
        <w:t xml:space="preserve"> </w:t>
      </w:r>
      <w:r w:rsidRPr="00247B34">
        <w:rPr>
          <w:rStyle w:val="listnumber"/>
          <w:rFonts w:ascii="Arial" w:hAnsi="Arial" w:cs="Arial"/>
          <w:b/>
          <w:bCs/>
          <w:color w:val="000000"/>
        </w:rPr>
        <w:t>section 120(3) and (4)</w:t>
      </w:r>
    </w:p>
    <w:p w14:paraId="4E12D0FE" w14:textId="31DF9B8D" w:rsidR="005D07EC" w:rsidRPr="00247B34" w:rsidRDefault="005D07EC" w:rsidP="00332213">
      <w:pPr>
        <w:widowControl w:val="0"/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 xml:space="preserve">The chief executive may decide to employ the employee in the position at the higher classification level on a permanent basis only if the chief executive considers the employee is suitable to perform the role. Clause 9 of the directive provides for the meaning of </w:t>
      </w:r>
      <w:r w:rsidR="00FF55A0">
        <w:rPr>
          <w:rStyle w:val="listnumber"/>
          <w:rFonts w:ascii="Arial" w:hAnsi="Arial" w:cs="Arial"/>
          <w:color w:val="000000"/>
        </w:rPr>
        <w:t>‘</w:t>
      </w:r>
      <w:r w:rsidRPr="00247B34">
        <w:rPr>
          <w:rStyle w:val="listnumber"/>
          <w:rFonts w:ascii="Arial" w:hAnsi="Arial" w:cs="Arial"/>
          <w:color w:val="000000"/>
        </w:rPr>
        <w:t>suitable</w:t>
      </w:r>
      <w:r w:rsidR="00FF55A0">
        <w:rPr>
          <w:rStyle w:val="listnumber"/>
          <w:rFonts w:ascii="Arial" w:hAnsi="Arial" w:cs="Arial"/>
          <w:color w:val="000000"/>
        </w:rPr>
        <w:t>’</w:t>
      </w:r>
      <w:r w:rsidRPr="00247B34">
        <w:rPr>
          <w:rStyle w:val="listnumber"/>
          <w:rFonts w:ascii="Arial" w:hAnsi="Arial" w:cs="Arial"/>
          <w:color w:val="000000"/>
        </w:rPr>
        <w:t>.</w:t>
      </w:r>
    </w:p>
    <w:p w14:paraId="38E57F66" w14:textId="3B7460FE" w:rsidR="008245B0" w:rsidRPr="00247B34" w:rsidRDefault="008245B0" w:rsidP="008245B0">
      <w:pPr>
        <w:widowControl w:val="0"/>
        <w:spacing w:after="60"/>
        <w:ind w:left="284" w:hanging="284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>In making the decision, the department’s chief executive must have regard to—</w:t>
      </w:r>
    </w:p>
    <w:p w14:paraId="57553DF3" w14:textId="7AAEDB37" w:rsidR="008245B0" w:rsidRPr="00247B34" w:rsidRDefault="008245B0" w:rsidP="00332213">
      <w:pPr>
        <w:pStyle w:val="ListParagraph"/>
        <w:widowControl w:val="0"/>
        <w:numPr>
          <w:ilvl w:val="0"/>
          <w:numId w:val="6"/>
        </w:numPr>
        <w:shd w:val="clear" w:color="auto" w:fill="FFFFFF"/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 xml:space="preserve">the genuine operational requirements of the </w:t>
      </w:r>
      <w:r w:rsidR="005D07EC" w:rsidRPr="00247B34">
        <w:rPr>
          <w:rStyle w:val="listnumber"/>
          <w:rFonts w:ascii="Arial" w:hAnsi="Arial" w:cs="Arial"/>
          <w:color w:val="000000"/>
        </w:rPr>
        <w:t>public sector entity</w:t>
      </w:r>
      <w:r w:rsidRPr="00247B34">
        <w:rPr>
          <w:rStyle w:val="listnumber"/>
          <w:rFonts w:ascii="Arial" w:hAnsi="Arial" w:cs="Arial"/>
          <w:color w:val="000000"/>
        </w:rPr>
        <w:t>; and</w:t>
      </w:r>
    </w:p>
    <w:p w14:paraId="7C368192" w14:textId="4492EEAF" w:rsidR="008245B0" w:rsidRPr="00247B34" w:rsidRDefault="008245B0" w:rsidP="00332213">
      <w:pPr>
        <w:pStyle w:val="ListParagraph"/>
        <w:widowControl w:val="0"/>
        <w:numPr>
          <w:ilvl w:val="0"/>
          <w:numId w:val="6"/>
        </w:numPr>
        <w:shd w:val="clear" w:color="auto" w:fill="FFFFFF"/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>the reasons for each decision previously made, or taken to have been made, under this section in relation to the person during the person’s continuous period of</w:t>
      </w:r>
      <w:r w:rsidR="005D07EC" w:rsidRPr="00247B34">
        <w:rPr>
          <w:rStyle w:val="listnumber"/>
          <w:rFonts w:ascii="Arial" w:hAnsi="Arial" w:cs="Arial"/>
          <w:color w:val="000000"/>
        </w:rPr>
        <w:t xml:space="preserve"> acting at, or secondment to, </w:t>
      </w:r>
      <w:r w:rsidRPr="00247B34">
        <w:rPr>
          <w:rStyle w:val="listnumber"/>
          <w:rFonts w:ascii="Arial" w:hAnsi="Arial" w:cs="Arial"/>
          <w:color w:val="000000"/>
        </w:rPr>
        <w:t>the higher classification level.</w:t>
      </w:r>
    </w:p>
    <w:p w14:paraId="7C67A640" w14:textId="77777777" w:rsidR="00F115BD" w:rsidRDefault="00F115BD" w:rsidP="008245B0">
      <w:pPr>
        <w:widowControl w:val="0"/>
        <w:spacing w:after="60"/>
        <w:ind w:left="284" w:hanging="284"/>
        <w:rPr>
          <w:rStyle w:val="listnumber"/>
          <w:rFonts w:ascii="Arial" w:hAnsi="Arial" w:cs="Arial"/>
          <w:b/>
          <w:bCs/>
          <w:color w:val="000000"/>
        </w:rPr>
      </w:pPr>
    </w:p>
    <w:p w14:paraId="5215A643" w14:textId="222EE72E" w:rsidR="008245B0" w:rsidRPr="00247B34" w:rsidRDefault="008245B0" w:rsidP="008245B0">
      <w:pPr>
        <w:widowControl w:val="0"/>
        <w:spacing w:after="60"/>
        <w:ind w:left="284" w:hanging="284"/>
        <w:rPr>
          <w:rStyle w:val="listnumber"/>
          <w:rFonts w:ascii="Arial" w:hAnsi="Arial" w:cs="Arial"/>
          <w:b/>
          <w:bCs/>
          <w:color w:val="000000"/>
        </w:rPr>
      </w:pPr>
      <w:r w:rsidRPr="00247B34">
        <w:rPr>
          <w:rStyle w:val="listnumber"/>
          <w:rFonts w:ascii="Arial" w:hAnsi="Arial" w:cs="Arial"/>
          <w:b/>
          <w:bCs/>
          <w:color w:val="000000"/>
        </w:rPr>
        <w:t>Notice of decision</w:t>
      </w:r>
      <w:r w:rsidR="007F1828">
        <w:rPr>
          <w:rStyle w:val="listnumber"/>
          <w:rFonts w:ascii="Arial" w:hAnsi="Arial" w:cs="Arial"/>
          <w:b/>
          <w:bCs/>
          <w:color w:val="000000"/>
        </w:rPr>
        <w:t xml:space="preserve"> </w:t>
      </w:r>
      <w:r w:rsidRPr="00247B34">
        <w:rPr>
          <w:rStyle w:val="listnumber"/>
          <w:rFonts w:ascii="Arial" w:hAnsi="Arial" w:cs="Arial"/>
          <w:b/>
          <w:bCs/>
          <w:color w:val="000000"/>
        </w:rPr>
        <w:t>–</w:t>
      </w:r>
      <w:r w:rsidR="007F1828">
        <w:rPr>
          <w:rStyle w:val="listnumber"/>
          <w:rFonts w:ascii="Arial" w:hAnsi="Arial" w:cs="Arial"/>
          <w:b/>
          <w:bCs/>
          <w:color w:val="000000"/>
        </w:rPr>
        <w:t xml:space="preserve"> </w:t>
      </w:r>
      <w:r w:rsidRPr="00247B34">
        <w:rPr>
          <w:rStyle w:val="listnumber"/>
          <w:rFonts w:ascii="Arial" w:hAnsi="Arial" w:cs="Arial"/>
          <w:b/>
          <w:bCs/>
          <w:color w:val="000000"/>
        </w:rPr>
        <w:t xml:space="preserve">section </w:t>
      </w:r>
      <w:r w:rsidR="005D07EC" w:rsidRPr="00247B34">
        <w:rPr>
          <w:rStyle w:val="listnumber"/>
          <w:rFonts w:ascii="Arial" w:hAnsi="Arial" w:cs="Arial"/>
          <w:b/>
          <w:bCs/>
          <w:color w:val="000000"/>
        </w:rPr>
        <w:t>120(5)</w:t>
      </w:r>
    </w:p>
    <w:p w14:paraId="23984BA8" w14:textId="156D53E6" w:rsidR="008245B0" w:rsidRPr="00247B34" w:rsidRDefault="008245B0" w:rsidP="008245B0">
      <w:pPr>
        <w:widowControl w:val="0"/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 xml:space="preserve">If the </w:t>
      </w:r>
      <w:r w:rsidR="005D07EC" w:rsidRPr="00247B34">
        <w:rPr>
          <w:rStyle w:val="listnumber"/>
          <w:rFonts w:ascii="Arial" w:hAnsi="Arial" w:cs="Arial"/>
          <w:color w:val="000000"/>
        </w:rPr>
        <w:t>public sector entity</w:t>
      </w:r>
      <w:r w:rsidRPr="00247B34">
        <w:rPr>
          <w:rStyle w:val="listnumber"/>
          <w:rFonts w:ascii="Arial" w:hAnsi="Arial" w:cs="Arial"/>
          <w:color w:val="000000"/>
        </w:rPr>
        <w:t>’s chief executive decides to refuse the request, the chief executive must give the employee a notice stating</w:t>
      </w:r>
      <w:r w:rsidR="00DD3289" w:rsidRPr="00247B34">
        <w:rPr>
          <w:rStyle w:val="listnumber"/>
          <w:rFonts w:ascii="Arial" w:hAnsi="Arial" w:cs="Arial"/>
          <w:color w:val="000000"/>
        </w:rPr>
        <w:t>—</w:t>
      </w:r>
    </w:p>
    <w:p w14:paraId="249B346A" w14:textId="3007EC2F" w:rsidR="008245B0" w:rsidRPr="00247B34" w:rsidRDefault="008245B0" w:rsidP="00332213">
      <w:pPr>
        <w:pStyle w:val="ListParagraph"/>
        <w:widowControl w:val="0"/>
        <w:numPr>
          <w:ilvl w:val="0"/>
          <w:numId w:val="7"/>
        </w:numPr>
        <w:shd w:val="clear" w:color="auto" w:fill="FFFFFF"/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>reasons for the decision</w:t>
      </w:r>
    </w:p>
    <w:p w14:paraId="71368BD0" w14:textId="069F5ABD" w:rsidR="008245B0" w:rsidRPr="00247B34" w:rsidRDefault="008245B0" w:rsidP="00332213">
      <w:pPr>
        <w:pStyle w:val="ListParagraph"/>
        <w:widowControl w:val="0"/>
        <w:numPr>
          <w:ilvl w:val="0"/>
          <w:numId w:val="7"/>
        </w:numPr>
        <w:shd w:val="clear" w:color="auto" w:fill="FFFFFF"/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>the total continuous period for which the person has been acting at</w:t>
      </w:r>
      <w:r w:rsidR="005D07EC" w:rsidRPr="00247B34">
        <w:rPr>
          <w:rStyle w:val="listnumber"/>
          <w:rFonts w:ascii="Arial" w:hAnsi="Arial" w:cs="Arial"/>
          <w:color w:val="000000"/>
        </w:rPr>
        <w:t>, or seconded to,</w:t>
      </w:r>
      <w:r w:rsidRPr="00247B34">
        <w:rPr>
          <w:rStyle w:val="listnumber"/>
          <w:rFonts w:ascii="Arial" w:hAnsi="Arial" w:cs="Arial"/>
          <w:color w:val="000000"/>
        </w:rPr>
        <w:t xml:space="preserve"> the higher classification level in the </w:t>
      </w:r>
      <w:r w:rsidR="005D07EC" w:rsidRPr="00247B34">
        <w:rPr>
          <w:rStyle w:val="listnumber"/>
          <w:rFonts w:ascii="Arial" w:hAnsi="Arial" w:cs="Arial"/>
          <w:color w:val="000000"/>
        </w:rPr>
        <w:t>public sector entity</w:t>
      </w:r>
    </w:p>
    <w:p w14:paraId="549EAB70" w14:textId="0E3EEA76" w:rsidR="008245B0" w:rsidRPr="00247B34" w:rsidRDefault="008245B0" w:rsidP="00332213">
      <w:pPr>
        <w:pStyle w:val="ListParagraph"/>
        <w:widowControl w:val="0"/>
        <w:numPr>
          <w:ilvl w:val="0"/>
          <w:numId w:val="7"/>
        </w:numPr>
        <w:shd w:val="clear" w:color="auto" w:fill="FFFFFF"/>
        <w:spacing w:after="60"/>
        <w:rPr>
          <w:rStyle w:val="listnumber"/>
          <w:rFonts w:ascii="Arial" w:hAnsi="Arial" w:cs="Arial"/>
          <w:color w:val="000000"/>
        </w:rPr>
      </w:pPr>
      <w:r w:rsidRPr="00247B34">
        <w:rPr>
          <w:rStyle w:val="listnumber"/>
          <w:rFonts w:ascii="Arial" w:hAnsi="Arial" w:cs="Arial"/>
          <w:color w:val="000000"/>
        </w:rPr>
        <w:t xml:space="preserve">how many times the person’s </w:t>
      </w:r>
      <w:r w:rsidR="005D07EC" w:rsidRPr="00247B34">
        <w:rPr>
          <w:rStyle w:val="listnumber"/>
          <w:rFonts w:ascii="Arial" w:hAnsi="Arial" w:cs="Arial"/>
          <w:color w:val="000000"/>
        </w:rPr>
        <w:t xml:space="preserve">acting arrangement or secondment </w:t>
      </w:r>
      <w:r w:rsidRPr="00247B34">
        <w:rPr>
          <w:rStyle w:val="listnumber"/>
          <w:rFonts w:ascii="Arial" w:hAnsi="Arial" w:cs="Arial"/>
          <w:color w:val="000000"/>
        </w:rPr>
        <w:t>has been extended</w:t>
      </w:r>
    </w:p>
    <w:p w14:paraId="2B15277A" w14:textId="428C7131" w:rsidR="00E80A48" w:rsidRPr="00247B34" w:rsidRDefault="008245B0" w:rsidP="00332213">
      <w:pPr>
        <w:pStyle w:val="ListParagraph"/>
        <w:numPr>
          <w:ilvl w:val="0"/>
          <w:numId w:val="7"/>
        </w:numPr>
        <w:rPr>
          <w:rStyle w:val="listnumber"/>
          <w:rFonts w:ascii="Arial" w:hAnsi="Arial" w:cs="Arial"/>
          <w:color w:val="000000"/>
        </w:rPr>
      </w:pPr>
      <w:r w:rsidRPr="00353A5D">
        <w:rPr>
          <w:rStyle w:val="listnumber"/>
          <w:rFonts w:ascii="Arial" w:hAnsi="Arial" w:cs="Arial"/>
          <w:color w:val="000000"/>
        </w:rPr>
        <w:t>each decision previously made, or taken to have been made, under this section in relation to the person during the person’s continuous period of</w:t>
      </w:r>
      <w:r w:rsidR="005D07EC" w:rsidRPr="00353A5D">
        <w:rPr>
          <w:rStyle w:val="listnumber"/>
          <w:rFonts w:ascii="Arial" w:hAnsi="Arial" w:cs="Arial"/>
          <w:color w:val="000000"/>
        </w:rPr>
        <w:t xml:space="preserve"> acting at, or secondment to, </w:t>
      </w:r>
      <w:r w:rsidRPr="00353A5D">
        <w:rPr>
          <w:rStyle w:val="listnumber"/>
          <w:rFonts w:ascii="Arial" w:hAnsi="Arial" w:cs="Arial"/>
          <w:color w:val="000000"/>
        </w:rPr>
        <w:t>the higher classification level.</w:t>
      </w:r>
    </w:p>
    <w:p w14:paraId="587E928A" w14:textId="77777777" w:rsidR="00F115BD" w:rsidRDefault="00F115BD" w:rsidP="00E80A48">
      <w:pPr>
        <w:widowControl w:val="0"/>
        <w:spacing w:after="60"/>
        <w:ind w:left="284" w:hanging="284"/>
        <w:rPr>
          <w:rStyle w:val="headingname"/>
          <w:rFonts w:ascii="Arial" w:hAnsi="Arial" w:cs="Arial"/>
          <w:b/>
          <w:bCs/>
          <w:color w:val="000000"/>
        </w:rPr>
      </w:pPr>
      <w:bookmarkStart w:id="1" w:name="sec.149C-ssec.8-def.continuousperiod"/>
      <w:bookmarkEnd w:id="1"/>
    </w:p>
    <w:p w14:paraId="1B4EC256" w14:textId="2F61DD96" w:rsidR="00E80A48" w:rsidRDefault="00E80A48" w:rsidP="00E80A48">
      <w:pPr>
        <w:widowControl w:val="0"/>
        <w:spacing w:after="60"/>
        <w:ind w:left="284" w:hanging="284"/>
        <w:rPr>
          <w:rStyle w:val="headingname"/>
          <w:rFonts w:ascii="Arial" w:hAnsi="Arial" w:cs="Arial"/>
          <w:b/>
          <w:bCs/>
          <w:color w:val="000000"/>
        </w:rPr>
      </w:pPr>
      <w:r w:rsidRPr="00332213">
        <w:rPr>
          <w:rStyle w:val="headingname"/>
          <w:rFonts w:ascii="Arial" w:hAnsi="Arial" w:cs="Arial"/>
          <w:b/>
          <w:bCs/>
          <w:color w:val="000000"/>
        </w:rPr>
        <w:t>Employee’s right to make additional request for review</w:t>
      </w:r>
      <w:r>
        <w:rPr>
          <w:rStyle w:val="headingname"/>
          <w:rFonts w:ascii="Arial" w:hAnsi="Arial" w:cs="Arial"/>
          <w:b/>
          <w:bCs/>
          <w:color w:val="000000"/>
        </w:rPr>
        <w:t xml:space="preserve"> – section 121</w:t>
      </w:r>
    </w:p>
    <w:p w14:paraId="581C3A9D" w14:textId="200A9F3A" w:rsidR="00BD0B54" w:rsidRDefault="00AE3EE7" w:rsidP="00BD0B54">
      <w:pPr>
        <w:widowControl w:val="0"/>
        <w:spacing w:after="60"/>
        <w:ind w:left="284" w:hanging="284"/>
        <w:rPr>
          <w:lang w:val="en-GB"/>
        </w:rPr>
      </w:pPr>
      <w:r>
        <w:rPr>
          <w:rStyle w:val="headingname"/>
          <w:rFonts w:ascii="Arial" w:hAnsi="Arial" w:cs="Arial"/>
          <w:bCs/>
          <w:color w:val="000000"/>
        </w:rPr>
        <w:t>Section 121 of the Act applies to a</w:t>
      </w:r>
      <w:r w:rsidR="00E80A48">
        <w:rPr>
          <w:rStyle w:val="headingname"/>
          <w:rFonts w:ascii="Arial" w:hAnsi="Arial" w:cs="Arial"/>
          <w:bCs/>
          <w:color w:val="000000"/>
        </w:rPr>
        <w:t xml:space="preserve"> public sector employee </w:t>
      </w:r>
      <w:r w:rsidR="00E80A48" w:rsidRPr="00332213">
        <w:rPr>
          <w:rFonts w:ascii="Arial" w:hAnsi="Arial" w:cs="Arial"/>
          <w:color w:val="000000"/>
        </w:rPr>
        <w:t>mentioned in </w:t>
      </w:r>
      <w:hyperlink r:id="rId20" w:anchor="sec.120" w:history="1">
        <w:r w:rsidR="00E80A48" w:rsidRPr="00332213">
          <w:rPr>
            <w:rStyle w:val="Hyperlink"/>
            <w:rFonts w:ascii="Arial" w:hAnsi="Arial" w:cs="Arial"/>
            <w:color w:val="0066CC"/>
          </w:rPr>
          <w:t>section 120</w:t>
        </w:r>
      </w:hyperlink>
      <w:r w:rsidR="00E80A48" w:rsidRPr="00332213">
        <w:rPr>
          <w:rFonts w:ascii="Arial" w:hAnsi="Arial" w:cs="Arial"/>
          <w:color w:val="000000"/>
        </w:rPr>
        <w:t>(1) if</w:t>
      </w:r>
      <w:r w:rsidR="00731E03" w:rsidRPr="00247B34">
        <w:rPr>
          <w:rStyle w:val="listnumber"/>
          <w:rFonts w:ascii="Arial" w:hAnsi="Arial" w:cs="Arial"/>
          <w:color w:val="000000"/>
        </w:rPr>
        <w:t>—</w:t>
      </w:r>
    </w:p>
    <w:p w14:paraId="4B5C6C64" w14:textId="274E6BCC" w:rsidR="00E80A48" w:rsidRPr="00332213" w:rsidRDefault="00E80A48" w:rsidP="00332213">
      <w:pPr>
        <w:pStyle w:val="ListParagraph"/>
        <w:widowControl w:val="0"/>
        <w:numPr>
          <w:ilvl w:val="0"/>
          <w:numId w:val="8"/>
        </w:numPr>
        <w:shd w:val="clear" w:color="auto" w:fill="FFFFFF"/>
        <w:spacing w:after="60"/>
        <w:rPr>
          <w:rFonts w:ascii="Arial" w:hAnsi="Arial" w:cs="Arial"/>
          <w:color w:val="000000"/>
        </w:rPr>
      </w:pPr>
      <w:r w:rsidRPr="00332213">
        <w:rPr>
          <w:rFonts w:ascii="Arial" w:hAnsi="Arial" w:cs="Arial"/>
          <w:color w:val="000000"/>
        </w:rPr>
        <w:lastRenderedPageBreak/>
        <w:t>the employee’s chief executive has decided under </w:t>
      </w:r>
      <w:hyperlink r:id="rId21" w:anchor="sec.120" w:history="1">
        <w:r w:rsidRPr="00332213">
          <w:rPr>
            <w:rStyle w:val="Hyperlink"/>
            <w:rFonts w:ascii="Arial" w:hAnsi="Arial" w:cs="Arial"/>
            <w:color w:val="0066CC"/>
          </w:rPr>
          <w:t>section 120</w:t>
        </w:r>
      </w:hyperlink>
      <w:r w:rsidRPr="00332213">
        <w:rPr>
          <w:rFonts w:ascii="Arial" w:hAnsi="Arial" w:cs="Arial"/>
          <w:color w:val="000000"/>
        </w:rPr>
        <w:t> not to employ the employee in the position at the higher classification level on a permanent basis because the chief executive considered the employee was not suitable to perform the role</w:t>
      </w:r>
      <w:r w:rsidR="00BD0B54" w:rsidRPr="00BD0B54">
        <w:rPr>
          <w:rFonts w:ascii="Arial" w:hAnsi="Arial" w:cs="Arial"/>
          <w:color w:val="000000"/>
        </w:rPr>
        <w:t xml:space="preserve"> and</w:t>
      </w:r>
      <w:r w:rsidR="00BD0B54">
        <w:rPr>
          <w:rFonts w:ascii="Arial" w:hAnsi="Arial" w:cs="Arial"/>
          <w:color w:val="000000"/>
        </w:rPr>
        <w:t xml:space="preserve"> </w:t>
      </w:r>
      <w:r w:rsidRPr="00332213">
        <w:rPr>
          <w:rFonts w:ascii="Arial" w:hAnsi="Arial" w:cs="Arial"/>
          <w:color w:val="000000"/>
        </w:rPr>
        <w:t>the employee considers the employee may have become suitable to perform the role;</w:t>
      </w:r>
      <w:r w:rsidR="00BD0B54">
        <w:rPr>
          <w:rFonts w:ascii="Arial" w:hAnsi="Arial" w:cs="Arial"/>
          <w:color w:val="000000"/>
        </w:rPr>
        <w:t xml:space="preserve"> </w:t>
      </w:r>
      <w:r w:rsidRPr="00332213">
        <w:rPr>
          <w:rFonts w:ascii="Arial" w:hAnsi="Arial" w:cs="Arial"/>
          <w:color w:val="000000"/>
        </w:rPr>
        <w:t>or</w:t>
      </w:r>
    </w:p>
    <w:p w14:paraId="50604075" w14:textId="57B12CB6" w:rsidR="00E80A48" w:rsidRDefault="00E80A48" w:rsidP="00332213">
      <w:pPr>
        <w:pStyle w:val="ListParagraph"/>
        <w:widowControl w:val="0"/>
        <w:numPr>
          <w:ilvl w:val="0"/>
          <w:numId w:val="8"/>
        </w:numPr>
        <w:shd w:val="clear" w:color="auto" w:fill="FFFFFF"/>
        <w:spacing w:after="60"/>
        <w:rPr>
          <w:rFonts w:ascii="Arial" w:hAnsi="Arial" w:cs="Arial"/>
          <w:color w:val="000000"/>
        </w:rPr>
      </w:pPr>
      <w:r w:rsidRPr="00332213">
        <w:rPr>
          <w:rFonts w:ascii="Arial" w:hAnsi="Arial" w:cs="Arial"/>
          <w:color w:val="000000"/>
        </w:rPr>
        <w:t>the employee’s chief executive is taken, under </w:t>
      </w:r>
      <w:hyperlink r:id="rId22" w:anchor="sec.120" w:history="1">
        <w:r w:rsidRPr="00332213">
          <w:rPr>
            <w:rStyle w:val="Hyperlink"/>
            <w:rFonts w:ascii="Arial" w:hAnsi="Arial" w:cs="Arial"/>
            <w:color w:val="0066CC"/>
          </w:rPr>
          <w:t>section 120</w:t>
        </w:r>
      </w:hyperlink>
      <w:r w:rsidRPr="00332213">
        <w:rPr>
          <w:rFonts w:ascii="Arial" w:hAnsi="Arial" w:cs="Arial"/>
          <w:color w:val="000000"/>
        </w:rPr>
        <w:t>(6), to have refused the employee’s request to be employed in the position at the higher classification level on a permanent basis</w:t>
      </w:r>
      <w:r w:rsidR="00BD0B54" w:rsidRPr="00BD0B54">
        <w:rPr>
          <w:rFonts w:ascii="Arial" w:hAnsi="Arial" w:cs="Arial"/>
          <w:color w:val="000000"/>
        </w:rPr>
        <w:t xml:space="preserve"> (a deemed decision) and </w:t>
      </w:r>
      <w:r w:rsidRPr="00332213">
        <w:rPr>
          <w:rFonts w:ascii="Arial" w:hAnsi="Arial" w:cs="Arial"/>
          <w:color w:val="000000"/>
        </w:rPr>
        <w:t>the employee has not appealed against the decision under </w:t>
      </w:r>
      <w:hyperlink r:id="rId23" w:anchor="sec.130" w:history="1">
        <w:r w:rsidRPr="00332213">
          <w:rPr>
            <w:rStyle w:val="Hyperlink"/>
            <w:rFonts w:ascii="Arial" w:hAnsi="Arial" w:cs="Arial"/>
            <w:color w:val="0066CC"/>
          </w:rPr>
          <w:t>section 130</w:t>
        </w:r>
      </w:hyperlink>
      <w:r w:rsidRPr="00332213">
        <w:rPr>
          <w:rFonts w:ascii="Arial" w:hAnsi="Arial" w:cs="Arial"/>
          <w:color w:val="000000"/>
        </w:rPr>
        <w:t>; or</w:t>
      </w:r>
    </w:p>
    <w:p w14:paraId="1795996E" w14:textId="5691719C" w:rsidR="00E80A48" w:rsidRDefault="00E80A48" w:rsidP="00332213">
      <w:pPr>
        <w:pStyle w:val="ListParagraph"/>
        <w:widowControl w:val="0"/>
        <w:numPr>
          <w:ilvl w:val="0"/>
          <w:numId w:val="8"/>
        </w:numPr>
        <w:shd w:val="clear" w:color="auto" w:fill="FFFFFF"/>
        <w:spacing w:after="60"/>
        <w:rPr>
          <w:rFonts w:ascii="Arial" w:hAnsi="Arial" w:cs="Arial"/>
          <w:color w:val="000000"/>
        </w:rPr>
      </w:pPr>
      <w:r w:rsidRPr="00332213">
        <w:rPr>
          <w:rFonts w:ascii="Arial" w:hAnsi="Arial" w:cs="Arial"/>
          <w:color w:val="000000"/>
        </w:rPr>
        <w:t>the position in which the employee is acting, or to which the employee is seconded, at the higher classification level becomes vacant.</w:t>
      </w:r>
    </w:p>
    <w:p w14:paraId="28EBF8D2" w14:textId="765250F0" w:rsidR="00932E9A" w:rsidRDefault="00BD0B54" w:rsidP="001C6191">
      <w:pPr>
        <w:widowControl w:val="0"/>
        <w:shd w:val="clear" w:color="auto" w:fill="FFFFFF"/>
        <w:spacing w:before="240" w:after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Such additional requests for review must take place within </w:t>
      </w:r>
      <w:r w:rsidR="008B3887">
        <w:rPr>
          <w:rFonts w:ascii="Arial" w:hAnsi="Arial" w:cs="Arial"/>
          <w:color w:val="000000"/>
        </w:rPr>
        <w:t>three</w:t>
      </w:r>
      <w:r>
        <w:rPr>
          <w:rFonts w:ascii="Arial" w:hAnsi="Arial" w:cs="Arial"/>
          <w:color w:val="000000"/>
        </w:rPr>
        <w:t xml:space="preserve"> months </w:t>
      </w:r>
      <w:r w:rsidR="00932E9A">
        <w:rPr>
          <w:rFonts w:ascii="Arial" w:hAnsi="Arial" w:cs="Arial"/>
          <w:color w:val="000000"/>
        </w:rPr>
        <w:t>after the review right is enlivened and t</w:t>
      </w:r>
      <w:r w:rsidR="00E80A48" w:rsidRPr="00332213">
        <w:rPr>
          <w:rFonts w:ascii="Arial" w:hAnsi="Arial" w:cs="Arial"/>
          <w:color w:val="000000"/>
        </w:rPr>
        <w:t>he employee’s chief executive must decide the request within 28 days after receiving the request.</w:t>
      </w:r>
    </w:p>
    <w:p w14:paraId="49894BD3" w14:textId="56159387" w:rsidR="00E80A48" w:rsidRPr="00332213" w:rsidRDefault="00E80A48" w:rsidP="00332213">
      <w:pPr>
        <w:shd w:val="clear" w:color="auto" w:fill="FFFFFF"/>
        <w:rPr>
          <w:rFonts w:ascii="Arial" w:hAnsi="Arial" w:cs="Arial"/>
          <w:color w:val="000000"/>
        </w:rPr>
      </w:pPr>
      <w:r w:rsidRPr="00332213">
        <w:rPr>
          <w:rFonts w:ascii="Arial" w:hAnsi="Arial" w:cs="Arial"/>
          <w:color w:val="000000"/>
        </w:rPr>
        <w:t>If the employee’s chief executive does not make the decision within the period required under subsection (4), the chief executive is taken to have refused the request.</w:t>
      </w:r>
    </w:p>
    <w:p w14:paraId="564DF69D" w14:textId="43EA9BDF" w:rsidR="008245B0" w:rsidRPr="00332213" w:rsidRDefault="00E80A48" w:rsidP="00332213">
      <w:pPr>
        <w:shd w:val="clear" w:color="auto" w:fill="FFFFFF"/>
        <w:rPr>
          <w:rFonts w:ascii="Arial" w:hAnsi="Arial" w:cs="Arial"/>
          <w:color w:val="000000"/>
        </w:rPr>
      </w:pPr>
      <w:r w:rsidRPr="00332213">
        <w:rPr>
          <w:rFonts w:ascii="Arial" w:hAnsi="Arial" w:cs="Arial"/>
          <w:color w:val="000000"/>
        </w:rPr>
        <w:t xml:space="preserve">The employee may make only </w:t>
      </w:r>
      <w:r w:rsidR="008B3887">
        <w:rPr>
          <w:rFonts w:ascii="Arial" w:hAnsi="Arial" w:cs="Arial"/>
          <w:color w:val="000000"/>
        </w:rPr>
        <w:t>one</w:t>
      </w:r>
      <w:r w:rsidRPr="00332213">
        <w:rPr>
          <w:rFonts w:ascii="Arial" w:hAnsi="Arial" w:cs="Arial"/>
          <w:color w:val="000000"/>
        </w:rPr>
        <w:t xml:space="preserve"> request under this section in relation to each separate decision made, or taken to have been made, under </w:t>
      </w:r>
      <w:hyperlink r:id="rId24" w:anchor="sec.120" w:history="1">
        <w:r w:rsidRPr="00332213">
          <w:rPr>
            <w:rStyle w:val="Hyperlink"/>
            <w:rFonts w:ascii="Arial" w:hAnsi="Arial" w:cs="Arial"/>
            <w:color w:val="0066CC"/>
          </w:rPr>
          <w:t>section 120</w:t>
        </w:r>
      </w:hyperlink>
      <w:r w:rsidRPr="00332213">
        <w:rPr>
          <w:rFonts w:ascii="Arial" w:hAnsi="Arial" w:cs="Arial"/>
          <w:color w:val="000000"/>
        </w:rPr>
        <w:t>.</w:t>
      </w:r>
    </w:p>
    <w:p w14:paraId="4F35455B" w14:textId="77777777" w:rsidR="00F115BD" w:rsidRDefault="00F115BD" w:rsidP="004D62F2">
      <w:pPr>
        <w:widowControl w:val="0"/>
        <w:spacing w:after="60"/>
        <w:rPr>
          <w:rFonts w:ascii="Arial" w:hAnsi="Arial" w:cs="Arial"/>
          <w:b/>
        </w:rPr>
      </w:pPr>
    </w:p>
    <w:p w14:paraId="363B56AF" w14:textId="0AC8AA2D" w:rsidR="004D62F2" w:rsidRPr="00332213" w:rsidRDefault="004D62F2" w:rsidP="004D62F2">
      <w:pPr>
        <w:widowControl w:val="0"/>
        <w:spacing w:after="60"/>
        <w:rPr>
          <w:rFonts w:ascii="Arial" w:hAnsi="Arial" w:cs="Arial"/>
          <w:b/>
        </w:rPr>
      </w:pPr>
      <w:r w:rsidRPr="00332213">
        <w:rPr>
          <w:rFonts w:ascii="Arial" w:hAnsi="Arial" w:cs="Arial"/>
          <w:b/>
        </w:rPr>
        <w:t>Appeal rights – section 131(1)(a)</w:t>
      </w:r>
      <w:r w:rsidR="00BD7C7A">
        <w:rPr>
          <w:rFonts w:ascii="Arial" w:hAnsi="Arial" w:cs="Arial"/>
          <w:b/>
        </w:rPr>
        <w:t xml:space="preserve">, </w:t>
      </w:r>
      <w:r w:rsidR="004E3575">
        <w:rPr>
          <w:rFonts w:ascii="Arial" w:hAnsi="Arial" w:cs="Arial"/>
          <w:b/>
        </w:rPr>
        <w:t>132(1)(k)</w:t>
      </w:r>
      <w:r w:rsidR="00237F83">
        <w:rPr>
          <w:rFonts w:ascii="Arial" w:hAnsi="Arial" w:cs="Arial"/>
          <w:b/>
        </w:rPr>
        <w:t xml:space="preserve"> and 133(a)</w:t>
      </w:r>
    </w:p>
    <w:p w14:paraId="1D794E0B" w14:textId="77777777" w:rsidR="004D62F2" w:rsidRPr="00332213" w:rsidRDefault="004D62F2" w:rsidP="004D62F2">
      <w:pPr>
        <w:widowControl w:val="0"/>
        <w:spacing w:after="60"/>
        <w:rPr>
          <w:rFonts w:ascii="Arial" w:hAnsi="Arial" w:cs="Arial"/>
        </w:rPr>
      </w:pPr>
      <w:r w:rsidRPr="00332213">
        <w:rPr>
          <w:rFonts w:ascii="Arial" w:hAnsi="Arial" w:cs="Arial"/>
        </w:rPr>
        <w:t>A public sector employee not permanently employed in the position at the higher classification level following a review after acting at, or being seconded to, the higher classification level for a continuous period of at least two years may appeal the decision not to permanently employ at the higher level. There is no appeal of a one-year review decision not to permanently employ at the higher level.</w:t>
      </w:r>
    </w:p>
    <w:p w14:paraId="51B3C700" w14:textId="77777777" w:rsidR="004D62F2" w:rsidRPr="00332213" w:rsidRDefault="004D62F2" w:rsidP="001C6191">
      <w:pPr>
        <w:widowControl w:val="0"/>
        <w:spacing w:after="0"/>
        <w:rPr>
          <w:rFonts w:ascii="Arial" w:hAnsi="Arial" w:cs="Arial"/>
        </w:rPr>
      </w:pPr>
    </w:p>
    <w:p w14:paraId="0E3E338C" w14:textId="38DF0B17" w:rsidR="008245B0" w:rsidRPr="00247B34" w:rsidRDefault="008245B0" w:rsidP="008245B0">
      <w:pPr>
        <w:widowControl w:val="0"/>
        <w:spacing w:after="60"/>
        <w:rPr>
          <w:rFonts w:ascii="Arial" w:hAnsi="Arial" w:cs="Arial"/>
        </w:rPr>
      </w:pPr>
      <w:r w:rsidRPr="00247B34">
        <w:rPr>
          <w:rFonts w:ascii="Arial" w:hAnsi="Arial" w:cs="Arial"/>
        </w:rPr>
        <w:t xml:space="preserve">There are procedural requirements, including time limits, under the </w:t>
      </w:r>
      <w:hyperlink r:id="rId25" w:history="1">
        <w:r w:rsidRPr="00F848ED">
          <w:rPr>
            <w:rStyle w:val="Hyperlink"/>
            <w:rFonts w:ascii="Arial" w:hAnsi="Arial" w:cs="Arial"/>
            <w:i/>
          </w:rPr>
          <w:t>Industrial Relations Act 2016</w:t>
        </w:r>
      </w:hyperlink>
      <w:r w:rsidRPr="00247B34">
        <w:rPr>
          <w:rFonts w:ascii="Arial" w:hAnsi="Arial" w:cs="Arial"/>
          <w:i/>
        </w:rPr>
        <w:t xml:space="preserve"> </w:t>
      </w:r>
      <w:r w:rsidRPr="00247B34">
        <w:rPr>
          <w:rFonts w:ascii="Arial" w:hAnsi="Arial" w:cs="Arial"/>
        </w:rPr>
        <w:t xml:space="preserve">that must </w:t>
      </w:r>
      <w:r w:rsidR="0040547B">
        <w:rPr>
          <w:rFonts w:ascii="Arial" w:hAnsi="Arial" w:cs="Arial"/>
        </w:rPr>
        <w:t xml:space="preserve">be </w:t>
      </w:r>
      <w:r w:rsidRPr="00247B34">
        <w:rPr>
          <w:rFonts w:ascii="Arial" w:hAnsi="Arial" w:cs="Arial"/>
        </w:rPr>
        <w:t>fulfil</w:t>
      </w:r>
      <w:r w:rsidR="0040547B">
        <w:rPr>
          <w:rFonts w:ascii="Arial" w:hAnsi="Arial" w:cs="Arial"/>
        </w:rPr>
        <w:t>led</w:t>
      </w:r>
      <w:r w:rsidRPr="00247B34">
        <w:rPr>
          <w:rFonts w:ascii="Arial" w:hAnsi="Arial" w:cs="Arial"/>
        </w:rPr>
        <w:t xml:space="preserve"> in order to appeal this decision.</w:t>
      </w:r>
      <w:r w:rsidRPr="00247B34">
        <w:rPr>
          <w:rFonts w:ascii="Arial" w:hAnsi="Arial" w:cs="Arial"/>
          <w:i/>
        </w:rPr>
        <w:t xml:space="preserve"> </w:t>
      </w:r>
      <w:r w:rsidR="005D07EC" w:rsidRPr="00247B34">
        <w:rPr>
          <w:rFonts w:ascii="Arial" w:hAnsi="Arial" w:cs="Arial"/>
        </w:rPr>
        <w:t xml:space="preserve">Refer to the </w:t>
      </w:r>
      <w:hyperlink r:id="rId26" w:history="1">
        <w:r w:rsidR="005D07EC" w:rsidRPr="00141048">
          <w:rPr>
            <w:rStyle w:val="Hyperlink"/>
            <w:rFonts w:ascii="Arial" w:hAnsi="Arial" w:cs="Arial"/>
          </w:rPr>
          <w:t>Appeals directive 04/23</w:t>
        </w:r>
      </w:hyperlink>
      <w:r w:rsidR="004E1536">
        <w:rPr>
          <w:rFonts w:ascii="Arial" w:hAnsi="Arial" w:cs="Arial"/>
        </w:rPr>
        <w:t xml:space="preserve"> for further information. </w:t>
      </w:r>
      <w:r w:rsidR="00B912FB">
        <w:rPr>
          <w:rFonts w:ascii="Arial" w:hAnsi="Arial" w:cs="Arial"/>
        </w:rPr>
        <w:t xml:space="preserve">The Queensland Industrial Relations Commission </w:t>
      </w:r>
      <w:r w:rsidR="002E1A3D">
        <w:rPr>
          <w:rFonts w:ascii="Arial" w:hAnsi="Arial" w:cs="Arial"/>
        </w:rPr>
        <w:t xml:space="preserve">Industrial </w:t>
      </w:r>
      <w:r w:rsidR="00B912FB">
        <w:rPr>
          <w:rFonts w:ascii="Arial" w:hAnsi="Arial" w:cs="Arial"/>
        </w:rPr>
        <w:t xml:space="preserve">Registry </w:t>
      </w:r>
      <w:r w:rsidR="00B912FB" w:rsidRPr="00332213">
        <w:rPr>
          <w:rFonts w:ascii="Arial" w:hAnsi="Arial" w:cs="Arial"/>
        </w:rPr>
        <w:t>can provide further information about public sector appeal procedures</w:t>
      </w:r>
      <w:r w:rsidR="0040547B">
        <w:rPr>
          <w:rFonts w:ascii="Arial" w:hAnsi="Arial" w:cs="Arial"/>
        </w:rPr>
        <w:softHyphen/>
      </w:r>
      <w:bookmarkStart w:id="2" w:name="_Hlk162438174"/>
      <w:r w:rsidR="0040547B" w:rsidRPr="00247B34">
        <w:rPr>
          <w:rStyle w:val="listnumber"/>
          <w:rFonts w:ascii="Arial" w:hAnsi="Arial" w:cs="Arial"/>
          <w:color w:val="000000"/>
        </w:rPr>
        <w:t>—</w:t>
      </w:r>
      <w:r w:rsidR="0040547B">
        <w:rPr>
          <w:rStyle w:val="listnumber"/>
          <w:rFonts w:ascii="Arial" w:hAnsi="Arial" w:cs="Arial"/>
          <w:color w:val="000000"/>
        </w:rPr>
        <w:t>v</w:t>
      </w:r>
      <w:bookmarkEnd w:id="2"/>
      <w:r w:rsidR="00B912FB" w:rsidRPr="00332213">
        <w:rPr>
          <w:rFonts w:ascii="Arial" w:hAnsi="Arial" w:cs="Arial"/>
        </w:rPr>
        <w:t xml:space="preserve">isit </w:t>
      </w:r>
      <w:hyperlink r:id="rId27" w:history="1">
        <w:r w:rsidR="00B912FB" w:rsidRPr="00332213">
          <w:rPr>
            <w:rStyle w:val="Hyperlink"/>
            <w:rFonts w:ascii="Arial" w:hAnsi="Arial" w:cs="Arial"/>
          </w:rPr>
          <w:t>www.qirc.qld.gov.au</w:t>
        </w:r>
      </w:hyperlink>
      <w:r w:rsidR="00B912FB" w:rsidRPr="00332213">
        <w:rPr>
          <w:rFonts w:ascii="Arial" w:hAnsi="Arial" w:cs="Arial"/>
        </w:rPr>
        <w:t xml:space="preserve"> or telephone 1300 592 987 or (07) 3227 8060.</w:t>
      </w:r>
    </w:p>
    <w:p w14:paraId="034C2B26" w14:textId="77777777" w:rsidR="008245B0" w:rsidRPr="00247B34" w:rsidRDefault="008245B0" w:rsidP="008245B0">
      <w:pPr>
        <w:pStyle w:val="Header"/>
        <w:tabs>
          <w:tab w:val="left" w:pos="720"/>
        </w:tabs>
        <w:rPr>
          <w:rFonts w:cs="Arial"/>
          <w:szCs w:val="22"/>
        </w:rPr>
      </w:pPr>
    </w:p>
    <w:p w14:paraId="1C200781" w14:textId="77777777" w:rsidR="008245B0" w:rsidRPr="00247B34" w:rsidRDefault="008245B0" w:rsidP="008245B0">
      <w:pPr>
        <w:widowControl w:val="0"/>
        <w:spacing w:after="60"/>
        <w:rPr>
          <w:rFonts w:ascii="Arial" w:hAnsi="Arial" w:cs="Arial"/>
          <w:b/>
          <w:bCs/>
        </w:rPr>
      </w:pPr>
      <w:r w:rsidRPr="00247B34">
        <w:rPr>
          <w:rFonts w:ascii="Arial" w:hAnsi="Arial" w:cs="Arial"/>
          <w:b/>
          <w:bCs/>
        </w:rPr>
        <w:t>Human rights</w:t>
      </w:r>
    </w:p>
    <w:p w14:paraId="2DACF1B5" w14:textId="49205FD4" w:rsidR="008245B0" w:rsidRPr="00247B34" w:rsidRDefault="008245B0" w:rsidP="008245B0">
      <w:pPr>
        <w:pStyle w:val="Header"/>
        <w:tabs>
          <w:tab w:val="left" w:pos="720"/>
        </w:tabs>
        <w:rPr>
          <w:rFonts w:cs="Arial"/>
          <w:szCs w:val="22"/>
        </w:rPr>
      </w:pPr>
      <w:r w:rsidRPr="00247B34">
        <w:rPr>
          <w:rFonts w:cs="Arial"/>
          <w:szCs w:val="22"/>
        </w:rPr>
        <w:t xml:space="preserve">Under the </w:t>
      </w:r>
      <w:hyperlink r:id="rId28" w:history="1">
        <w:r w:rsidRPr="00403F97">
          <w:rPr>
            <w:rStyle w:val="Hyperlink"/>
            <w:rFonts w:cs="Arial"/>
            <w:i/>
            <w:iCs/>
            <w:szCs w:val="22"/>
          </w:rPr>
          <w:t>Human Rights Act 2019</w:t>
        </w:r>
      </w:hyperlink>
      <w:r w:rsidRPr="00247B34">
        <w:rPr>
          <w:rFonts w:cs="Arial"/>
          <w:szCs w:val="22"/>
        </w:rPr>
        <w:t xml:space="preserve">, decision makers </w:t>
      </w:r>
      <w:r w:rsidR="00C55EA2">
        <w:rPr>
          <w:rFonts w:cs="Arial"/>
          <w:szCs w:val="22"/>
        </w:rPr>
        <w:t>must</w:t>
      </w:r>
      <w:r w:rsidRPr="00247B34">
        <w:rPr>
          <w:rFonts w:cs="Arial"/>
          <w:szCs w:val="22"/>
        </w:rPr>
        <w:t xml:space="preserve"> act and make decisions in a way that is compatible with human rights, and when making a decision under this directive, to give proper consideration to human rights.</w:t>
      </w:r>
      <w:r w:rsidR="005D07EC" w:rsidRPr="00247B34">
        <w:rPr>
          <w:rFonts w:cs="Arial"/>
          <w:szCs w:val="22"/>
        </w:rPr>
        <w:t xml:space="preserve"> </w:t>
      </w:r>
    </w:p>
    <w:p w14:paraId="5EC18205" w14:textId="77777777" w:rsidR="008245B0" w:rsidRPr="00247B34" w:rsidRDefault="008245B0" w:rsidP="008245B0">
      <w:pPr>
        <w:pStyle w:val="Header"/>
        <w:tabs>
          <w:tab w:val="left" w:pos="720"/>
        </w:tabs>
        <w:rPr>
          <w:rFonts w:cs="Arial"/>
          <w:szCs w:val="22"/>
        </w:rPr>
      </w:pPr>
    </w:p>
    <w:p w14:paraId="40A5EEC8" w14:textId="735C910E" w:rsidR="008245B0" w:rsidRPr="00247B34" w:rsidRDefault="008245B0" w:rsidP="008245B0">
      <w:pPr>
        <w:pStyle w:val="Header"/>
        <w:tabs>
          <w:tab w:val="left" w:pos="720"/>
        </w:tabs>
        <w:rPr>
          <w:rFonts w:cs="Arial"/>
          <w:szCs w:val="22"/>
        </w:rPr>
      </w:pPr>
      <w:r w:rsidRPr="00247B34">
        <w:rPr>
          <w:rFonts w:cs="Arial"/>
          <w:szCs w:val="22"/>
        </w:rPr>
        <w:t xml:space="preserve">If </w:t>
      </w:r>
      <w:r w:rsidR="00BD09A8">
        <w:rPr>
          <w:rFonts w:cs="Arial"/>
          <w:szCs w:val="22"/>
        </w:rPr>
        <w:t>an employee</w:t>
      </w:r>
      <w:r w:rsidRPr="00247B34">
        <w:rPr>
          <w:rFonts w:cs="Arial"/>
          <w:szCs w:val="22"/>
        </w:rPr>
        <w:t xml:space="preserve"> consider</w:t>
      </w:r>
      <w:r w:rsidR="00BD09A8">
        <w:rPr>
          <w:rFonts w:cs="Arial"/>
          <w:szCs w:val="22"/>
        </w:rPr>
        <w:t>s</w:t>
      </w:r>
      <w:r w:rsidRPr="00247B34">
        <w:rPr>
          <w:rFonts w:cs="Arial"/>
          <w:szCs w:val="22"/>
        </w:rPr>
        <w:t xml:space="preserve"> that a relevant human right has not been </w:t>
      </w:r>
      <w:r w:rsidR="001D1D8C" w:rsidRPr="00247B34">
        <w:rPr>
          <w:rFonts w:cs="Arial"/>
          <w:szCs w:val="22"/>
        </w:rPr>
        <w:t>considered</w:t>
      </w:r>
      <w:r w:rsidRPr="00247B34">
        <w:rPr>
          <w:rFonts w:cs="Arial"/>
          <w:szCs w:val="22"/>
        </w:rPr>
        <w:t xml:space="preserve"> in making this decision, </w:t>
      </w:r>
      <w:r w:rsidR="00BD09A8">
        <w:rPr>
          <w:rFonts w:cs="Arial"/>
          <w:szCs w:val="22"/>
        </w:rPr>
        <w:t>they</w:t>
      </w:r>
      <w:r w:rsidRPr="00247B34">
        <w:rPr>
          <w:rFonts w:cs="Arial"/>
          <w:szCs w:val="22"/>
        </w:rPr>
        <w:t xml:space="preserve"> may make a complaint using </w:t>
      </w:r>
      <w:r w:rsidR="00BD09A8">
        <w:rPr>
          <w:rFonts w:cs="Arial"/>
          <w:szCs w:val="22"/>
        </w:rPr>
        <w:t>thei</w:t>
      </w:r>
      <w:r w:rsidRPr="00247B34">
        <w:rPr>
          <w:rFonts w:cs="Arial"/>
          <w:szCs w:val="22"/>
        </w:rPr>
        <w:t xml:space="preserve">r agency’s process for making a human rights complaint. If </w:t>
      </w:r>
      <w:r w:rsidR="006A5CA4">
        <w:rPr>
          <w:rFonts w:cs="Arial"/>
          <w:szCs w:val="22"/>
        </w:rPr>
        <w:t>an</w:t>
      </w:r>
      <w:r w:rsidR="00BD09A8">
        <w:rPr>
          <w:rFonts w:cs="Arial"/>
          <w:szCs w:val="22"/>
        </w:rPr>
        <w:t xml:space="preserve"> employee</w:t>
      </w:r>
      <w:r w:rsidRPr="00247B34">
        <w:rPr>
          <w:rFonts w:cs="Arial"/>
          <w:szCs w:val="22"/>
        </w:rPr>
        <w:t xml:space="preserve"> appeal</w:t>
      </w:r>
      <w:r w:rsidR="00BD09A8">
        <w:rPr>
          <w:rFonts w:cs="Arial"/>
          <w:szCs w:val="22"/>
        </w:rPr>
        <w:t>s</w:t>
      </w:r>
      <w:r w:rsidRPr="00247B34">
        <w:rPr>
          <w:rFonts w:cs="Arial"/>
          <w:szCs w:val="22"/>
        </w:rPr>
        <w:t xml:space="preserve"> a decision, </w:t>
      </w:r>
      <w:r w:rsidR="00BD09A8">
        <w:rPr>
          <w:rFonts w:cs="Arial"/>
          <w:szCs w:val="22"/>
        </w:rPr>
        <w:t>they</w:t>
      </w:r>
      <w:r w:rsidRPr="00247B34">
        <w:rPr>
          <w:rFonts w:cs="Arial"/>
          <w:szCs w:val="22"/>
        </w:rPr>
        <w:t xml:space="preserve"> can include information about </w:t>
      </w:r>
      <w:r w:rsidR="00BD09A8">
        <w:rPr>
          <w:rFonts w:cs="Arial"/>
          <w:szCs w:val="22"/>
        </w:rPr>
        <w:t>their</w:t>
      </w:r>
      <w:r w:rsidRPr="00247B34">
        <w:rPr>
          <w:rFonts w:cs="Arial"/>
          <w:szCs w:val="22"/>
        </w:rPr>
        <w:t xml:space="preserve"> human rights complaint.</w:t>
      </w:r>
    </w:p>
    <w:p w14:paraId="38C636E3" w14:textId="77777777" w:rsidR="008245B0" w:rsidRPr="00247B34" w:rsidRDefault="008245B0" w:rsidP="008245B0">
      <w:pPr>
        <w:pStyle w:val="Header"/>
        <w:tabs>
          <w:tab w:val="left" w:pos="720"/>
        </w:tabs>
        <w:rPr>
          <w:rFonts w:cs="Arial"/>
          <w:szCs w:val="22"/>
        </w:rPr>
      </w:pPr>
    </w:p>
    <w:p w14:paraId="27348034" w14:textId="2A51A308" w:rsidR="008245B0" w:rsidRPr="00247B34" w:rsidRDefault="008245B0" w:rsidP="008245B0">
      <w:pPr>
        <w:pStyle w:val="Header"/>
        <w:tabs>
          <w:tab w:val="left" w:pos="720"/>
        </w:tabs>
        <w:rPr>
          <w:rFonts w:cs="Arial"/>
          <w:szCs w:val="22"/>
        </w:rPr>
      </w:pPr>
      <w:r w:rsidRPr="00247B34">
        <w:rPr>
          <w:rFonts w:cs="Arial"/>
          <w:szCs w:val="22"/>
        </w:rPr>
        <w:t>Further information about your human rights is available</w:t>
      </w:r>
      <w:r w:rsidR="00BD09A8">
        <w:rPr>
          <w:rFonts w:cs="Arial"/>
          <w:szCs w:val="22"/>
        </w:rPr>
        <w:t xml:space="preserve"> at</w:t>
      </w:r>
      <w:r w:rsidRPr="00247B34">
        <w:rPr>
          <w:rFonts w:cs="Arial"/>
          <w:szCs w:val="22"/>
        </w:rPr>
        <w:t xml:space="preserve"> </w:t>
      </w:r>
      <w:hyperlink r:id="rId29" w:history="1">
        <w:r w:rsidR="00BD09A8" w:rsidRPr="00BD09A8">
          <w:rPr>
            <w:rStyle w:val="Hyperlink"/>
            <w:rFonts w:cs="Arial"/>
            <w:szCs w:val="22"/>
          </w:rPr>
          <w:t>www.qhrc.qld.gov.au/your-rights/human-rights-law</w:t>
        </w:r>
      </w:hyperlink>
      <w:r w:rsidRPr="00247B34">
        <w:rPr>
          <w:rFonts w:cs="Arial"/>
          <w:szCs w:val="22"/>
        </w:rPr>
        <w:t>.</w:t>
      </w:r>
      <w:bookmarkEnd w:id="0"/>
    </w:p>
    <w:p w14:paraId="68DAD9B7" w14:textId="77777777" w:rsidR="00DE58B4" w:rsidRPr="00247B34" w:rsidRDefault="00DE58B4">
      <w:pPr>
        <w:rPr>
          <w:rFonts w:ascii="Arial" w:hAnsi="Arial" w:cs="Arial"/>
        </w:rPr>
      </w:pPr>
    </w:p>
    <w:sectPr w:rsidR="00DE58B4" w:rsidRPr="00247B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EEB3F" w14:textId="77777777" w:rsidR="00061F5B" w:rsidRDefault="00061F5B" w:rsidP="00D705F1">
      <w:pPr>
        <w:spacing w:after="0" w:line="240" w:lineRule="auto"/>
      </w:pPr>
      <w:r>
        <w:separator/>
      </w:r>
    </w:p>
  </w:endnote>
  <w:endnote w:type="continuationSeparator" w:id="0">
    <w:p w14:paraId="017CEAAE" w14:textId="77777777" w:rsidR="00061F5B" w:rsidRDefault="00061F5B" w:rsidP="00D705F1">
      <w:pPr>
        <w:spacing w:after="0" w:line="240" w:lineRule="auto"/>
      </w:pPr>
      <w:r>
        <w:continuationSeparator/>
      </w:r>
    </w:p>
  </w:endnote>
  <w:endnote w:type="continuationNotice" w:id="1">
    <w:p w14:paraId="333D5C33" w14:textId="77777777" w:rsidR="00061F5B" w:rsidRDefault="00061F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BE869" w14:textId="77777777" w:rsidR="00061F5B" w:rsidRDefault="00061F5B" w:rsidP="00D705F1">
      <w:pPr>
        <w:spacing w:after="0" w:line="240" w:lineRule="auto"/>
      </w:pPr>
      <w:r>
        <w:separator/>
      </w:r>
    </w:p>
  </w:footnote>
  <w:footnote w:type="continuationSeparator" w:id="0">
    <w:p w14:paraId="0D534D0A" w14:textId="77777777" w:rsidR="00061F5B" w:rsidRDefault="00061F5B" w:rsidP="00D705F1">
      <w:pPr>
        <w:spacing w:after="0" w:line="240" w:lineRule="auto"/>
      </w:pPr>
      <w:r>
        <w:continuationSeparator/>
      </w:r>
    </w:p>
  </w:footnote>
  <w:footnote w:type="continuationNotice" w:id="1">
    <w:p w14:paraId="7354081E" w14:textId="77777777" w:rsidR="00061F5B" w:rsidRDefault="00061F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B355D"/>
    <w:multiLevelType w:val="hybridMultilevel"/>
    <w:tmpl w:val="FC38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3785F"/>
    <w:multiLevelType w:val="hybridMultilevel"/>
    <w:tmpl w:val="EB3273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06EE3"/>
    <w:multiLevelType w:val="hybridMultilevel"/>
    <w:tmpl w:val="FA36A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47A92"/>
    <w:multiLevelType w:val="multilevel"/>
    <w:tmpl w:val="1624E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beredlist2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40CB6259"/>
    <w:multiLevelType w:val="hybridMultilevel"/>
    <w:tmpl w:val="5994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B3A71"/>
    <w:multiLevelType w:val="hybridMultilevel"/>
    <w:tmpl w:val="EB3273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7839"/>
    <w:multiLevelType w:val="hybridMultilevel"/>
    <w:tmpl w:val="EB32733E"/>
    <w:lvl w:ilvl="0" w:tplc="A16E8E3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C7408"/>
    <w:multiLevelType w:val="hybridMultilevel"/>
    <w:tmpl w:val="CEA8BA7C"/>
    <w:lvl w:ilvl="0" w:tplc="9C668CB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5305050">
    <w:abstractNumId w:val="7"/>
  </w:num>
  <w:num w:numId="2" w16cid:durableId="1046106774">
    <w:abstractNumId w:val="3"/>
  </w:num>
  <w:num w:numId="3" w16cid:durableId="2129152959">
    <w:abstractNumId w:val="2"/>
  </w:num>
  <w:num w:numId="4" w16cid:durableId="1191071379">
    <w:abstractNumId w:val="4"/>
  </w:num>
  <w:num w:numId="5" w16cid:durableId="1041637207">
    <w:abstractNumId w:val="0"/>
  </w:num>
  <w:num w:numId="6" w16cid:durableId="1655912207">
    <w:abstractNumId w:val="6"/>
  </w:num>
  <w:num w:numId="7" w16cid:durableId="622418908">
    <w:abstractNumId w:val="1"/>
  </w:num>
  <w:num w:numId="8" w16cid:durableId="1066876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AF"/>
    <w:rsid w:val="00000F82"/>
    <w:rsid w:val="000028AA"/>
    <w:rsid w:val="0002234F"/>
    <w:rsid w:val="0003231E"/>
    <w:rsid w:val="00035DC6"/>
    <w:rsid w:val="00035EA4"/>
    <w:rsid w:val="0004799E"/>
    <w:rsid w:val="0005681B"/>
    <w:rsid w:val="00056A3F"/>
    <w:rsid w:val="00061F5B"/>
    <w:rsid w:val="00065586"/>
    <w:rsid w:val="000911B7"/>
    <w:rsid w:val="000922DB"/>
    <w:rsid w:val="000937CC"/>
    <w:rsid w:val="00093D9B"/>
    <w:rsid w:val="000962F2"/>
    <w:rsid w:val="000B161C"/>
    <w:rsid w:val="000B3577"/>
    <w:rsid w:val="000B5973"/>
    <w:rsid w:val="000C1AF8"/>
    <w:rsid w:val="000C1FA1"/>
    <w:rsid w:val="000C571B"/>
    <w:rsid w:val="000D4D59"/>
    <w:rsid w:val="000D5814"/>
    <w:rsid w:val="000F4A01"/>
    <w:rsid w:val="00101786"/>
    <w:rsid w:val="00120FE0"/>
    <w:rsid w:val="00124E80"/>
    <w:rsid w:val="00126A54"/>
    <w:rsid w:val="00130109"/>
    <w:rsid w:val="00140381"/>
    <w:rsid w:val="00141048"/>
    <w:rsid w:val="001423B8"/>
    <w:rsid w:val="001567E2"/>
    <w:rsid w:val="00186AA0"/>
    <w:rsid w:val="00192E2C"/>
    <w:rsid w:val="00192FF8"/>
    <w:rsid w:val="001A5194"/>
    <w:rsid w:val="001B06F3"/>
    <w:rsid w:val="001B77E5"/>
    <w:rsid w:val="001C6191"/>
    <w:rsid w:val="001D1D8C"/>
    <w:rsid w:val="0020646E"/>
    <w:rsid w:val="00211938"/>
    <w:rsid w:val="002127C9"/>
    <w:rsid w:val="002157E2"/>
    <w:rsid w:val="00224C6B"/>
    <w:rsid w:val="00236E42"/>
    <w:rsid w:val="00237F83"/>
    <w:rsid w:val="00247B34"/>
    <w:rsid w:val="00250C64"/>
    <w:rsid w:val="00265E3D"/>
    <w:rsid w:val="00267DC5"/>
    <w:rsid w:val="00267E3F"/>
    <w:rsid w:val="00270FB3"/>
    <w:rsid w:val="00273712"/>
    <w:rsid w:val="0028260C"/>
    <w:rsid w:val="00283F4C"/>
    <w:rsid w:val="00287DDC"/>
    <w:rsid w:val="00294281"/>
    <w:rsid w:val="002A09FF"/>
    <w:rsid w:val="002B685D"/>
    <w:rsid w:val="002D7A44"/>
    <w:rsid w:val="002E1A3D"/>
    <w:rsid w:val="00332213"/>
    <w:rsid w:val="00335B94"/>
    <w:rsid w:val="00347873"/>
    <w:rsid w:val="00353A5D"/>
    <w:rsid w:val="00370000"/>
    <w:rsid w:val="00370C73"/>
    <w:rsid w:val="00371823"/>
    <w:rsid w:val="0037552A"/>
    <w:rsid w:val="00382B78"/>
    <w:rsid w:val="00382EB7"/>
    <w:rsid w:val="00390DE7"/>
    <w:rsid w:val="003B576E"/>
    <w:rsid w:val="003C186E"/>
    <w:rsid w:val="003C27F4"/>
    <w:rsid w:val="003C2B67"/>
    <w:rsid w:val="003C6320"/>
    <w:rsid w:val="003E0FC4"/>
    <w:rsid w:val="003E4614"/>
    <w:rsid w:val="003F137B"/>
    <w:rsid w:val="00403F97"/>
    <w:rsid w:val="0040547B"/>
    <w:rsid w:val="004107AF"/>
    <w:rsid w:val="00413329"/>
    <w:rsid w:val="00432581"/>
    <w:rsid w:val="00441663"/>
    <w:rsid w:val="00443701"/>
    <w:rsid w:val="00457E3A"/>
    <w:rsid w:val="00473E2C"/>
    <w:rsid w:val="004753AC"/>
    <w:rsid w:val="004833F2"/>
    <w:rsid w:val="004908C7"/>
    <w:rsid w:val="004C56F8"/>
    <w:rsid w:val="004D62F2"/>
    <w:rsid w:val="004E1536"/>
    <w:rsid w:val="004E3575"/>
    <w:rsid w:val="004E3FC8"/>
    <w:rsid w:val="004F2E65"/>
    <w:rsid w:val="005048C7"/>
    <w:rsid w:val="0051555E"/>
    <w:rsid w:val="00517FF2"/>
    <w:rsid w:val="005226E3"/>
    <w:rsid w:val="005309B8"/>
    <w:rsid w:val="00533515"/>
    <w:rsid w:val="00581D51"/>
    <w:rsid w:val="005845FB"/>
    <w:rsid w:val="00585558"/>
    <w:rsid w:val="00595AD2"/>
    <w:rsid w:val="00596264"/>
    <w:rsid w:val="005B25FA"/>
    <w:rsid w:val="005D07EC"/>
    <w:rsid w:val="005D22E1"/>
    <w:rsid w:val="005F074A"/>
    <w:rsid w:val="00603E30"/>
    <w:rsid w:val="006051B0"/>
    <w:rsid w:val="00605796"/>
    <w:rsid w:val="006070F8"/>
    <w:rsid w:val="00630FFA"/>
    <w:rsid w:val="00636B85"/>
    <w:rsid w:val="00663354"/>
    <w:rsid w:val="0066571D"/>
    <w:rsid w:val="0067151A"/>
    <w:rsid w:val="00675292"/>
    <w:rsid w:val="00683248"/>
    <w:rsid w:val="006A402D"/>
    <w:rsid w:val="006A5CA4"/>
    <w:rsid w:val="006B5E6A"/>
    <w:rsid w:val="006C78FC"/>
    <w:rsid w:val="006D27C8"/>
    <w:rsid w:val="006E6018"/>
    <w:rsid w:val="007058D0"/>
    <w:rsid w:val="007071F9"/>
    <w:rsid w:val="007105F9"/>
    <w:rsid w:val="00716654"/>
    <w:rsid w:val="00721EBF"/>
    <w:rsid w:val="0072300E"/>
    <w:rsid w:val="0072357B"/>
    <w:rsid w:val="00723C6E"/>
    <w:rsid w:val="00726F21"/>
    <w:rsid w:val="00730BFB"/>
    <w:rsid w:val="00731E03"/>
    <w:rsid w:val="00733E0E"/>
    <w:rsid w:val="00740F19"/>
    <w:rsid w:val="007551DE"/>
    <w:rsid w:val="00764D56"/>
    <w:rsid w:val="00776FE5"/>
    <w:rsid w:val="00780C71"/>
    <w:rsid w:val="007B7816"/>
    <w:rsid w:val="007D7935"/>
    <w:rsid w:val="007F1828"/>
    <w:rsid w:val="007F4C1A"/>
    <w:rsid w:val="008165E3"/>
    <w:rsid w:val="008245B0"/>
    <w:rsid w:val="008300D0"/>
    <w:rsid w:val="008508F6"/>
    <w:rsid w:val="00853C07"/>
    <w:rsid w:val="00854E06"/>
    <w:rsid w:val="00856631"/>
    <w:rsid w:val="00857594"/>
    <w:rsid w:val="0089162F"/>
    <w:rsid w:val="008B2B34"/>
    <w:rsid w:val="008B3887"/>
    <w:rsid w:val="008D0529"/>
    <w:rsid w:val="008D0D8F"/>
    <w:rsid w:val="008E60D7"/>
    <w:rsid w:val="008E6C73"/>
    <w:rsid w:val="0090130D"/>
    <w:rsid w:val="00917F1C"/>
    <w:rsid w:val="00922674"/>
    <w:rsid w:val="009265B5"/>
    <w:rsid w:val="00932E9A"/>
    <w:rsid w:val="00933B82"/>
    <w:rsid w:val="00933CF0"/>
    <w:rsid w:val="009342B9"/>
    <w:rsid w:val="0093474C"/>
    <w:rsid w:val="00957119"/>
    <w:rsid w:val="00980C04"/>
    <w:rsid w:val="009813D4"/>
    <w:rsid w:val="00982BEE"/>
    <w:rsid w:val="0098376E"/>
    <w:rsid w:val="00994963"/>
    <w:rsid w:val="009C377E"/>
    <w:rsid w:val="009D23D6"/>
    <w:rsid w:val="009D6ECC"/>
    <w:rsid w:val="009D7501"/>
    <w:rsid w:val="009E5073"/>
    <w:rsid w:val="009F2854"/>
    <w:rsid w:val="00A02C2E"/>
    <w:rsid w:val="00A20A9C"/>
    <w:rsid w:val="00A21028"/>
    <w:rsid w:val="00A2686A"/>
    <w:rsid w:val="00A269B4"/>
    <w:rsid w:val="00A60929"/>
    <w:rsid w:val="00A73C66"/>
    <w:rsid w:val="00A75F05"/>
    <w:rsid w:val="00A97541"/>
    <w:rsid w:val="00AA1551"/>
    <w:rsid w:val="00AC0B10"/>
    <w:rsid w:val="00AC4113"/>
    <w:rsid w:val="00AD288C"/>
    <w:rsid w:val="00AD2A42"/>
    <w:rsid w:val="00AE24F3"/>
    <w:rsid w:val="00AE3874"/>
    <w:rsid w:val="00AE3EE7"/>
    <w:rsid w:val="00AE5B62"/>
    <w:rsid w:val="00AF2C31"/>
    <w:rsid w:val="00AF424B"/>
    <w:rsid w:val="00B00D75"/>
    <w:rsid w:val="00B17AD7"/>
    <w:rsid w:val="00B465AC"/>
    <w:rsid w:val="00B52C17"/>
    <w:rsid w:val="00B6437D"/>
    <w:rsid w:val="00B66A72"/>
    <w:rsid w:val="00B81AFF"/>
    <w:rsid w:val="00B83948"/>
    <w:rsid w:val="00B912FB"/>
    <w:rsid w:val="00B97731"/>
    <w:rsid w:val="00BA735D"/>
    <w:rsid w:val="00BD09A8"/>
    <w:rsid w:val="00BD0B54"/>
    <w:rsid w:val="00BD0F67"/>
    <w:rsid w:val="00BD7289"/>
    <w:rsid w:val="00BD7C7A"/>
    <w:rsid w:val="00BE3309"/>
    <w:rsid w:val="00C13D1F"/>
    <w:rsid w:val="00C239DE"/>
    <w:rsid w:val="00C24DEA"/>
    <w:rsid w:val="00C2739B"/>
    <w:rsid w:val="00C27C23"/>
    <w:rsid w:val="00C358A3"/>
    <w:rsid w:val="00C35F11"/>
    <w:rsid w:val="00C37ACC"/>
    <w:rsid w:val="00C417E7"/>
    <w:rsid w:val="00C55EA2"/>
    <w:rsid w:val="00C562E5"/>
    <w:rsid w:val="00C92241"/>
    <w:rsid w:val="00C9675A"/>
    <w:rsid w:val="00CA6F04"/>
    <w:rsid w:val="00CC2189"/>
    <w:rsid w:val="00CC4460"/>
    <w:rsid w:val="00CC5FE4"/>
    <w:rsid w:val="00CD3A48"/>
    <w:rsid w:val="00CE0E1F"/>
    <w:rsid w:val="00CE1D95"/>
    <w:rsid w:val="00CF5F6E"/>
    <w:rsid w:val="00D27B2B"/>
    <w:rsid w:val="00D32A25"/>
    <w:rsid w:val="00D354B2"/>
    <w:rsid w:val="00D47596"/>
    <w:rsid w:val="00D652B2"/>
    <w:rsid w:val="00D705F1"/>
    <w:rsid w:val="00D73D16"/>
    <w:rsid w:val="00D821D1"/>
    <w:rsid w:val="00D87DC7"/>
    <w:rsid w:val="00DB7083"/>
    <w:rsid w:val="00DC08D5"/>
    <w:rsid w:val="00DC3BCC"/>
    <w:rsid w:val="00DD3289"/>
    <w:rsid w:val="00DE248C"/>
    <w:rsid w:val="00DE58B4"/>
    <w:rsid w:val="00DE6C33"/>
    <w:rsid w:val="00DF4629"/>
    <w:rsid w:val="00E0564B"/>
    <w:rsid w:val="00E11DF7"/>
    <w:rsid w:val="00E343CD"/>
    <w:rsid w:val="00E345C3"/>
    <w:rsid w:val="00E4573E"/>
    <w:rsid w:val="00E474CB"/>
    <w:rsid w:val="00E47A77"/>
    <w:rsid w:val="00E56068"/>
    <w:rsid w:val="00E80A48"/>
    <w:rsid w:val="00E87028"/>
    <w:rsid w:val="00E87A65"/>
    <w:rsid w:val="00E935AD"/>
    <w:rsid w:val="00EC0CB4"/>
    <w:rsid w:val="00EC4683"/>
    <w:rsid w:val="00EF02CF"/>
    <w:rsid w:val="00F115BD"/>
    <w:rsid w:val="00F12763"/>
    <w:rsid w:val="00F16E0B"/>
    <w:rsid w:val="00F26EC6"/>
    <w:rsid w:val="00F63D9F"/>
    <w:rsid w:val="00F66CDC"/>
    <w:rsid w:val="00F70240"/>
    <w:rsid w:val="00F7627E"/>
    <w:rsid w:val="00F828FB"/>
    <w:rsid w:val="00F848ED"/>
    <w:rsid w:val="00F91055"/>
    <w:rsid w:val="00FA0011"/>
    <w:rsid w:val="00FA5206"/>
    <w:rsid w:val="00FB709B"/>
    <w:rsid w:val="00FC2C4C"/>
    <w:rsid w:val="00FD0197"/>
    <w:rsid w:val="00FD28FE"/>
    <w:rsid w:val="00FE681F"/>
    <w:rsid w:val="00FF1920"/>
    <w:rsid w:val="00FF55A0"/>
    <w:rsid w:val="02F3DF7F"/>
    <w:rsid w:val="047487E4"/>
    <w:rsid w:val="093CCB68"/>
    <w:rsid w:val="0BD20AFC"/>
    <w:rsid w:val="0C92B9B1"/>
    <w:rsid w:val="0CB6DC4B"/>
    <w:rsid w:val="0EADF44C"/>
    <w:rsid w:val="11250B80"/>
    <w:rsid w:val="19857B9B"/>
    <w:rsid w:val="2005CD95"/>
    <w:rsid w:val="20BDEEF3"/>
    <w:rsid w:val="21352208"/>
    <w:rsid w:val="22FD063B"/>
    <w:rsid w:val="23200C85"/>
    <w:rsid w:val="281657FD"/>
    <w:rsid w:val="29B2285E"/>
    <w:rsid w:val="2D1C3543"/>
    <w:rsid w:val="30AE7FCB"/>
    <w:rsid w:val="30D88DF1"/>
    <w:rsid w:val="312256E2"/>
    <w:rsid w:val="327DA830"/>
    <w:rsid w:val="353E38E1"/>
    <w:rsid w:val="3704BB24"/>
    <w:rsid w:val="374450D7"/>
    <w:rsid w:val="386F30C3"/>
    <w:rsid w:val="38E43C08"/>
    <w:rsid w:val="3B5BD40A"/>
    <w:rsid w:val="42A4DD28"/>
    <w:rsid w:val="465AF26D"/>
    <w:rsid w:val="4661DCD2"/>
    <w:rsid w:val="4C2C1A2B"/>
    <w:rsid w:val="4CDC0ED1"/>
    <w:rsid w:val="4DAF857E"/>
    <w:rsid w:val="4E2EE49E"/>
    <w:rsid w:val="4EA3B5A4"/>
    <w:rsid w:val="4F39BD42"/>
    <w:rsid w:val="50797A6B"/>
    <w:rsid w:val="5212F384"/>
    <w:rsid w:val="5240ED25"/>
    <w:rsid w:val="53DCBD86"/>
    <w:rsid w:val="5495E026"/>
    <w:rsid w:val="5B320D72"/>
    <w:rsid w:val="5DD82AE5"/>
    <w:rsid w:val="62CB8ECA"/>
    <w:rsid w:val="668274A4"/>
    <w:rsid w:val="699D7DDA"/>
    <w:rsid w:val="69C69AB6"/>
    <w:rsid w:val="6A4B116C"/>
    <w:rsid w:val="6AB9DA16"/>
    <w:rsid w:val="6BA378B7"/>
    <w:rsid w:val="6F51430B"/>
    <w:rsid w:val="70FB9792"/>
    <w:rsid w:val="75896152"/>
    <w:rsid w:val="7721F4FF"/>
    <w:rsid w:val="7823E6CF"/>
    <w:rsid w:val="7840D636"/>
    <w:rsid w:val="7C02F72D"/>
    <w:rsid w:val="7C971F09"/>
    <w:rsid w:val="7D07A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7B8CD"/>
  <w15:chartTrackingRefBased/>
  <w15:docId w15:val="{BAC2A8DF-4194-4BCB-B72F-E08CC3F4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7AF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107AF"/>
  </w:style>
  <w:style w:type="character" w:customStyle="1" w:styleId="eop">
    <w:name w:val="eop"/>
    <w:basedOn w:val="DefaultParagraphFont"/>
    <w:rsid w:val="004107AF"/>
  </w:style>
  <w:style w:type="character" w:styleId="Hyperlink">
    <w:name w:val="Hyperlink"/>
    <w:basedOn w:val="DefaultParagraphFont"/>
    <w:uiPriority w:val="99"/>
    <w:unhideWhenUsed/>
    <w:rsid w:val="004107AF"/>
    <w:rPr>
      <w:color w:val="0563C1" w:themeColor="hyperlink"/>
      <w:u w:val="single"/>
    </w:rPr>
  </w:style>
  <w:style w:type="paragraph" w:customStyle="1" w:styleId="Numberedlist2">
    <w:name w:val="Numbered list 2"/>
    <w:basedOn w:val="Normal"/>
    <w:link w:val="Numberedlist2Char"/>
    <w:qFormat/>
    <w:rsid w:val="004107AF"/>
    <w:pPr>
      <w:keepNext/>
      <w:keepLines/>
      <w:numPr>
        <w:ilvl w:val="1"/>
        <w:numId w:val="2"/>
      </w:numPr>
      <w:spacing w:before="80" w:after="120" w:line="264" w:lineRule="auto"/>
      <w:contextualSpacing/>
      <w:outlineLvl w:val="2"/>
    </w:pPr>
    <w:rPr>
      <w:rFonts w:ascii="Arial" w:eastAsiaTheme="majorEastAsia" w:hAnsi="Arial"/>
      <w:sz w:val="20"/>
      <w:szCs w:val="21"/>
    </w:rPr>
  </w:style>
  <w:style w:type="character" w:customStyle="1" w:styleId="Numberedlist2Char">
    <w:name w:val="Numbered list 2 Char"/>
    <w:basedOn w:val="DefaultParagraphFont"/>
    <w:link w:val="Numberedlist2"/>
    <w:rsid w:val="004107AF"/>
    <w:rPr>
      <w:rFonts w:ascii="Arial" w:eastAsiaTheme="majorEastAsia" w:hAnsi="Arial"/>
      <w:sz w:val="20"/>
      <w:szCs w:val="21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245B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8245B0"/>
    <w:rPr>
      <w:rFonts w:ascii="Arial" w:eastAsia="Times New Roman" w:hAnsi="Arial" w:cs="Times New Roman"/>
      <w:szCs w:val="20"/>
      <w:lang w:val="en-AU" w:bidi="he-IL"/>
    </w:rPr>
  </w:style>
  <w:style w:type="character" w:customStyle="1" w:styleId="listnumber">
    <w:name w:val="listnumber"/>
    <w:basedOn w:val="DefaultParagraphFont"/>
    <w:rsid w:val="008245B0"/>
  </w:style>
  <w:style w:type="table" w:styleId="TableGrid">
    <w:name w:val="Table Grid"/>
    <w:basedOn w:val="TableNormal"/>
    <w:uiPriority w:val="39"/>
    <w:rsid w:val="00DF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2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3B8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3B8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726F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5F1"/>
    <w:rPr>
      <w:lang w:val="en-AU"/>
    </w:rPr>
  </w:style>
  <w:style w:type="paragraph" w:styleId="Revision">
    <w:name w:val="Revision"/>
    <w:hidden/>
    <w:uiPriority w:val="99"/>
    <w:semiHidden/>
    <w:rsid w:val="00A73C66"/>
    <w:pPr>
      <w:spacing w:after="0" w:line="240" w:lineRule="auto"/>
    </w:pPr>
    <w:rPr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4166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D23D6"/>
    <w:rPr>
      <w:color w:val="954F72" w:themeColor="followedHyperlink"/>
      <w:u w:val="single"/>
    </w:rPr>
  </w:style>
  <w:style w:type="paragraph" w:customStyle="1" w:styleId="headingparagraph">
    <w:name w:val="headingparagraph"/>
    <w:basedOn w:val="Normal"/>
    <w:rsid w:val="00E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name">
    <w:name w:val="headingname"/>
    <w:basedOn w:val="DefaultParagraphFont"/>
    <w:rsid w:val="00E8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5152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1218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9864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16">
          <w:blockQuote w:val="1"/>
          <w:marLeft w:val="9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3571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04271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7169">
                      <w:blockQuote w:val="1"/>
                      <w:marLeft w:val="60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29407">
                      <w:blockQuote w:val="1"/>
                      <w:marLeft w:val="60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77294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3468">
                      <w:blockQuote w:val="1"/>
                      <w:marLeft w:val="60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3310">
                      <w:blockQuote w:val="1"/>
                      <w:marLeft w:val="60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797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20515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7328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7583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3800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86592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6641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9568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4150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3401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gov.qld.gov.au/employment-policy-career-and-wellbeing/directives-policies-circulars-and-guidelines/review-of-acting-or-secondment-at-a-higher-classification-level-directive-0323" TargetMode="External"/><Relationship Id="rId18" Type="http://schemas.openxmlformats.org/officeDocument/2006/relationships/hyperlink" Target="https://www.forgov.qld.gov.au/employment-policy-career-and-wellbeing/directives-policies-circulars-and-guidelines/review-of-acting-or-secondment-at-a-higher-classification-level-directive-0323" TargetMode="External"/><Relationship Id="rId26" Type="http://schemas.openxmlformats.org/officeDocument/2006/relationships/hyperlink" Target="https://www.forgov.qld.gov.au/employment-policy-career-and-wellbeing/directives-policies-circulars-and-guidelines/appeals-directive-042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qld.gov.au/view/whole/html/asmade/act-2022-03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egislation.qld.gov.au/view/html/inforce/current/act-2022-034" TargetMode="External"/><Relationship Id="rId17" Type="http://schemas.openxmlformats.org/officeDocument/2006/relationships/hyperlink" Target="https://www.legislation.qld.gov.au/view/html/inforce/current/act-2022-034" TargetMode="External"/><Relationship Id="rId25" Type="http://schemas.openxmlformats.org/officeDocument/2006/relationships/hyperlink" Target="https://www.legislation.qld.gov.au/view/html/inforce/current/act-2016-0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rgov.qld.gov.au/employment-policy-career-and-wellbeing/directives-policies-circulars-and-guidelines/review-of-acting-or-secondment-at-a-higher-classification-level-directive-0323" TargetMode="External"/><Relationship Id="rId20" Type="http://schemas.openxmlformats.org/officeDocument/2006/relationships/hyperlink" Target="https://www.legislation.qld.gov.au/view/whole/html/asmade/act-2022-034" TargetMode="External"/><Relationship Id="rId29" Type="http://schemas.openxmlformats.org/officeDocument/2006/relationships/hyperlink" Target="file:///C:\Users\thompsons\AppData\Local\Microsoft\Windows\INetCache\Content.Outlook\FRYAHIXX\www.qhrc.qld.gov.au\your-rights\human-rights-la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qld.gov.au/view/html/inforce/current/act-2022-034" TargetMode="External"/><Relationship Id="rId24" Type="http://schemas.openxmlformats.org/officeDocument/2006/relationships/hyperlink" Target="https://www.legislation.qld.gov.au/view/whole/html/asmade/act-2022-03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lation.qld.gov.au/view/html/inforce/current/act-2022-034" TargetMode="External"/><Relationship Id="rId23" Type="http://schemas.openxmlformats.org/officeDocument/2006/relationships/hyperlink" Target="https://www.legislation.qld.gov.au/view/whole/html/asmade/act-2022-034" TargetMode="External"/><Relationship Id="rId28" Type="http://schemas.openxmlformats.org/officeDocument/2006/relationships/hyperlink" Target="https://www.legislation.qld.gov.au/view/html/inforce/current/act-2019-00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egislation.qld.gov.au/view/html/inforce/current/act-2022-034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qld.gov.au/view/html/inforce/current/act-2022-034" TargetMode="External"/><Relationship Id="rId22" Type="http://schemas.openxmlformats.org/officeDocument/2006/relationships/hyperlink" Target="https://www.legislation.qld.gov.au/view/whole/html/asmade/act-2022-034" TargetMode="External"/><Relationship Id="rId27" Type="http://schemas.openxmlformats.org/officeDocument/2006/relationships/hyperlink" Target="http://www.qirc.qld.gov.a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71f86-2bc3-4eda-a5e7-ed52d7073a80">
      <Terms xmlns="http://schemas.microsoft.com/office/infopath/2007/PartnerControls"/>
    </lcf76f155ced4ddcb4097134ff3c332f>
    <TaxCatchAll xmlns="fd5a31b8-7943-496c-9bf2-dda18d38b62a" xsi:nil="true"/>
    <Subjectmatterexpert xmlns="42f71f86-2bc3-4eda-a5e7-ed52d7073a80" xsi:nil="true"/>
    <link0 xmlns="42f71f86-2bc3-4eda-a5e7-ed52d7073a80">
      <Url xsi:nil="true"/>
      <Description xsi:nil="true"/>
    </link0>
    <Link xmlns="42f71f86-2bc3-4eda-a5e7-ed52d7073a80">
      <Url xsi:nil="true"/>
      <Description xsi:nil="true"/>
    </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1" ma:contentTypeDescription="Create a new document." ma:contentTypeScope="" ma:versionID="52289b524ae4b12db5717216c0787294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c08d15323b7eb315824d1905e9095b63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78864-BBC6-4C85-97A5-37B33227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86A3A-7205-4F14-87FE-A7633F19CE07}">
  <ds:schemaRefs>
    <ds:schemaRef ds:uri="http://schemas.microsoft.com/office/2006/metadata/properties"/>
    <ds:schemaRef ds:uri="http://schemas.microsoft.com/office/infopath/2007/PartnerControls"/>
    <ds:schemaRef ds:uri="349dcae6-1c55-46da-a023-c4c9ff23e2d0"/>
    <ds:schemaRef ds:uri="6e2d4c12-3607-4393-9d89-8b07dc70eafd"/>
  </ds:schemaRefs>
</ds:datastoreItem>
</file>

<file path=customXml/itemProps3.xml><?xml version="1.0" encoding="utf-8"?>
<ds:datastoreItem xmlns:ds="http://schemas.openxmlformats.org/officeDocument/2006/customXml" ds:itemID="{36775243-E485-4AE8-B0C0-2A4811FAA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416968-1C9B-436C-B834-ED4FC61B1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Sector Commission | Queensland Government</dc:creator>
  <cp:keywords/>
  <dc:description/>
  <dcterms:created xsi:type="dcterms:W3CDTF">2024-09-24T00:19:00Z</dcterms:created>
  <dcterms:modified xsi:type="dcterms:W3CDTF">2024-09-24T22:43:00Z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0x0101001D9371A76C57CE419EC8A3BA35E1122D</vt:lpwstr>
  </property>
  <property fmtid="{D5CDD505-2E9C-101B-9397-08002B2CF9AE}" pid="3" name="MediaServiceImageTags">
    <vt:lpwstr/>
  </property>
</Properties>
</file>